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9C98" w14:textId="77777777" w:rsidR="00B315D2" w:rsidRPr="00DF37C1" w:rsidRDefault="00B315D2" w:rsidP="00B315D2">
      <w:pPr>
        <w:spacing w:after="0" w:line="240" w:lineRule="auto"/>
        <w:jc w:val="left"/>
        <w:rPr>
          <w:rFonts w:ascii="Calibri" w:eastAsia="Times New Roman" w:hAnsi="Calibri" w:cs="Calibri"/>
          <w:kern w:val="0"/>
          <w:sz w:val="24"/>
          <w:szCs w:val="24"/>
          <w14:ligatures w14:val="none"/>
        </w:rPr>
      </w:pPr>
      <w:r w:rsidRPr="00DF37C1">
        <w:rPr>
          <w:rFonts w:ascii="Calibri" w:hAnsi="Calibri" w:cs="Calibri"/>
          <w:noProof/>
          <w:color w:val="993300"/>
          <w:sz w:val="28"/>
        </w:rPr>
        <mc:AlternateContent>
          <mc:Choice Requires="wps">
            <w:drawing>
              <wp:anchor distT="0" distB="0" distL="114300" distR="114300" simplePos="0" relativeHeight="251658240" behindDoc="0" locked="0" layoutInCell="1" allowOverlap="1" wp14:anchorId="52241952" wp14:editId="4DEC2D17">
                <wp:simplePos x="0" y="0"/>
                <wp:positionH relativeFrom="column">
                  <wp:posOffset>-249898</wp:posOffset>
                </wp:positionH>
                <wp:positionV relativeFrom="page">
                  <wp:posOffset>913777</wp:posOffset>
                </wp:positionV>
                <wp:extent cx="0" cy="8229600"/>
                <wp:effectExtent l="0" t="0" r="3810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60879"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9.7pt,71.95pt" to="-19.7pt,7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">
                <o:lock v:ext="edit" shapetype="f"/>
                <w10:wrap anchory="page"/>
              </v:line>
            </w:pict>
          </mc:Fallback>
        </mc:AlternateContent>
      </w:r>
      <w:r w:rsidRPr="00DF37C1">
        <w:rPr>
          <w:rFonts w:ascii="Calibri" w:eastAsia="Times New Roman" w:hAnsi="Calibri" w:cs="Calibri"/>
          <w:kern w:val="0"/>
          <w:sz w:val="24"/>
          <w:szCs w:val="24"/>
          <w14:ligatures w14:val="none"/>
        </w:rPr>
        <w:fldChar w:fldCharType="begin"/>
      </w:r>
      <w:r w:rsidRPr="00DF37C1">
        <w:rPr>
          <w:rFonts w:ascii="Calibri" w:eastAsia="Times New Roman" w:hAnsi="Calibri" w:cs="Calibri"/>
          <w:kern w:val="0"/>
          <w:sz w:val="24"/>
          <w:szCs w:val="24"/>
          <w14:ligatures w14:val="none"/>
        </w:rPr>
        <w:instrText xml:space="preserve"> INCLUDEPICTURE "https://cdn.prod.website-files.com/5c78122871c3131b38424b3b/5d6e82ca9e9eae191b813a20_Iteria%20New%20Logo.png" \* MERGEFORMATINET </w:instrText>
      </w:r>
      <w:r w:rsidRPr="00DF37C1">
        <w:rPr>
          <w:rFonts w:ascii="Calibri" w:eastAsia="Times New Roman" w:hAnsi="Calibri" w:cs="Calibri"/>
          <w:kern w:val="0"/>
          <w:sz w:val="24"/>
          <w:szCs w:val="24"/>
          <w14:ligatures w14:val="none"/>
        </w:rPr>
        <w:fldChar w:fldCharType="separate"/>
      </w:r>
      <w:r w:rsidRPr="00DF37C1">
        <w:rPr>
          <w:rFonts w:ascii="Calibri" w:eastAsia="Times New Roman" w:hAnsi="Calibri" w:cs="Calibri"/>
          <w:noProof/>
          <w:kern w:val="0"/>
          <w:sz w:val="24"/>
          <w:szCs w:val="24"/>
          <w14:ligatures w14:val="none"/>
        </w:rPr>
        <w:drawing>
          <wp:inline distT="0" distB="0" distL="0" distR="0" wp14:anchorId="788A9E13" wp14:editId="78DF2D1E">
            <wp:extent cx="1900238" cy="677467"/>
            <wp:effectExtent l="0" t="0" r="5080" b="8890"/>
            <wp:docPr id="1" name="Picture 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8945" cy="730484"/>
                    </a:xfrm>
                    <a:prstGeom prst="rect">
                      <a:avLst/>
                    </a:prstGeom>
                    <a:noFill/>
                    <a:ln>
                      <a:noFill/>
                    </a:ln>
                  </pic:spPr>
                </pic:pic>
              </a:graphicData>
            </a:graphic>
          </wp:inline>
        </w:drawing>
      </w:r>
      <w:r w:rsidRPr="00DF37C1">
        <w:rPr>
          <w:rFonts w:ascii="Calibri" w:eastAsia="Times New Roman" w:hAnsi="Calibri" w:cs="Calibri"/>
          <w:kern w:val="0"/>
          <w:sz w:val="24"/>
          <w:szCs w:val="24"/>
          <w14:ligatures w14:val="none"/>
        </w:rPr>
        <w:fldChar w:fldCharType="end"/>
      </w:r>
    </w:p>
    <w:p w14:paraId="482B554D" w14:textId="77777777" w:rsidR="00B315D2" w:rsidRPr="00DF37C1" w:rsidRDefault="00B315D2" w:rsidP="00B315D2">
      <w:pPr>
        <w:rPr>
          <w:rFonts w:ascii="Calibri" w:hAnsi="Calibri" w:cs="Calibri"/>
        </w:rPr>
      </w:pPr>
    </w:p>
    <w:p w14:paraId="41743BE5" w14:textId="77777777" w:rsidR="00B315D2" w:rsidRPr="00DF37C1" w:rsidRDefault="00B315D2" w:rsidP="00B315D2">
      <w:pPr>
        <w:pStyle w:val="BodyText"/>
        <w:rPr>
          <w:rFonts w:ascii="Calibri" w:hAnsi="Calibri" w:cs="Calibri"/>
          <w:color w:val="80340D" w:themeColor="accent2" w:themeShade="80"/>
        </w:rPr>
      </w:pPr>
      <w:r w:rsidRPr="00DF37C1">
        <w:rPr>
          <w:rFonts w:ascii="Calibri" w:hAnsi="Calibri" w:cs="Calibri"/>
          <w:color w:val="80340D" w:themeColor="accent2" w:themeShade="80"/>
        </w:rPr>
        <w:t>Proposal Created For:</w:t>
      </w:r>
    </w:p>
    <w:p w14:paraId="232AA0A0" w14:textId="77777777" w:rsidR="00B315D2" w:rsidRPr="00DF37C1" w:rsidRDefault="00B315D2" w:rsidP="00B315D2">
      <w:pPr>
        <w:pStyle w:val="BodyText"/>
        <w:rPr>
          <w:rFonts w:ascii="Calibri" w:hAnsi="Calibri" w:cs="Calibri"/>
          <w:color w:val="993300"/>
        </w:rPr>
      </w:pPr>
    </w:p>
    <w:p w14:paraId="452C0F9A" w14:textId="0D10C1EF" w:rsidR="00B315D2" w:rsidRPr="00DF37C1" w:rsidRDefault="001F135D" w:rsidP="00B315D2">
      <w:pPr>
        <w:pStyle w:val="BodyText"/>
        <w:rPr>
          <w:rFonts w:ascii="Calibri" w:hAnsi="Calibri" w:cs="Calibri"/>
          <w:b/>
          <w:bCs/>
          <w:color w:val="993300"/>
        </w:rPr>
      </w:pPr>
      <w:r w:rsidRPr="00DF37C1">
        <w:rPr>
          <w:rFonts w:ascii="Calibri" w:hAnsi="Calibri" w:cs="Calibri"/>
          <w:noProof/>
          <w:color w:val="993300"/>
        </w:rPr>
        <w:drawing>
          <wp:inline distT="0" distB="0" distL="0" distR="0" wp14:anchorId="47E333EF" wp14:editId="7537A19F">
            <wp:extent cx="2044662" cy="2666419"/>
            <wp:effectExtent l="0" t="0" r="0" b="635"/>
            <wp:docPr id="13804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4077" cy="2678697"/>
                    </a:xfrm>
                    <a:prstGeom prst="rect">
                      <a:avLst/>
                    </a:prstGeom>
                    <a:noFill/>
                    <a:ln>
                      <a:noFill/>
                    </a:ln>
                  </pic:spPr>
                </pic:pic>
              </a:graphicData>
            </a:graphic>
          </wp:inline>
        </w:drawing>
      </w:r>
    </w:p>
    <w:p w14:paraId="465F4FB3" w14:textId="77777777" w:rsidR="00B315D2" w:rsidRPr="00DF37C1" w:rsidRDefault="00B315D2" w:rsidP="00B315D2">
      <w:pPr>
        <w:pStyle w:val="BodyText"/>
        <w:rPr>
          <w:rFonts w:ascii="Calibri" w:hAnsi="Calibri" w:cs="Calibri"/>
          <w:b/>
          <w:bCs/>
          <w:color w:val="993300"/>
        </w:rPr>
      </w:pPr>
    </w:p>
    <w:p w14:paraId="494FC8A0" w14:textId="77777777" w:rsidR="0082630C" w:rsidRPr="00DF37C1" w:rsidRDefault="0082630C" w:rsidP="00B315D2">
      <w:pPr>
        <w:pStyle w:val="BodyText"/>
        <w:rPr>
          <w:rFonts w:ascii="Calibri" w:hAnsi="Calibri" w:cs="Calibri"/>
          <w:b/>
          <w:bCs/>
          <w:color w:val="993300"/>
        </w:rPr>
      </w:pPr>
    </w:p>
    <w:p w14:paraId="692DD682" w14:textId="77777777" w:rsidR="004D47D5" w:rsidRPr="00DF37C1" w:rsidRDefault="004D47D5" w:rsidP="004D47D5">
      <w:pPr>
        <w:pStyle w:val="BodyText"/>
        <w:rPr>
          <w:rFonts w:ascii="Calibri" w:hAnsi="Calibri" w:cs="Calibri"/>
          <w:b/>
          <w:bCs/>
          <w:color w:val="993300"/>
        </w:rPr>
      </w:pPr>
      <w:r w:rsidRPr="00DF37C1">
        <w:rPr>
          <w:rFonts w:ascii="Calibri" w:hAnsi="Calibri" w:cs="Calibri"/>
          <w:b/>
          <w:bCs/>
          <w:color w:val="993300"/>
        </w:rPr>
        <w:t>Request for Proposal for a</w:t>
      </w:r>
    </w:p>
    <w:p w14:paraId="6D6CA09E" w14:textId="1E8B2B1F" w:rsidR="00B315D2" w:rsidRPr="00DF37C1" w:rsidRDefault="004D47D5" w:rsidP="004D47D5">
      <w:pPr>
        <w:pStyle w:val="BodyText"/>
        <w:rPr>
          <w:rFonts w:ascii="Calibri" w:hAnsi="Calibri" w:cs="Calibri"/>
          <w:b/>
          <w:bCs/>
          <w:color w:val="993300"/>
        </w:rPr>
      </w:pPr>
      <w:r w:rsidRPr="00DF37C1">
        <w:rPr>
          <w:rFonts w:ascii="Calibri" w:hAnsi="Calibri" w:cs="Calibri"/>
          <w:b/>
          <w:bCs/>
          <w:color w:val="993300"/>
        </w:rPr>
        <w:t>Enterprise Resource Planning (ERP) System</w:t>
      </w:r>
    </w:p>
    <w:p w14:paraId="7B5AB94B" w14:textId="77777777" w:rsidR="00B315D2" w:rsidRPr="00DF37C1" w:rsidRDefault="00B315D2" w:rsidP="00B315D2">
      <w:pPr>
        <w:pStyle w:val="BodyText"/>
        <w:rPr>
          <w:rFonts w:ascii="Calibri" w:hAnsi="Calibri" w:cs="Calibri"/>
          <w:color w:val="993300"/>
        </w:rPr>
      </w:pPr>
    </w:p>
    <w:p w14:paraId="628361AA" w14:textId="77777777" w:rsidR="00B315D2" w:rsidRPr="00DF37C1" w:rsidRDefault="00B315D2" w:rsidP="00B315D2">
      <w:pPr>
        <w:pStyle w:val="BodyText"/>
        <w:tabs>
          <w:tab w:val="left" w:pos="2418"/>
        </w:tabs>
        <w:rPr>
          <w:rFonts w:ascii="Calibri" w:hAnsi="Calibri" w:cs="Calibri"/>
          <w:color w:val="993300"/>
        </w:rPr>
      </w:pPr>
    </w:p>
    <w:p w14:paraId="6546947E" w14:textId="77777777" w:rsidR="00B315D2" w:rsidRPr="00DF37C1" w:rsidRDefault="00B315D2" w:rsidP="00B315D2">
      <w:pPr>
        <w:pStyle w:val="BodyText"/>
        <w:rPr>
          <w:rFonts w:ascii="Calibri" w:hAnsi="Calibri" w:cs="Calibri"/>
          <w:color w:val="993300"/>
        </w:rPr>
      </w:pPr>
    </w:p>
    <w:p w14:paraId="1B05BD5D" w14:textId="77777777" w:rsidR="0082630C" w:rsidRPr="00DF37C1" w:rsidRDefault="0082630C" w:rsidP="00B315D2">
      <w:pPr>
        <w:pStyle w:val="BodyText"/>
        <w:rPr>
          <w:rFonts w:ascii="Calibri" w:hAnsi="Calibri" w:cs="Calibri"/>
          <w:color w:val="993300"/>
        </w:rPr>
      </w:pPr>
    </w:p>
    <w:p w14:paraId="6325284A" w14:textId="77777777" w:rsidR="0082630C" w:rsidRPr="00DF37C1" w:rsidRDefault="0082630C" w:rsidP="00B315D2">
      <w:pPr>
        <w:pStyle w:val="BodyText"/>
        <w:rPr>
          <w:rFonts w:ascii="Calibri" w:hAnsi="Calibri" w:cs="Calibri"/>
          <w:color w:val="993300"/>
        </w:rPr>
      </w:pPr>
    </w:p>
    <w:p w14:paraId="2131ABBB" w14:textId="77777777" w:rsidR="0082630C" w:rsidRPr="00DF37C1" w:rsidRDefault="0082630C" w:rsidP="00B315D2">
      <w:pPr>
        <w:pStyle w:val="BodyText"/>
        <w:rPr>
          <w:rFonts w:ascii="Calibri" w:hAnsi="Calibri" w:cs="Calibri"/>
          <w:color w:val="993300"/>
        </w:rPr>
      </w:pPr>
    </w:p>
    <w:p w14:paraId="58FA3382" w14:textId="77777777" w:rsidR="0082630C" w:rsidRPr="00DF37C1" w:rsidRDefault="0082630C" w:rsidP="00B315D2">
      <w:pPr>
        <w:pStyle w:val="BodyText"/>
        <w:rPr>
          <w:rFonts w:ascii="Calibri" w:hAnsi="Calibri" w:cs="Calibri"/>
          <w:color w:val="993300"/>
        </w:rPr>
      </w:pPr>
    </w:p>
    <w:p w14:paraId="64AD5C86" w14:textId="77777777" w:rsidR="0082630C" w:rsidRPr="00DF37C1" w:rsidRDefault="0082630C" w:rsidP="00B315D2">
      <w:pPr>
        <w:pStyle w:val="BodyText"/>
        <w:rPr>
          <w:rFonts w:ascii="Calibri" w:hAnsi="Calibri" w:cs="Calibri"/>
          <w:color w:val="993300"/>
        </w:rPr>
      </w:pPr>
    </w:p>
    <w:p w14:paraId="5FBB8887" w14:textId="1C1D3243" w:rsidR="00B315D2" w:rsidRPr="00DF37C1" w:rsidRDefault="0082630C" w:rsidP="00B315D2">
      <w:pPr>
        <w:pStyle w:val="BodyText"/>
        <w:rPr>
          <w:rFonts w:ascii="Calibri" w:hAnsi="Calibri" w:cs="Calibri"/>
          <w:color w:val="993300"/>
        </w:rPr>
      </w:pPr>
      <w:r w:rsidRPr="00DF37C1">
        <w:rPr>
          <w:rFonts w:ascii="Calibri" w:hAnsi="Calibri" w:cs="Calibri"/>
          <w:color w:val="993300"/>
        </w:rPr>
        <w:t>June 20</w:t>
      </w:r>
      <w:r w:rsidR="00B315D2" w:rsidRPr="00DF37C1">
        <w:rPr>
          <w:rFonts w:ascii="Calibri" w:hAnsi="Calibri" w:cs="Calibri"/>
          <w:color w:val="993300"/>
        </w:rPr>
        <w:t>, 2025</w:t>
      </w:r>
    </w:p>
    <w:p w14:paraId="38718C51" w14:textId="77777777" w:rsidR="00B315D2" w:rsidRPr="00DF37C1" w:rsidRDefault="00B315D2" w:rsidP="00B315D2">
      <w:pPr>
        <w:rPr>
          <w:rFonts w:ascii="Calibri" w:hAnsi="Calibri" w:cs="Calibri"/>
        </w:rPr>
      </w:pPr>
    </w:p>
    <w:p w14:paraId="7720E121" w14:textId="77777777" w:rsidR="00B315D2" w:rsidRPr="00DF37C1" w:rsidRDefault="00B315D2" w:rsidP="00B315D2">
      <w:pPr>
        <w:rPr>
          <w:rFonts w:ascii="Calibri" w:hAnsi="Calibri" w:cs="Calibri"/>
        </w:rPr>
      </w:pPr>
    </w:p>
    <w:sdt>
      <w:sdtPr>
        <w:rPr>
          <w:rFonts w:ascii="Calibri" w:eastAsiaTheme="minorHAnsi" w:hAnsi="Calibri" w:cs="Calibri"/>
          <w:color w:val="auto"/>
          <w:kern w:val="2"/>
          <w:sz w:val="22"/>
          <w:szCs w:val="22"/>
          <w14:ligatures w14:val="standardContextual"/>
        </w:rPr>
        <w:id w:val="-1468430546"/>
        <w:docPartObj>
          <w:docPartGallery w:val="Table of Contents"/>
          <w:docPartUnique/>
        </w:docPartObj>
      </w:sdtPr>
      <w:sdtEndPr>
        <w:rPr>
          <w:b/>
          <w:bCs/>
          <w:noProof/>
        </w:rPr>
      </w:sdtEndPr>
      <w:sdtContent>
        <w:p w14:paraId="7DC56BBC" w14:textId="323C740E" w:rsidR="00D2604C" w:rsidRPr="00DF37C1" w:rsidRDefault="00D2604C">
          <w:pPr>
            <w:pStyle w:val="TOCHeading"/>
            <w:rPr>
              <w:rFonts w:ascii="Calibri" w:hAnsi="Calibri" w:cs="Calibri"/>
            </w:rPr>
          </w:pPr>
          <w:r w:rsidRPr="00DF37C1">
            <w:rPr>
              <w:rFonts w:ascii="Calibri" w:hAnsi="Calibri" w:cs="Calibri"/>
            </w:rPr>
            <w:t>Table of Contents</w:t>
          </w:r>
        </w:p>
        <w:p w14:paraId="33A48019" w14:textId="0A10B49D" w:rsidR="00403E8E" w:rsidRPr="009E1541" w:rsidRDefault="00D2604C">
          <w:pPr>
            <w:pStyle w:val="TOC1"/>
            <w:tabs>
              <w:tab w:val="right" w:leader="dot" w:pos="9350"/>
            </w:tabs>
            <w:rPr>
              <w:rFonts w:ascii="Calibri" w:eastAsiaTheme="minorEastAsia" w:hAnsi="Calibri" w:cs="Calibri"/>
              <w:noProof/>
              <w:sz w:val="24"/>
              <w:szCs w:val="24"/>
            </w:rPr>
          </w:pPr>
          <w:r w:rsidRPr="00DF37C1">
            <w:rPr>
              <w:rFonts w:ascii="Calibri" w:hAnsi="Calibri" w:cs="Calibri"/>
            </w:rPr>
            <w:fldChar w:fldCharType="begin"/>
          </w:r>
          <w:r w:rsidRPr="00DF37C1">
            <w:rPr>
              <w:rFonts w:ascii="Calibri" w:hAnsi="Calibri" w:cs="Calibri"/>
            </w:rPr>
            <w:instrText xml:space="preserve"> TOC \o "1-3" \h \z \u </w:instrText>
          </w:r>
          <w:r w:rsidRPr="00DF37C1">
            <w:rPr>
              <w:rFonts w:ascii="Calibri" w:hAnsi="Calibri" w:cs="Calibri"/>
            </w:rPr>
            <w:fldChar w:fldCharType="separate"/>
          </w:r>
          <w:hyperlink w:anchor="_Toc201317499" w:history="1">
            <w:r w:rsidR="00403E8E" w:rsidRPr="009E1541">
              <w:rPr>
                <w:rStyle w:val="Hyperlink"/>
                <w:rFonts w:ascii="Calibri" w:hAnsi="Calibri" w:cs="Calibri"/>
                <w:noProof/>
              </w:rPr>
              <w:t>Executive Summary</w:t>
            </w:r>
            <w:r w:rsidR="00403E8E" w:rsidRPr="009E1541">
              <w:rPr>
                <w:rFonts w:ascii="Calibri" w:hAnsi="Calibri" w:cs="Calibri"/>
                <w:noProof/>
                <w:webHidden/>
              </w:rPr>
              <w:tab/>
            </w:r>
            <w:r w:rsidR="00403E8E" w:rsidRPr="009E1541">
              <w:rPr>
                <w:rFonts w:ascii="Calibri" w:hAnsi="Calibri" w:cs="Calibri"/>
                <w:noProof/>
                <w:webHidden/>
              </w:rPr>
              <w:fldChar w:fldCharType="begin"/>
            </w:r>
            <w:r w:rsidR="00403E8E" w:rsidRPr="009E1541">
              <w:rPr>
                <w:rFonts w:ascii="Calibri" w:hAnsi="Calibri" w:cs="Calibri"/>
                <w:noProof/>
                <w:webHidden/>
              </w:rPr>
              <w:instrText xml:space="preserve"> PAGEREF _Toc201317499 \h </w:instrText>
            </w:r>
            <w:r w:rsidR="00403E8E" w:rsidRPr="009E1541">
              <w:rPr>
                <w:rFonts w:ascii="Calibri" w:hAnsi="Calibri" w:cs="Calibri"/>
                <w:noProof/>
                <w:webHidden/>
              </w:rPr>
            </w:r>
            <w:r w:rsidR="00403E8E" w:rsidRPr="009E1541">
              <w:rPr>
                <w:rFonts w:ascii="Calibri" w:hAnsi="Calibri" w:cs="Calibri"/>
                <w:noProof/>
                <w:webHidden/>
              </w:rPr>
              <w:fldChar w:fldCharType="separate"/>
            </w:r>
            <w:r w:rsidR="00403E8E" w:rsidRPr="009E1541">
              <w:rPr>
                <w:rFonts w:ascii="Calibri" w:hAnsi="Calibri" w:cs="Calibri"/>
                <w:noProof/>
                <w:webHidden/>
              </w:rPr>
              <w:t>3</w:t>
            </w:r>
            <w:r w:rsidR="00403E8E" w:rsidRPr="009E1541">
              <w:rPr>
                <w:rFonts w:ascii="Calibri" w:hAnsi="Calibri" w:cs="Calibri"/>
                <w:noProof/>
                <w:webHidden/>
              </w:rPr>
              <w:fldChar w:fldCharType="end"/>
            </w:r>
          </w:hyperlink>
        </w:p>
        <w:p w14:paraId="48D2FDCC" w14:textId="5F34A147" w:rsidR="00403E8E" w:rsidRPr="009E1541" w:rsidRDefault="00403E8E">
          <w:pPr>
            <w:pStyle w:val="TOC1"/>
            <w:tabs>
              <w:tab w:val="right" w:leader="dot" w:pos="9350"/>
            </w:tabs>
            <w:rPr>
              <w:rFonts w:ascii="Calibri" w:eastAsiaTheme="minorEastAsia" w:hAnsi="Calibri" w:cs="Calibri"/>
              <w:noProof/>
              <w:sz w:val="24"/>
              <w:szCs w:val="24"/>
            </w:rPr>
          </w:pPr>
          <w:hyperlink w:anchor="_Toc201317500" w:history="1">
            <w:r w:rsidRPr="009E1541">
              <w:rPr>
                <w:rStyle w:val="Hyperlink"/>
                <w:rFonts w:ascii="Calibri" w:hAnsi="Calibri" w:cs="Calibri"/>
                <w:noProof/>
              </w:rPr>
              <w:t>Company Introduction</w:t>
            </w:r>
            <w:r w:rsidRPr="009E1541">
              <w:rPr>
                <w:rFonts w:ascii="Calibri" w:hAnsi="Calibri" w:cs="Calibri"/>
                <w:noProof/>
                <w:webHidden/>
              </w:rPr>
              <w:tab/>
            </w:r>
            <w:r w:rsidRPr="009E1541">
              <w:rPr>
                <w:rFonts w:ascii="Calibri" w:hAnsi="Calibri" w:cs="Calibri"/>
                <w:noProof/>
                <w:webHidden/>
              </w:rPr>
              <w:fldChar w:fldCharType="begin"/>
            </w:r>
            <w:r w:rsidRPr="009E1541">
              <w:rPr>
                <w:rFonts w:ascii="Calibri" w:hAnsi="Calibri" w:cs="Calibri"/>
                <w:noProof/>
                <w:webHidden/>
              </w:rPr>
              <w:instrText xml:space="preserve"> PAGEREF _Toc201317500 \h </w:instrText>
            </w:r>
            <w:r w:rsidRPr="009E1541">
              <w:rPr>
                <w:rFonts w:ascii="Calibri" w:hAnsi="Calibri" w:cs="Calibri"/>
                <w:noProof/>
                <w:webHidden/>
              </w:rPr>
            </w:r>
            <w:r w:rsidRPr="009E1541">
              <w:rPr>
                <w:rFonts w:ascii="Calibri" w:hAnsi="Calibri" w:cs="Calibri"/>
                <w:noProof/>
                <w:webHidden/>
              </w:rPr>
              <w:fldChar w:fldCharType="separate"/>
            </w:r>
            <w:r w:rsidRPr="009E1541">
              <w:rPr>
                <w:rFonts w:ascii="Calibri" w:hAnsi="Calibri" w:cs="Calibri"/>
                <w:noProof/>
                <w:webHidden/>
              </w:rPr>
              <w:t>4</w:t>
            </w:r>
            <w:r w:rsidRPr="009E1541">
              <w:rPr>
                <w:rFonts w:ascii="Calibri" w:hAnsi="Calibri" w:cs="Calibri"/>
                <w:noProof/>
                <w:webHidden/>
              </w:rPr>
              <w:fldChar w:fldCharType="end"/>
            </w:r>
          </w:hyperlink>
        </w:p>
        <w:p w14:paraId="615F5638" w14:textId="2D253F97" w:rsidR="00403E8E" w:rsidRPr="009E1541" w:rsidRDefault="00403E8E">
          <w:pPr>
            <w:pStyle w:val="TOC2"/>
            <w:tabs>
              <w:tab w:val="right" w:leader="dot" w:pos="9350"/>
            </w:tabs>
            <w:rPr>
              <w:rFonts w:ascii="Calibri" w:eastAsiaTheme="minorEastAsia" w:hAnsi="Calibri" w:cs="Calibri"/>
              <w:noProof/>
              <w:sz w:val="24"/>
              <w:szCs w:val="24"/>
            </w:rPr>
          </w:pPr>
          <w:hyperlink w:anchor="_Toc201317501" w:history="1">
            <w:r w:rsidRPr="009E1541">
              <w:rPr>
                <w:rStyle w:val="Hyperlink"/>
                <w:rFonts w:ascii="Calibri" w:hAnsi="Calibri" w:cs="Calibri"/>
                <w:noProof/>
              </w:rPr>
              <w:t>Company Background</w:t>
            </w:r>
            <w:r w:rsidRPr="009E1541">
              <w:rPr>
                <w:rFonts w:ascii="Calibri" w:hAnsi="Calibri" w:cs="Calibri"/>
                <w:noProof/>
                <w:webHidden/>
              </w:rPr>
              <w:tab/>
            </w:r>
            <w:r w:rsidRPr="009E1541">
              <w:rPr>
                <w:rFonts w:ascii="Calibri" w:hAnsi="Calibri" w:cs="Calibri"/>
                <w:noProof/>
                <w:webHidden/>
              </w:rPr>
              <w:fldChar w:fldCharType="begin"/>
            </w:r>
            <w:r w:rsidRPr="009E1541">
              <w:rPr>
                <w:rFonts w:ascii="Calibri" w:hAnsi="Calibri" w:cs="Calibri"/>
                <w:noProof/>
                <w:webHidden/>
              </w:rPr>
              <w:instrText xml:space="preserve"> PAGEREF _Toc201317501 \h </w:instrText>
            </w:r>
            <w:r w:rsidRPr="009E1541">
              <w:rPr>
                <w:rFonts w:ascii="Calibri" w:hAnsi="Calibri" w:cs="Calibri"/>
                <w:noProof/>
                <w:webHidden/>
              </w:rPr>
            </w:r>
            <w:r w:rsidRPr="009E1541">
              <w:rPr>
                <w:rFonts w:ascii="Calibri" w:hAnsi="Calibri" w:cs="Calibri"/>
                <w:noProof/>
                <w:webHidden/>
              </w:rPr>
              <w:fldChar w:fldCharType="separate"/>
            </w:r>
            <w:r w:rsidRPr="009E1541">
              <w:rPr>
                <w:rFonts w:ascii="Calibri" w:hAnsi="Calibri" w:cs="Calibri"/>
                <w:noProof/>
                <w:webHidden/>
              </w:rPr>
              <w:t>5</w:t>
            </w:r>
            <w:r w:rsidRPr="009E1541">
              <w:rPr>
                <w:rFonts w:ascii="Calibri" w:hAnsi="Calibri" w:cs="Calibri"/>
                <w:noProof/>
                <w:webHidden/>
              </w:rPr>
              <w:fldChar w:fldCharType="end"/>
            </w:r>
          </w:hyperlink>
        </w:p>
        <w:p w14:paraId="217B9DC1" w14:textId="2A05BF96" w:rsidR="00403E8E" w:rsidRPr="009E1541" w:rsidRDefault="00403E8E">
          <w:pPr>
            <w:pStyle w:val="TOC1"/>
            <w:tabs>
              <w:tab w:val="right" w:leader="dot" w:pos="9350"/>
            </w:tabs>
            <w:rPr>
              <w:rFonts w:ascii="Calibri" w:eastAsiaTheme="minorEastAsia" w:hAnsi="Calibri" w:cs="Calibri"/>
              <w:noProof/>
              <w:sz w:val="24"/>
              <w:szCs w:val="24"/>
            </w:rPr>
          </w:pPr>
          <w:hyperlink w:anchor="_Toc201317502" w:history="1">
            <w:r w:rsidRPr="009E1541">
              <w:rPr>
                <w:rStyle w:val="Hyperlink"/>
                <w:rFonts w:ascii="Calibri" w:hAnsi="Calibri" w:cs="Calibri"/>
                <w:noProof/>
              </w:rPr>
              <w:t>Software Solution</w:t>
            </w:r>
            <w:r w:rsidRPr="009E1541">
              <w:rPr>
                <w:rFonts w:ascii="Calibri" w:hAnsi="Calibri" w:cs="Calibri"/>
                <w:noProof/>
                <w:webHidden/>
              </w:rPr>
              <w:tab/>
            </w:r>
            <w:r w:rsidRPr="009E1541">
              <w:rPr>
                <w:rFonts w:ascii="Calibri" w:hAnsi="Calibri" w:cs="Calibri"/>
                <w:noProof/>
                <w:webHidden/>
              </w:rPr>
              <w:fldChar w:fldCharType="begin"/>
            </w:r>
            <w:r w:rsidRPr="009E1541">
              <w:rPr>
                <w:rFonts w:ascii="Calibri" w:hAnsi="Calibri" w:cs="Calibri"/>
                <w:noProof/>
                <w:webHidden/>
              </w:rPr>
              <w:instrText xml:space="preserve"> PAGEREF _Toc201317502 \h </w:instrText>
            </w:r>
            <w:r w:rsidRPr="009E1541">
              <w:rPr>
                <w:rFonts w:ascii="Calibri" w:hAnsi="Calibri" w:cs="Calibri"/>
                <w:noProof/>
                <w:webHidden/>
              </w:rPr>
            </w:r>
            <w:r w:rsidRPr="009E1541">
              <w:rPr>
                <w:rFonts w:ascii="Calibri" w:hAnsi="Calibri" w:cs="Calibri"/>
                <w:noProof/>
                <w:webHidden/>
              </w:rPr>
              <w:fldChar w:fldCharType="separate"/>
            </w:r>
            <w:r w:rsidRPr="009E1541">
              <w:rPr>
                <w:rFonts w:ascii="Calibri" w:hAnsi="Calibri" w:cs="Calibri"/>
                <w:noProof/>
                <w:webHidden/>
              </w:rPr>
              <w:t>6</w:t>
            </w:r>
            <w:r w:rsidRPr="009E1541">
              <w:rPr>
                <w:rFonts w:ascii="Calibri" w:hAnsi="Calibri" w:cs="Calibri"/>
                <w:noProof/>
                <w:webHidden/>
              </w:rPr>
              <w:fldChar w:fldCharType="end"/>
            </w:r>
          </w:hyperlink>
        </w:p>
        <w:p w14:paraId="1E5FAECF" w14:textId="70453822" w:rsidR="00403E8E" w:rsidRPr="009E1541" w:rsidRDefault="00403E8E">
          <w:pPr>
            <w:pStyle w:val="TOC2"/>
            <w:tabs>
              <w:tab w:val="right" w:leader="dot" w:pos="9350"/>
            </w:tabs>
            <w:rPr>
              <w:rFonts w:ascii="Calibri" w:eastAsiaTheme="minorEastAsia" w:hAnsi="Calibri" w:cs="Calibri"/>
              <w:noProof/>
              <w:sz w:val="24"/>
              <w:szCs w:val="24"/>
            </w:rPr>
          </w:pPr>
          <w:hyperlink w:anchor="_Toc201317503" w:history="1">
            <w:r w:rsidRPr="009E1541">
              <w:rPr>
                <w:rStyle w:val="Hyperlink"/>
                <w:rFonts w:ascii="Calibri" w:hAnsi="Calibri" w:cs="Calibri"/>
                <w:noProof/>
              </w:rPr>
              <w:t>ERP Overview</w:t>
            </w:r>
            <w:r w:rsidRPr="009E1541">
              <w:rPr>
                <w:rFonts w:ascii="Calibri" w:hAnsi="Calibri" w:cs="Calibri"/>
                <w:noProof/>
                <w:webHidden/>
              </w:rPr>
              <w:tab/>
            </w:r>
            <w:r w:rsidRPr="009E1541">
              <w:rPr>
                <w:rFonts w:ascii="Calibri" w:hAnsi="Calibri" w:cs="Calibri"/>
                <w:noProof/>
                <w:webHidden/>
              </w:rPr>
              <w:fldChar w:fldCharType="begin"/>
            </w:r>
            <w:r w:rsidRPr="009E1541">
              <w:rPr>
                <w:rFonts w:ascii="Calibri" w:hAnsi="Calibri" w:cs="Calibri"/>
                <w:noProof/>
                <w:webHidden/>
              </w:rPr>
              <w:instrText xml:space="preserve"> PAGEREF _Toc201317503 \h </w:instrText>
            </w:r>
            <w:r w:rsidRPr="009E1541">
              <w:rPr>
                <w:rFonts w:ascii="Calibri" w:hAnsi="Calibri" w:cs="Calibri"/>
                <w:noProof/>
                <w:webHidden/>
              </w:rPr>
            </w:r>
            <w:r w:rsidRPr="009E1541">
              <w:rPr>
                <w:rFonts w:ascii="Calibri" w:hAnsi="Calibri" w:cs="Calibri"/>
                <w:noProof/>
                <w:webHidden/>
              </w:rPr>
              <w:fldChar w:fldCharType="separate"/>
            </w:r>
            <w:r w:rsidRPr="009E1541">
              <w:rPr>
                <w:rFonts w:ascii="Calibri" w:hAnsi="Calibri" w:cs="Calibri"/>
                <w:noProof/>
                <w:webHidden/>
              </w:rPr>
              <w:t>7</w:t>
            </w:r>
            <w:r w:rsidRPr="009E1541">
              <w:rPr>
                <w:rFonts w:ascii="Calibri" w:hAnsi="Calibri" w:cs="Calibri"/>
                <w:noProof/>
                <w:webHidden/>
              </w:rPr>
              <w:fldChar w:fldCharType="end"/>
            </w:r>
          </w:hyperlink>
        </w:p>
        <w:p w14:paraId="57C20FCB" w14:textId="2857B05F" w:rsidR="00403E8E" w:rsidRPr="009E1541" w:rsidRDefault="00403E8E">
          <w:pPr>
            <w:pStyle w:val="TOC2"/>
            <w:tabs>
              <w:tab w:val="right" w:leader="dot" w:pos="9350"/>
            </w:tabs>
            <w:rPr>
              <w:rFonts w:ascii="Calibri" w:eastAsiaTheme="minorEastAsia" w:hAnsi="Calibri" w:cs="Calibri"/>
              <w:noProof/>
              <w:sz w:val="24"/>
              <w:szCs w:val="24"/>
            </w:rPr>
          </w:pPr>
          <w:hyperlink w:anchor="_Toc201317504" w:history="1">
            <w:r w:rsidRPr="009E1541">
              <w:rPr>
                <w:rStyle w:val="Hyperlink"/>
                <w:rFonts w:ascii="Calibri" w:hAnsi="Calibri" w:cs="Calibri"/>
                <w:noProof/>
              </w:rPr>
              <w:t>Human Capital Management Overview</w:t>
            </w:r>
            <w:r w:rsidRPr="009E1541">
              <w:rPr>
                <w:rFonts w:ascii="Calibri" w:hAnsi="Calibri" w:cs="Calibri"/>
                <w:noProof/>
                <w:webHidden/>
              </w:rPr>
              <w:tab/>
            </w:r>
            <w:r w:rsidRPr="009E1541">
              <w:rPr>
                <w:rFonts w:ascii="Calibri" w:hAnsi="Calibri" w:cs="Calibri"/>
                <w:noProof/>
                <w:webHidden/>
              </w:rPr>
              <w:fldChar w:fldCharType="begin"/>
            </w:r>
            <w:r w:rsidRPr="009E1541">
              <w:rPr>
                <w:rFonts w:ascii="Calibri" w:hAnsi="Calibri" w:cs="Calibri"/>
                <w:noProof/>
                <w:webHidden/>
              </w:rPr>
              <w:instrText xml:space="preserve"> PAGEREF _Toc201317504 \h </w:instrText>
            </w:r>
            <w:r w:rsidRPr="009E1541">
              <w:rPr>
                <w:rFonts w:ascii="Calibri" w:hAnsi="Calibri" w:cs="Calibri"/>
                <w:noProof/>
                <w:webHidden/>
              </w:rPr>
            </w:r>
            <w:r w:rsidRPr="009E1541">
              <w:rPr>
                <w:rFonts w:ascii="Calibri" w:hAnsi="Calibri" w:cs="Calibri"/>
                <w:noProof/>
                <w:webHidden/>
              </w:rPr>
              <w:fldChar w:fldCharType="separate"/>
            </w:r>
            <w:r w:rsidRPr="009E1541">
              <w:rPr>
                <w:rFonts w:ascii="Calibri" w:hAnsi="Calibri" w:cs="Calibri"/>
                <w:noProof/>
                <w:webHidden/>
              </w:rPr>
              <w:t>13</w:t>
            </w:r>
            <w:r w:rsidRPr="009E1541">
              <w:rPr>
                <w:rFonts w:ascii="Calibri" w:hAnsi="Calibri" w:cs="Calibri"/>
                <w:noProof/>
                <w:webHidden/>
              </w:rPr>
              <w:fldChar w:fldCharType="end"/>
            </w:r>
          </w:hyperlink>
        </w:p>
        <w:p w14:paraId="19C306A2" w14:textId="4AE4BB5B" w:rsidR="00D2604C" w:rsidRPr="00DF37C1" w:rsidRDefault="00D2604C">
          <w:pPr>
            <w:rPr>
              <w:rFonts w:ascii="Calibri" w:hAnsi="Calibri" w:cs="Calibri"/>
            </w:rPr>
          </w:pPr>
          <w:r w:rsidRPr="00DF37C1">
            <w:rPr>
              <w:rFonts w:ascii="Calibri" w:hAnsi="Calibri" w:cs="Calibri"/>
              <w:b/>
              <w:bCs/>
              <w:noProof/>
            </w:rPr>
            <w:fldChar w:fldCharType="end"/>
          </w:r>
        </w:p>
      </w:sdtContent>
    </w:sdt>
    <w:p w14:paraId="4369A9CC" w14:textId="77777777" w:rsidR="00B315D2" w:rsidRPr="00DF37C1" w:rsidRDefault="00B315D2" w:rsidP="00B315D2">
      <w:pPr>
        <w:rPr>
          <w:rFonts w:ascii="Calibri" w:hAnsi="Calibri" w:cs="Calibri"/>
        </w:rPr>
      </w:pPr>
    </w:p>
    <w:p w14:paraId="47A3C5DC" w14:textId="77777777" w:rsidR="00B315D2" w:rsidRPr="00DF37C1" w:rsidRDefault="00B315D2" w:rsidP="00B315D2">
      <w:pPr>
        <w:rPr>
          <w:rFonts w:ascii="Calibri" w:hAnsi="Calibri" w:cs="Calibri"/>
        </w:rPr>
      </w:pPr>
    </w:p>
    <w:p w14:paraId="70EA5F16" w14:textId="77777777" w:rsidR="00B315D2" w:rsidRPr="00DF37C1" w:rsidRDefault="00B315D2" w:rsidP="00B315D2">
      <w:pPr>
        <w:rPr>
          <w:rFonts w:ascii="Calibri" w:hAnsi="Calibri" w:cs="Calibri"/>
        </w:rPr>
      </w:pPr>
    </w:p>
    <w:p w14:paraId="6A4ECAD9" w14:textId="77777777" w:rsidR="00B315D2" w:rsidRPr="00DF37C1" w:rsidRDefault="00B315D2" w:rsidP="00B315D2">
      <w:pPr>
        <w:rPr>
          <w:rFonts w:ascii="Calibri" w:hAnsi="Calibri" w:cs="Calibri"/>
        </w:rPr>
      </w:pPr>
    </w:p>
    <w:p w14:paraId="6BC8CA69" w14:textId="77777777" w:rsidR="00B315D2" w:rsidRPr="00DF37C1" w:rsidRDefault="00B315D2" w:rsidP="00B315D2">
      <w:pPr>
        <w:rPr>
          <w:rFonts w:ascii="Calibri" w:hAnsi="Calibri" w:cs="Calibri"/>
        </w:rPr>
      </w:pPr>
    </w:p>
    <w:p w14:paraId="110A0759" w14:textId="77777777" w:rsidR="00B315D2" w:rsidRPr="00DF37C1" w:rsidRDefault="00B315D2" w:rsidP="00B315D2">
      <w:pPr>
        <w:rPr>
          <w:rFonts w:ascii="Calibri" w:hAnsi="Calibri" w:cs="Calibri"/>
        </w:rPr>
      </w:pPr>
    </w:p>
    <w:p w14:paraId="3AC18E7F" w14:textId="77777777" w:rsidR="005C6ACB" w:rsidRPr="00DF37C1" w:rsidRDefault="005C6ACB">
      <w:pPr>
        <w:rPr>
          <w:rFonts w:ascii="Calibri" w:hAnsi="Calibri" w:cs="Calibri"/>
        </w:rPr>
      </w:pPr>
    </w:p>
    <w:p w14:paraId="2874C098" w14:textId="77777777" w:rsidR="005C6ACB" w:rsidRPr="00DF37C1" w:rsidRDefault="005C6ACB">
      <w:pPr>
        <w:rPr>
          <w:rFonts w:ascii="Calibri" w:hAnsi="Calibri" w:cs="Calibri"/>
        </w:rPr>
      </w:pPr>
    </w:p>
    <w:p w14:paraId="717A65DC" w14:textId="77777777" w:rsidR="005C6ACB" w:rsidRPr="00DF37C1" w:rsidRDefault="005C6ACB">
      <w:pPr>
        <w:rPr>
          <w:rFonts w:ascii="Calibri" w:hAnsi="Calibri" w:cs="Calibri"/>
        </w:rPr>
      </w:pPr>
    </w:p>
    <w:p w14:paraId="1A25D1A7" w14:textId="77777777" w:rsidR="005C6ACB" w:rsidRPr="00DF37C1" w:rsidRDefault="005C6ACB">
      <w:pPr>
        <w:rPr>
          <w:rFonts w:ascii="Calibri" w:hAnsi="Calibri" w:cs="Calibri"/>
        </w:rPr>
      </w:pPr>
    </w:p>
    <w:p w14:paraId="769CE2DD" w14:textId="77777777" w:rsidR="005C6ACB" w:rsidRPr="00DF37C1" w:rsidRDefault="005C6ACB">
      <w:pPr>
        <w:rPr>
          <w:rFonts w:ascii="Calibri" w:hAnsi="Calibri" w:cs="Calibri"/>
        </w:rPr>
      </w:pPr>
    </w:p>
    <w:p w14:paraId="65A6A1CB" w14:textId="77777777" w:rsidR="005C6ACB" w:rsidRPr="00DF37C1" w:rsidRDefault="005C6ACB">
      <w:pPr>
        <w:rPr>
          <w:rFonts w:ascii="Calibri" w:hAnsi="Calibri" w:cs="Calibri"/>
        </w:rPr>
      </w:pPr>
    </w:p>
    <w:p w14:paraId="5BF86D13" w14:textId="32C9BABF" w:rsidR="005C6ACB" w:rsidRPr="00DF37C1" w:rsidRDefault="005C6ACB">
      <w:pPr>
        <w:rPr>
          <w:rFonts w:ascii="Calibri" w:hAnsi="Calibri" w:cs="Calibri"/>
        </w:rPr>
      </w:pPr>
      <w:r w:rsidRPr="00DF37C1">
        <w:rPr>
          <w:rFonts w:ascii="Calibri" w:hAnsi="Calibri" w:cs="Calibri"/>
        </w:rPr>
        <w:tab/>
      </w:r>
      <w:r w:rsidRPr="00DF37C1">
        <w:rPr>
          <w:rFonts w:ascii="Calibri" w:hAnsi="Calibri" w:cs="Calibri"/>
        </w:rPr>
        <w:tab/>
      </w:r>
      <w:r w:rsidRPr="00DF37C1">
        <w:rPr>
          <w:rFonts w:ascii="Calibri" w:hAnsi="Calibri" w:cs="Calibri"/>
        </w:rPr>
        <w:tab/>
      </w:r>
    </w:p>
    <w:p w14:paraId="329886DC" w14:textId="77777777" w:rsidR="005C6ACB" w:rsidRPr="00DF37C1" w:rsidRDefault="005C6ACB">
      <w:pPr>
        <w:rPr>
          <w:rFonts w:ascii="Calibri" w:hAnsi="Calibri" w:cs="Calibri"/>
        </w:rPr>
      </w:pPr>
    </w:p>
    <w:p w14:paraId="1578E72E" w14:textId="77777777" w:rsidR="005C6ACB" w:rsidRPr="00DF37C1" w:rsidRDefault="005C6ACB">
      <w:pPr>
        <w:rPr>
          <w:rFonts w:ascii="Calibri" w:hAnsi="Calibri" w:cs="Calibri"/>
        </w:rPr>
      </w:pPr>
    </w:p>
    <w:p w14:paraId="517137A7" w14:textId="77777777" w:rsidR="005C6ACB" w:rsidRPr="00DF37C1" w:rsidRDefault="005C6ACB">
      <w:pPr>
        <w:rPr>
          <w:rFonts w:ascii="Calibri" w:hAnsi="Calibri" w:cs="Calibri"/>
        </w:rPr>
      </w:pPr>
    </w:p>
    <w:p w14:paraId="27543F64" w14:textId="77777777" w:rsidR="005C6ACB" w:rsidRPr="00DF37C1" w:rsidRDefault="005C6ACB">
      <w:pPr>
        <w:rPr>
          <w:rFonts w:ascii="Calibri" w:hAnsi="Calibri" w:cs="Calibri"/>
        </w:rPr>
      </w:pPr>
    </w:p>
    <w:p w14:paraId="29FB7F89" w14:textId="77777777" w:rsidR="005C6ACB" w:rsidRPr="00DF37C1" w:rsidRDefault="005C6ACB">
      <w:pPr>
        <w:rPr>
          <w:rFonts w:ascii="Calibri" w:hAnsi="Calibri" w:cs="Calibri"/>
        </w:rPr>
      </w:pPr>
    </w:p>
    <w:p w14:paraId="4EE9E616" w14:textId="77777777" w:rsidR="005C6ACB" w:rsidRPr="00DF37C1" w:rsidRDefault="005C6ACB">
      <w:pPr>
        <w:rPr>
          <w:rFonts w:ascii="Calibri" w:hAnsi="Calibri" w:cs="Calibri"/>
        </w:rPr>
      </w:pPr>
    </w:p>
    <w:p w14:paraId="7C497CD0" w14:textId="77777777" w:rsidR="005C6ACB" w:rsidRPr="00DF37C1" w:rsidRDefault="005C6ACB">
      <w:pPr>
        <w:rPr>
          <w:rFonts w:ascii="Calibri" w:hAnsi="Calibri" w:cs="Calibri"/>
        </w:rPr>
      </w:pPr>
    </w:p>
    <w:p w14:paraId="6B2A76D3" w14:textId="0BE35BA7" w:rsidR="005C6ACB" w:rsidRDefault="005C6ACB">
      <w:pPr>
        <w:rPr>
          <w:rFonts w:ascii="Calibri" w:hAnsi="Calibri" w:cs="Calibri"/>
        </w:rPr>
      </w:pPr>
    </w:p>
    <w:p w14:paraId="077770EC" w14:textId="77777777" w:rsidR="005072C0" w:rsidRDefault="005072C0">
      <w:pPr>
        <w:rPr>
          <w:rFonts w:ascii="Calibri" w:hAnsi="Calibri" w:cs="Calibri"/>
        </w:rPr>
      </w:pPr>
    </w:p>
    <w:p w14:paraId="3779D272" w14:textId="0BB76AB8" w:rsidR="005072C0" w:rsidRDefault="005072C0" w:rsidP="00403E8E">
      <w:pPr>
        <w:pStyle w:val="Heading1"/>
      </w:pPr>
      <w:bookmarkStart w:id="0" w:name="_Toc201317499"/>
      <w:r>
        <w:lastRenderedPageBreak/>
        <w:t>Executive Summary</w:t>
      </w:r>
      <w:bookmarkEnd w:id="0"/>
    </w:p>
    <w:p w14:paraId="112FC69D" w14:textId="2485DD02" w:rsidR="00484DAE" w:rsidRPr="00652D71" w:rsidRDefault="00D17086" w:rsidP="00484DAE">
      <w:pPr>
        <w:spacing w:after="0"/>
        <w:rPr>
          <w:rFonts w:ascii="Calibri" w:hAnsi="Calibri" w:cs="Calibri"/>
        </w:rPr>
      </w:pPr>
      <w:r>
        <w:rPr>
          <w:rFonts w:ascii="Calibri" w:hAnsi="Calibri" w:cs="Calibri"/>
          <w:color w:val="000000" w:themeColor="text1"/>
        </w:rPr>
        <w:t>i</w:t>
      </w:r>
      <w:r w:rsidR="00484DAE" w:rsidRPr="00652D71">
        <w:rPr>
          <w:rFonts w:ascii="Calibri" w:hAnsi="Calibri" w:cs="Calibri"/>
          <w:color w:val="000000" w:themeColor="text1"/>
        </w:rPr>
        <w:t>teria</w:t>
      </w:r>
      <w:r>
        <w:rPr>
          <w:rFonts w:ascii="Calibri" w:hAnsi="Calibri" w:cs="Calibri"/>
          <w:color w:val="000000" w:themeColor="text1"/>
        </w:rPr>
        <w:t>-US</w:t>
      </w:r>
      <w:r w:rsidR="00484DAE" w:rsidRPr="00652D71">
        <w:rPr>
          <w:rFonts w:ascii="Calibri" w:hAnsi="Calibri" w:cs="Calibri"/>
          <w:color w:val="000000" w:themeColor="text1"/>
        </w:rPr>
        <w:t xml:space="preserve"> (iteria) is pleased to present our formal response to Ozaukee County ERP System Replacement Solicitation.  </w:t>
      </w:r>
      <w:r w:rsidR="00484DAE" w:rsidRPr="00652D71">
        <w:rPr>
          <w:rFonts w:ascii="Calibri" w:hAnsi="Calibri" w:cs="Calibri"/>
        </w:rPr>
        <w:t>As a Certified Oracle Partner focused exclusively on Oracle technologies, iteria brings unmatched experience, proven success in public sector implementations, and a deep commitment to delivering tailored, high-impact solutions that prioritize client outcomes over convenience.</w:t>
      </w:r>
    </w:p>
    <w:p w14:paraId="70E323A3" w14:textId="77777777" w:rsidR="00484DAE" w:rsidRPr="00652D71" w:rsidRDefault="00484DAE" w:rsidP="00484DAE">
      <w:pPr>
        <w:spacing w:after="0"/>
        <w:rPr>
          <w:rFonts w:ascii="Calibri" w:hAnsi="Calibri" w:cs="Calibri"/>
        </w:rPr>
      </w:pPr>
    </w:p>
    <w:p w14:paraId="54DB23AB" w14:textId="77777777" w:rsidR="00484DAE" w:rsidRPr="00652D71" w:rsidRDefault="00484DAE" w:rsidP="00484DAE">
      <w:pPr>
        <w:rPr>
          <w:rFonts w:ascii="Calibri" w:hAnsi="Calibri" w:cs="Calibri"/>
        </w:rPr>
      </w:pPr>
      <w:r w:rsidRPr="00652D71">
        <w:rPr>
          <w:rFonts w:ascii="Calibri" w:hAnsi="Calibri" w:cs="Calibri"/>
        </w:rPr>
        <w:t xml:space="preserve">Founded in 2015, iteria was built on decades of experience by leaders who believed that consulting should be centered on the customer—not the bottom line. With satellite offices in Wisconsin and Illinois and over 30 years of public sector experience, our team brings </w:t>
      </w:r>
      <w:r w:rsidRPr="00652D71">
        <w:rPr>
          <w:rFonts w:ascii="Calibri" w:hAnsi="Calibri" w:cs="Calibri"/>
          <w:color w:val="000000" w:themeColor="text1"/>
        </w:rPr>
        <w:t>localized resources to Ozaukee County</w:t>
      </w:r>
      <w:r w:rsidRPr="00652D71">
        <w:rPr>
          <w:rFonts w:ascii="Calibri" w:hAnsi="Calibri" w:cs="Calibri"/>
        </w:rPr>
        <w:t xml:space="preserve"> and understands the distinct challenges faced by local governments. We have successfully implemented Oracle ERP and HCM Cloud suites across multiple counties, including the recent full-suite implementation for Fond du Lac County, WI, integrating third-party systems, supporting GASB compliance, and meeting WRS reporting requirements.</w:t>
      </w:r>
    </w:p>
    <w:p w14:paraId="75F42FE8" w14:textId="77777777" w:rsidR="00484DAE" w:rsidRPr="00652D71" w:rsidRDefault="00484DAE" w:rsidP="00484DAE">
      <w:pPr>
        <w:rPr>
          <w:rFonts w:ascii="Calibri" w:hAnsi="Calibri" w:cs="Calibri"/>
        </w:rPr>
      </w:pPr>
      <w:r w:rsidRPr="00652D71">
        <w:rPr>
          <w:rFonts w:ascii="Calibri" w:hAnsi="Calibri" w:cs="Calibri"/>
        </w:rPr>
        <w:t xml:space="preserve">iteria proposes a complete solution based on Oracle Fusion Cloud Applications, delivering modern, integrated modules for </w:t>
      </w:r>
      <w:r w:rsidRPr="00AB32F8">
        <w:rPr>
          <w:rFonts w:ascii="Calibri" w:hAnsi="Calibri" w:cs="Calibri"/>
        </w:rPr>
        <w:t>Financials, Procurement, Project and Grants, HCM, Recruitment and Onboarding, Time and Labor, and Learning</w:t>
      </w:r>
      <w:r w:rsidRPr="00652D71">
        <w:rPr>
          <w:rFonts w:ascii="Calibri" w:hAnsi="Calibri" w:cs="Calibri"/>
        </w:rPr>
        <w:t>. Oracle’s platform offers a best-in-class combination of security, scalability, accessibility, and depth of functionality. With Oracle’s unmatched innovation—including AI and machine learning capabilities—Ozaukee County will gain a future-ready system that evolves with its needs while preserving operational continuity.</w:t>
      </w:r>
    </w:p>
    <w:p w14:paraId="33DEE0DA" w14:textId="77777777" w:rsidR="00484DAE" w:rsidRPr="00652D71" w:rsidRDefault="00484DAE" w:rsidP="00484DAE">
      <w:pPr>
        <w:rPr>
          <w:rFonts w:ascii="Calibri" w:hAnsi="Calibri" w:cs="Calibri"/>
        </w:rPr>
      </w:pPr>
      <w:r w:rsidRPr="00652D71">
        <w:rPr>
          <w:rFonts w:ascii="Calibri" w:hAnsi="Calibri" w:cs="Calibri"/>
        </w:rPr>
        <w:t>Our approach is holistic. We don’t take shortcuts or apply cookie-cutter templates; we engineer solutions that are sustainable, upgrade-safe, and aligned with the County’s long-term goals. iteria’s strength lies in understanding the downstream and upstream impacts of ERP design decisions—allowing us to deliver a system that not only meets immediate operational needs but supports continued growth and regulatory compliance.</w:t>
      </w:r>
    </w:p>
    <w:p w14:paraId="0864D18F" w14:textId="77777777" w:rsidR="00484DAE" w:rsidRPr="00652D71" w:rsidRDefault="00484DAE" w:rsidP="00484DAE">
      <w:pPr>
        <w:spacing w:after="0"/>
        <w:rPr>
          <w:rFonts w:ascii="Calibri" w:hAnsi="Calibri" w:cs="Calibri"/>
          <w:color w:val="000000" w:themeColor="text1"/>
        </w:rPr>
      </w:pPr>
      <w:r w:rsidRPr="00125FC9">
        <w:rPr>
          <w:rFonts w:ascii="Calibri" w:hAnsi="Calibri" w:cs="Calibri"/>
          <w:color w:val="000000" w:themeColor="text1"/>
        </w:rPr>
        <w:t>We appreciate the opportunity to partner with Ozaukee County on this important initiative. At iteria, we are confident that our public sector expertise, Oracle specialization, and commitment to long-term client success uniquely position us to deliver a solution that will serve the County well into the future.</w:t>
      </w:r>
    </w:p>
    <w:p w14:paraId="1EC7FD92" w14:textId="77777777" w:rsidR="00484DAE" w:rsidRPr="00652D71" w:rsidRDefault="00484DAE" w:rsidP="00484DAE">
      <w:pPr>
        <w:spacing w:after="0"/>
        <w:rPr>
          <w:rFonts w:ascii="Calibri" w:hAnsi="Calibri" w:cs="Calibri"/>
          <w:color w:val="000000" w:themeColor="text1"/>
        </w:rPr>
      </w:pPr>
    </w:p>
    <w:p w14:paraId="79577A5D" w14:textId="77777777" w:rsidR="00484DAE" w:rsidRPr="00125FC9" w:rsidRDefault="00484DAE" w:rsidP="00484DAE">
      <w:pPr>
        <w:spacing w:after="0"/>
        <w:rPr>
          <w:rFonts w:cs="Arial"/>
          <w:color w:val="000000" w:themeColor="text1"/>
        </w:rPr>
      </w:pPr>
      <w:r w:rsidRPr="00652D71">
        <w:rPr>
          <w:rFonts w:ascii="Calibri" w:hAnsi="Calibri" w:cs="Calibri"/>
          <w:color w:val="000000" w:themeColor="text1"/>
        </w:rPr>
        <w:t>We look forward to supporting Ozaukee County during the RFP selection process and beyond.</w:t>
      </w:r>
    </w:p>
    <w:p w14:paraId="2BFE480F" w14:textId="77777777" w:rsidR="00484DAE" w:rsidRPr="00C4590E" w:rsidRDefault="00484DAE" w:rsidP="00484DAE">
      <w:pPr>
        <w:spacing w:after="0"/>
        <w:rPr>
          <w:rFonts w:cs="Arial"/>
          <w:color w:val="000000" w:themeColor="text1"/>
        </w:rPr>
      </w:pPr>
    </w:p>
    <w:p w14:paraId="551F2E1B" w14:textId="77777777" w:rsidR="00484DAE" w:rsidRPr="00711E0C" w:rsidRDefault="00484DAE" w:rsidP="00484DAE">
      <w:pPr>
        <w:spacing w:after="0"/>
        <w:rPr>
          <w:rFonts w:ascii="Calibri" w:hAnsi="Calibri" w:cs="Calibri"/>
          <w:color w:val="000000" w:themeColor="text1"/>
        </w:rPr>
      </w:pPr>
      <w:r w:rsidRPr="00711E0C">
        <w:rPr>
          <w:rFonts w:ascii="Calibri" w:hAnsi="Calibri" w:cs="Calibri"/>
          <w:color w:val="000000" w:themeColor="text1"/>
        </w:rPr>
        <w:t>Sincerely,</w:t>
      </w:r>
    </w:p>
    <w:p w14:paraId="2838A6AA" w14:textId="77777777" w:rsidR="00484DAE" w:rsidRPr="00711E0C" w:rsidRDefault="00484DAE" w:rsidP="00484DAE">
      <w:pPr>
        <w:spacing w:after="0"/>
        <w:rPr>
          <w:rFonts w:ascii="Calibri" w:hAnsi="Calibri" w:cs="Calibri"/>
          <w:color w:val="000000" w:themeColor="text1"/>
        </w:rPr>
      </w:pPr>
      <w:r w:rsidRPr="00711E0C">
        <w:rPr>
          <w:rFonts w:ascii="Calibri" w:hAnsi="Calibri" w:cs="Calibri"/>
          <w:noProof/>
          <w:color w:val="000000" w:themeColor="text1"/>
        </w:rPr>
        <w:drawing>
          <wp:inline distT="0" distB="0" distL="0" distR="0" wp14:anchorId="4F8603A6" wp14:editId="6346D676">
            <wp:extent cx="1027216" cy="338841"/>
            <wp:effectExtent l="0" t="0" r="1905" b="4445"/>
            <wp:docPr id="1150561607"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097" name="Picture 1" descr="A close-up of a signatur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7069" cy="351987"/>
                    </a:xfrm>
                    <a:prstGeom prst="rect">
                      <a:avLst/>
                    </a:prstGeom>
                    <a:noFill/>
                    <a:ln>
                      <a:noFill/>
                    </a:ln>
                  </pic:spPr>
                </pic:pic>
              </a:graphicData>
            </a:graphic>
          </wp:inline>
        </w:drawing>
      </w:r>
    </w:p>
    <w:p w14:paraId="205E8DF8" w14:textId="77777777" w:rsidR="00484DAE" w:rsidRPr="00711E0C" w:rsidRDefault="00484DAE" w:rsidP="00484DAE">
      <w:pPr>
        <w:spacing w:after="0"/>
        <w:rPr>
          <w:rFonts w:ascii="Calibri" w:hAnsi="Calibri" w:cs="Calibri"/>
          <w:color w:val="000000" w:themeColor="text1"/>
        </w:rPr>
      </w:pPr>
      <w:r w:rsidRPr="00711E0C">
        <w:rPr>
          <w:rFonts w:ascii="Calibri" w:hAnsi="Calibri" w:cs="Calibri"/>
          <w:color w:val="000000" w:themeColor="text1"/>
        </w:rPr>
        <w:t>Brian Schell</w:t>
      </w:r>
    </w:p>
    <w:p w14:paraId="66791E23" w14:textId="77777777" w:rsidR="00484DAE" w:rsidRPr="00711E0C" w:rsidRDefault="00484DAE" w:rsidP="00484DAE">
      <w:pPr>
        <w:spacing w:after="0"/>
        <w:rPr>
          <w:rFonts w:ascii="Calibri" w:hAnsi="Calibri" w:cs="Calibri"/>
          <w:color w:val="000000" w:themeColor="text1"/>
        </w:rPr>
      </w:pPr>
      <w:r w:rsidRPr="00711E0C">
        <w:rPr>
          <w:rFonts w:ascii="Calibri" w:hAnsi="Calibri" w:cs="Calibri"/>
          <w:color w:val="000000" w:themeColor="text1"/>
        </w:rPr>
        <w:t>President &amp; CEO</w:t>
      </w:r>
    </w:p>
    <w:p w14:paraId="11F6EFC4" w14:textId="77777777" w:rsidR="00484DAE" w:rsidRPr="00711E0C" w:rsidRDefault="00484DAE">
      <w:pPr>
        <w:rPr>
          <w:rFonts w:ascii="Calibri" w:hAnsi="Calibri" w:cs="Calibri"/>
        </w:rPr>
      </w:pPr>
    </w:p>
    <w:p w14:paraId="3F301466" w14:textId="77777777" w:rsidR="008232E1" w:rsidRDefault="008232E1">
      <w:pPr>
        <w:rPr>
          <w:rFonts w:ascii="Calibri" w:hAnsi="Calibri" w:cs="Calibri"/>
        </w:rPr>
      </w:pPr>
    </w:p>
    <w:p w14:paraId="25FA9344" w14:textId="77777777" w:rsidR="008232E1" w:rsidRPr="00DF37C1" w:rsidRDefault="008232E1">
      <w:pPr>
        <w:rPr>
          <w:rFonts w:ascii="Calibri" w:hAnsi="Calibri" w:cs="Calibri"/>
        </w:rPr>
      </w:pPr>
    </w:p>
    <w:p w14:paraId="33A4A61B" w14:textId="446D30C7" w:rsidR="00B410C5" w:rsidRPr="00403E8E" w:rsidRDefault="00BD2AEA" w:rsidP="00403E8E">
      <w:pPr>
        <w:pStyle w:val="Heading1"/>
        <w:rPr>
          <w:rFonts w:ascii="Calibri" w:hAnsi="Calibri" w:cs="Calibri"/>
        </w:rPr>
      </w:pPr>
      <w:bookmarkStart w:id="1" w:name="_Toc201317500"/>
      <w:r w:rsidRPr="00DF37C1">
        <w:rPr>
          <w:rFonts w:ascii="Calibri" w:hAnsi="Calibri" w:cs="Calibri"/>
        </w:rPr>
        <w:lastRenderedPageBreak/>
        <w:t>C</w:t>
      </w:r>
      <w:r w:rsidR="00403E8E">
        <w:rPr>
          <w:rFonts w:ascii="Calibri" w:hAnsi="Calibri" w:cs="Calibri"/>
        </w:rPr>
        <w:t>ompany Introduction</w:t>
      </w:r>
      <w:bookmarkEnd w:id="1"/>
    </w:p>
    <w:p w14:paraId="5F822886" w14:textId="77777777"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iteria.us, a Certified Oracle Partner, was founded in 2015 as a S Corporation and is registered at the following location / state:</w:t>
      </w:r>
    </w:p>
    <w:p w14:paraId="1F598A3A" w14:textId="77777777" w:rsidR="00BD2AEA" w:rsidRPr="00DF37C1" w:rsidRDefault="00BD2AEA" w:rsidP="00BD2AEA">
      <w:pPr>
        <w:spacing w:after="0"/>
        <w:jc w:val="left"/>
        <w:rPr>
          <w:rFonts w:ascii="Calibri" w:hAnsi="Calibri" w:cs="Calibri"/>
          <w:color w:val="000000" w:themeColor="text1"/>
        </w:rPr>
      </w:pPr>
    </w:p>
    <w:p w14:paraId="49189BFA" w14:textId="77777777" w:rsidR="00BD2AEA" w:rsidRPr="00DF37C1" w:rsidRDefault="00BD2AEA" w:rsidP="00BD2AEA">
      <w:pPr>
        <w:spacing w:after="0"/>
        <w:jc w:val="left"/>
        <w:rPr>
          <w:rFonts w:ascii="Calibri" w:hAnsi="Calibri" w:cs="Calibri"/>
          <w:color w:val="000000" w:themeColor="text1"/>
          <w:lang w:val="fr-FR"/>
        </w:rPr>
      </w:pPr>
      <w:r w:rsidRPr="00DF37C1">
        <w:rPr>
          <w:rFonts w:ascii="Calibri" w:hAnsi="Calibri" w:cs="Calibri"/>
          <w:color w:val="000000" w:themeColor="text1"/>
          <w:lang w:val="fr-FR"/>
        </w:rPr>
        <w:t>1712 Pioneer Ave, Suite 1983</w:t>
      </w:r>
    </w:p>
    <w:p w14:paraId="5024958B" w14:textId="77777777" w:rsidR="00BD2AEA" w:rsidRPr="00DF37C1" w:rsidRDefault="00BD2AEA" w:rsidP="00BD2AEA">
      <w:pPr>
        <w:spacing w:after="0"/>
        <w:jc w:val="left"/>
        <w:rPr>
          <w:rFonts w:ascii="Calibri" w:hAnsi="Calibri" w:cs="Calibri"/>
          <w:color w:val="000000" w:themeColor="text1"/>
          <w:lang w:val="fr-FR"/>
        </w:rPr>
      </w:pPr>
      <w:r w:rsidRPr="00DF37C1">
        <w:rPr>
          <w:rFonts w:ascii="Calibri" w:hAnsi="Calibri" w:cs="Calibri"/>
          <w:color w:val="000000" w:themeColor="text1"/>
          <w:lang w:val="fr-FR"/>
        </w:rPr>
        <w:t>Cheyenne, WY 82001</w:t>
      </w:r>
    </w:p>
    <w:p w14:paraId="2689D987" w14:textId="77777777" w:rsidR="00BD2AEA" w:rsidRPr="00DF37C1" w:rsidRDefault="00BD2AEA" w:rsidP="00BD2AEA">
      <w:pPr>
        <w:spacing w:after="0"/>
        <w:jc w:val="left"/>
        <w:rPr>
          <w:rFonts w:ascii="Calibri" w:hAnsi="Calibri" w:cs="Calibri"/>
          <w:color w:val="000000" w:themeColor="text1"/>
          <w:lang w:val="fr-FR"/>
        </w:rPr>
      </w:pPr>
    </w:p>
    <w:p w14:paraId="116AD654" w14:textId="707E086D"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With satellite offices in both Wisconsin and Illinois, iteria brings localized resources to O</w:t>
      </w:r>
      <w:r w:rsidR="00B410C5" w:rsidRPr="00DF37C1">
        <w:rPr>
          <w:rFonts w:ascii="Calibri" w:hAnsi="Calibri" w:cs="Calibri"/>
          <w:color w:val="000000" w:themeColor="text1"/>
        </w:rPr>
        <w:t>zaukee</w:t>
      </w:r>
      <w:r w:rsidRPr="00DF37C1">
        <w:rPr>
          <w:rFonts w:ascii="Calibri" w:hAnsi="Calibri" w:cs="Calibri"/>
          <w:color w:val="000000" w:themeColor="text1"/>
        </w:rPr>
        <w:t xml:space="preserve"> County.</w:t>
      </w:r>
    </w:p>
    <w:p w14:paraId="4AAD1687" w14:textId="77777777" w:rsidR="00BD2AEA" w:rsidRPr="00DF37C1" w:rsidRDefault="00BD2AEA" w:rsidP="00BD2AEA">
      <w:pPr>
        <w:spacing w:after="0"/>
        <w:jc w:val="left"/>
        <w:rPr>
          <w:rFonts w:ascii="Calibri" w:hAnsi="Calibri" w:cs="Calibri"/>
          <w:color w:val="000000" w:themeColor="text1"/>
        </w:rPr>
      </w:pPr>
    </w:p>
    <w:p w14:paraId="6D4613DB" w14:textId="5751351A"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 xml:space="preserve">iteria </w:t>
      </w:r>
      <w:r w:rsidR="006D5841" w:rsidRPr="00DF37C1">
        <w:rPr>
          <w:rFonts w:ascii="Calibri" w:hAnsi="Calibri" w:cs="Calibri"/>
          <w:color w:val="000000" w:themeColor="text1"/>
        </w:rPr>
        <w:t xml:space="preserve">is proposing </w:t>
      </w:r>
      <w:r w:rsidRPr="00DF37C1">
        <w:rPr>
          <w:rFonts w:ascii="Calibri" w:hAnsi="Calibri" w:cs="Calibri"/>
          <w:color w:val="000000" w:themeColor="text1"/>
        </w:rPr>
        <w:t xml:space="preserve">the Oracle Corporation Suite of Applications </w:t>
      </w:r>
      <w:r w:rsidR="000B5CAA" w:rsidRPr="00DF37C1">
        <w:rPr>
          <w:rFonts w:ascii="Calibri" w:hAnsi="Calibri" w:cs="Calibri"/>
          <w:color w:val="000000" w:themeColor="text1"/>
        </w:rPr>
        <w:t xml:space="preserve">Fusion suite as part of our overall response.  iteria </w:t>
      </w:r>
      <w:r w:rsidR="0092614F" w:rsidRPr="00DF37C1">
        <w:rPr>
          <w:rFonts w:ascii="Calibri" w:hAnsi="Calibri" w:cs="Calibri"/>
          <w:color w:val="000000" w:themeColor="text1"/>
        </w:rPr>
        <w:t>provides i</w:t>
      </w:r>
      <w:r w:rsidRPr="00DF37C1">
        <w:rPr>
          <w:rFonts w:ascii="Calibri" w:hAnsi="Calibri" w:cs="Calibri"/>
          <w:color w:val="000000" w:themeColor="text1"/>
        </w:rPr>
        <w:t xml:space="preserve">mplementation services, managed services / support, and custom development.  iteria’s founders have been working in the Oracle circle for over 30 years and we pride ourselves that we focus only on Oracle technologies, offering our clients superior knowledge and skills to get the most out of your Oracle Suite of Applications. </w:t>
      </w:r>
    </w:p>
    <w:p w14:paraId="34749818" w14:textId="77777777" w:rsidR="00BD2AEA" w:rsidRPr="00DF37C1" w:rsidRDefault="00BD2AEA" w:rsidP="00BD2AEA">
      <w:pPr>
        <w:spacing w:after="0"/>
        <w:jc w:val="left"/>
        <w:rPr>
          <w:rFonts w:ascii="Calibri" w:hAnsi="Calibri" w:cs="Calibri"/>
          <w:color w:val="000000" w:themeColor="text1"/>
        </w:rPr>
      </w:pPr>
    </w:p>
    <w:p w14:paraId="77FB9AF8" w14:textId="6DFDED8F"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 xml:space="preserve">After having served as Executive roles for a few </w:t>
      </w:r>
      <w:r w:rsidR="0092614F" w:rsidRPr="00DF37C1">
        <w:rPr>
          <w:rFonts w:ascii="Calibri" w:hAnsi="Calibri" w:cs="Calibri"/>
          <w:color w:val="000000" w:themeColor="text1"/>
        </w:rPr>
        <w:t xml:space="preserve">of the larger </w:t>
      </w:r>
      <w:r w:rsidRPr="00DF37C1">
        <w:rPr>
          <w:rFonts w:ascii="Calibri" w:hAnsi="Calibri" w:cs="Calibri"/>
          <w:color w:val="000000" w:themeColor="text1"/>
        </w:rPr>
        <w:t xml:space="preserve">consulting firms, iteria’s founders started iteria to bring consulting back to its basics.  Firms were too focused on the bottom line and not concerned about the customers’ needs.   iteria brings consulting back to </w:t>
      </w:r>
      <w:r w:rsidR="003111EF" w:rsidRPr="00DF37C1">
        <w:rPr>
          <w:rFonts w:ascii="Calibri" w:hAnsi="Calibri" w:cs="Calibri"/>
          <w:color w:val="000000" w:themeColor="text1"/>
        </w:rPr>
        <w:t>basics</w:t>
      </w:r>
      <w:r w:rsidRPr="00DF37C1">
        <w:rPr>
          <w:rFonts w:ascii="Calibri" w:hAnsi="Calibri" w:cs="Calibri"/>
          <w:color w:val="000000" w:themeColor="text1"/>
        </w:rPr>
        <w:t xml:space="preserve">.  </w:t>
      </w:r>
    </w:p>
    <w:p w14:paraId="0A751C86" w14:textId="77777777" w:rsidR="00BD2AEA" w:rsidRPr="00DF37C1" w:rsidRDefault="00BD2AEA" w:rsidP="00BD2AEA">
      <w:pPr>
        <w:spacing w:after="0"/>
        <w:jc w:val="left"/>
        <w:rPr>
          <w:rFonts w:ascii="Calibri" w:hAnsi="Calibri" w:cs="Calibri"/>
          <w:color w:val="000000" w:themeColor="text1"/>
        </w:rPr>
      </w:pPr>
    </w:p>
    <w:p w14:paraId="49D4010B" w14:textId="6E7AC2C6"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 xml:space="preserve">We strive to implement solutions that work for the client’s </w:t>
      </w:r>
      <w:r w:rsidR="000772BE" w:rsidRPr="00DF37C1">
        <w:rPr>
          <w:rFonts w:ascii="Calibri" w:hAnsi="Calibri" w:cs="Calibri"/>
          <w:color w:val="000000" w:themeColor="text1"/>
        </w:rPr>
        <w:t>needs</w:t>
      </w:r>
      <w:r w:rsidRPr="00DF37C1">
        <w:rPr>
          <w:rFonts w:ascii="Calibri" w:hAnsi="Calibri" w:cs="Calibri"/>
          <w:color w:val="000000" w:themeColor="text1"/>
        </w:rPr>
        <w:t xml:space="preserve"> while preserving the integrity of Oracle </w:t>
      </w:r>
      <w:r w:rsidR="003111EF" w:rsidRPr="00DF37C1">
        <w:rPr>
          <w:rFonts w:ascii="Calibri" w:hAnsi="Calibri" w:cs="Calibri"/>
          <w:color w:val="000000" w:themeColor="text1"/>
        </w:rPr>
        <w:t>Applications,</w:t>
      </w:r>
      <w:r w:rsidRPr="00DF37C1">
        <w:rPr>
          <w:rFonts w:ascii="Calibri" w:hAnsi="Calibri" w:cs="Calibri"/>
          <w:color w:val="000000" w:themeColor="text1"/>
        </w:rPr>
        <w:t xml:space="preserve"> so upgrades do not need to be re-worked.   We specialize in integrations and build solutions that meet the customer’s needs and not those that are the “easy route” or simple approach. </w:t>
      </w:r>
    </w:p>
    <w:p w14:paraId="2528806A" w14:textId="77777777" w:rsidR="00B410C5" w:rsidRPr="00DF37C1" w:rsidRDefault="00B410C5" w:rsidP="00BD2AEA">
      <w:pPr>
        <w:spacing w:after="0"/>
        <w:jc w:val="left"/>
        <w:rPr>
          <w:rFonts w:ascii="Calibri" w:hAnsi="Calibri" w:cs="Calibri"/>
          <w:color w:val="000000" w:themeColor="text1"/>
        </w:rPr>
      </w:pPr>
    </w:p>
    <w:p w14:paraId="6538DDF5" w14:textId="77777777"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The Oracle applications are extremely flexible, providing multiple ways in which a solution can be achieved.  iteria specializes in dissecting those solutions and examines the impacts both upstream and downstream to achieve the desired results.  This ultimately delivers a quality solution to our clients and allows them to maximize the benefits of the Oracle Suite of Applications.</w:t>
      </w:r>
    </w:p>
    <w:p w14:paraId="51A7ED79" w14:textId="77777777" w:rsidR="00BD2AEA" w:rsidRPr="00DF37C1" w:rsidRDefault="00BD2AEA" w:rsidP="00BD2AEA">
      <w:pPr>
        <w:spacing w:after="0"/>
        <w:jc w:val="left"/>
        <w:rPr>
          <w:rFonts w:ascii="Calibri" w:hAnsi="Calibri" w:cs="Calibri"/>
          <w:color w:val="000000" w:themeColor="text1"/>
        </w:rPr>
      </w:pPr>
    </w:p>
    <w:p w14:paraId="561F1D4D" w14:textId="0AAFA58D" w:rsidR="007D5906"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iteria is proposing a complete solution of both software and implementation of the Oracle Corporation Fusion Cloud Suite of Applications.  Our experience in the applications and technology of the Oracle Suite of products coupled with our consultants who are specialized in the services presented in this proposal, ensure O</w:t>
      </w:r>
      <w:r w:rsidR="007D5906" w:rsidRPr="00DF37C1">
        <w:rPr>
          <w:rFonts w:ascii="Calibri" w:hAnsi="Calibri" w:cs="Calibri"/>
          <w:color w:val="000000" w:themeColor="text1"/>
        </w:rPr>
        <w:t>zaukee</w:t>
      </w:r>
      <w:r w:rsidRPr="00DF37C1">
        <w:rPr>
          <w:rFonts w:ascii="Calibri" w:hAnsi="Calibri" w:cs="Calibri"/>
          <w:color w:val="000000" w:themeColor="text1"/>
        </w:rPr>
        <w:t xml:space="preserve"> County has a business partner that offers the appropriate solutions and services to make sure the user experience and issues are addressed professionally and in a timely manner. </w:t>
      </w:r>
    </w:p>
    <w:p w14:paraId="278F169B" w14:textId="77777777" w:rsidR="002A4CF3" w:rsidRPr="00DF37C1" w:rsidRDefault="002A4CF3" w:rsidP="00BD2AEA">
      <w:pPr>
        <w:spacing w:after="0"/>
        <w:jc w:val="left"/>
        <w:rPr>
          <w:rFonts w:ascii="Calibri" w:hAnsi="Calibri" w:cs="Calibri"/>
          <w:color w:val="000000" w:themeColor="text1"/>
        </w:rPr>
      </w:pPr>
    </w:p>
    <w:p w14:paraId="3B397B34" w14:textId="225FF3F7"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As part of our overall response, iteria is partnering with the following firms:</w:t>
      </w:r>
    </w:p>
    <w:p w14:paraId="27384A98" w14:textId="77777777" w:rsidR="00BD2AEA" w:rsidRPr="00DF37C1" w:rsidRDefault="00BD2AEA" w:rsidP="00BD2AEA">
      <w:pPr>
        <w:pStyle w:val="Bullet"/>
        <w:tabs>
          <w:tab w:val="clear" w:pos="360"/>
        </w:tabs>
        <w:ind w:left="0" w:firstLine="0"/>
        <w:rPr>
          <w:rFonts w:ascii="Calibri" w:hAnsi="Calibri" w:cs="Calibri"/>
          <w:color w:val="000000" w:themeColor="text1"/>
        </w:rPr>
      </w:pPr>
    </w:p>
    <w:p w14:paraId="35926563" w14:textId="77777777" w:rsidR="00BD2AEA" w:rsidRPr="00DF37C1" w:rsidRDefault="00BD2AEA" w:rsidP="00BD2AEA">
      <w:pPr>
        <w:pStyle w:val="Bullet"/>
        <w:tabs>
          <w:tab w:val="clear" w:pos="360"/>
        </w:tabs>
        <w:ind w:left="720" w:firstLine="0"/>
        <w:rPr>
          <w:rFonts w:ascii="Calibri" w:hAnsi="Calibri" w:cs="Calibri"/>
          <w:color w:val="000000" w:themeColor="text1"/>
          <w:sz w:val="22"/>
        </w:rPr>
      </w:pPr>
      <w:r w:rsidRPr="00DF37C1">
        <w:rPr>
          <w:rFonts w:ascii="Calibri" w:hAnsi="Calibri" w:cs="Calibri"/>
          <w:color w:val="000000" w:themeColor="text1"/>
          <w:sz w:val="22"/>
        </w:rPr>
        <w:t>Oracle Corporation – Developers of Proposed Software</w:t>
      </w:r>
    </w:p>
    <w:p w14:paraId="4C485B55" w14:textId="77777777" w:rsidR="00BD2AEA" w:rsidRPr="00DF37C1" w:rsidRDefault="00BD2AEA" w:rsidP="00BD2AEA">
      <w:pPr>
        <w:pStyle w:val="Bullet"/>
        <w:tabs>
          <w:tab w:val="clear" w:pos="360"/>
        </w:tabs>
        <w:ind w:left="720" w:firstLine="0"/>
        <w:rPr>
          <w:rFonts w:ascii="Calibri" w:hAnsi="Calibri" w:cs="Calibri"/>
          <w:color w:val="000000" w:themeColor="text1"/>
          <w:sz w:val="22"/>
        </w:rPr>
      </w:pPr>
      <w:r w:rsidRPr="00DF37C1">
        <w:rPr>
          <w:rFonts w:ascii="Calibri" w:hAnsi="Calibri" w:cs="Calibri"/>
          <w:color w:val="000000" w:themeColor="text1"/>
          <w:sz w:val="22"/>
        </w:rPr>
        <w:t>Mythics LLC. – Reseller of the Oracle Software Licensing</w:t>
      </w:r>
    </w:p>
    <w:p w14:paraId="77BE7298" w14:textId="77777777" w:rsidR="00BD2AEA" w:rsidRPr="00DF37C1" w:rsidRDefault="00BD2AEA" w:rsidP="00BD2AEA">
      <w:pPr>
        <w:spacing w:after="0"/>
        <w:jc w:val="left"/>
        <w:rPr>
          <w:rFonts w:ascii="Calibri" w:hAnsi="Calibri" w:cs="Calibri"/>
          <w:color w:val="000000" w:themeColor="text1"/>
        </w:rPr>
      </w:pPr>
    </w:p>
    <w:p w14:paraId="1852A76B" w14:textId="4DBFAF39" w:rsidR="00BD2AEA" w:rsidRPr="00DF37C1" w:rsidRDefault="00BD2AEA" w:rsidP="00BD2AEA">
      <w:pPr>
        <w:spacing w:after="0"/>
        <w:jc w:val="left"/>
        <w:rPr>
          <w:rFonts w:ascii="Calibri" w:hAnsi="Calibri" w:cs="Calibri"/>
          <w:color w:val="000000" w:themeColor="text1"/>
        </w:rPr>
      </w:pPr>
      <w:r w:rsidRPr="00DF37C1">
        <w:rPr>
          <w:rFonts w:ascii="Calibri" w:hAnsi="Calibri" w:cs="Calibri"/>
          <w:color w:val="000000" w:themeColor="text1"/>
        </w:rPr>
        <w:t>We understand that this process is of great importance, so we thank you for the opportunity you have given us and are confident that this relationship will be to the benefit of both organizations</w:t>
      </w:r>
      <w:r w:rsidR="00D25B7B">
        <w:rPr>
          <w:rFonts w:ascii="Calibri" w:hAnsi="Calibri" w:cs="Calibri"/>
          <w:color w:val="000000" w:themeColor="text1"/>
        </w:rPr>
        <w:t>.</w:t>
      </w:r>
    </w:p>
    <w:p w14:paraId="51951E0D" w14:textId="77777777" w:rsidR="001B0C5F" w:rsidRPr="00DF37C1" w:rsidRDefault="001B0C5F" w:rsidP="001B0C5F">
      <w:pPr>
        <w:rPr>
          <w:rFonts w:ascii="Calibri" w:hAnsi="Calibri" w:cs="Calibri"/>
        </w:rPr>
      </w:pPr>
    </w:p>
    <w:p w14:paraId="0BE6F4E0" w14:textId="62AB264A" w:rsidR="00DE698D" w:rsidRPr="00403E8E" w:rsidRDefault="00A00759" w:rsidP="00403E8E">
      <w:pPr>
        <w:pStyle w:val="Heading2"/>
        <w:rPr>
          <w:rFonts w:ascii="Calibri" w:hAnsi="Calibri" w:cs="Calibri"/>
        </w:rPr>
      </w:pPr>
      <w:bookmarkStart w:id="2" w:name="_Toc201317501"/>
      <w:r w:rsidRPr="00DF37C1">
        <w:rPr>
          <w:rFonts w:ascii="Calibri" w:hAnsi="Calibri" w:cs="Calibri"/>
        </w:rPr>
        <w:lastRenderedPageBreak/>
        <w:t>Company Background</w:t>
      </w:r>
      <w:bookmarkEnd w:id="2"/>
    </w:p>
    <w:p w14:paraId="4DCBF7FF" w14:textId="66EFCF4E" w:rsidR="00A00759" w:rsidRPr="00DF37C1" w:rsidRDefault="00A00759" w:rsidP="00A00759">
      <w:pPr>
        <w:pStyle w:val="BodyText2"/>
        <w:spacing w:after="0" w:line="240" w:lineRule="auto"/>
        <w:ind w:left="720"/>
        <w:rPr>
          <w:rFonts w:ascii="Calibri" w:hAnsi="Calibri" w:cs="Calibri"/>
          <w:color w:val="000000" w:themeColor="text1"/>
        </w:rPr>
      </w:pPr>
      <w:r w:rsidRPr="00DF37C1">
        <w:rPr>
          <w:rFonts w:ascii="Calibri" w:hAnsi="Calibri" w:cs="Calibri"/>
          <w:color w:val="000000" w:themeColor="text1"/>
        </w:rPr>
        <w:t>As previously mentioned, iteria was founded in 2015 after its founders</w:t>
      </w:r>
      <w:r w:rsidR="00A779A4">
        <w:rPr>
          <w:rFonts w:ascii="Calibri" w:hAnsi="Calibri" w:cs="Calibri"/>
          <w:color w:val="000000" w:themeColor="text1"/>
        </w:rPr>
        <w:t>,</w:t>
      </w:r>
      <w:r w:rsidRPr="00DF37C1">
        <w:rPr>
          <w:rFonts w:ascii="Calibri" w:hAnsi="Calibri" w:cs="Calibri"/>
          <w:color w:val="000000" w:themeColor="text1"/>
        </w:rPr>
        <w:t xml:space="preserve"> having spent over 30 years working with the Oracle Suite of Applications, saw the need to bring consulting back to basics.  iteria prides itself on bringing solutions to its clients that are unique to the situation and not based on a cookie cutter approach or the bottom line.  We do not take the easy path to solve a problem or develop a solution. We strive to deliver the best solutions for the case at hand and bring our years of experience to each implementation.</w:t>
      </w:r>
    </w:p>
    <w:p w14:paraId="24F5C2C9" w14:textId="77777777" w:rsidR="00A00759" w:rsidRPr="00DF37C1" w:rsidRDefault="00A00759" w:rsidP="00A00759">
      <w:pPr>
        <w:pStyle w:val="BodyText2"/>
        <w:spacing w:after="0" w:line="240" w:lineRule="auto"/>
        <w:ind w:left="720"/>
        <w:rPr>
          <w:rFonts w:ascii="Calibri" w:hAnsi="Calibri" w:cs="Calibri"/>
          <w:color w:val="000000" w:themeColor="text1"/>
        </w:rPr>
      </w:pPr>
    </w:p>
    <w:p w14:paraId="033E67FF" w14:textId="658210DE" w:rsidR="00A00759" w:rsidRPr="00DF37C1" w:rsidRDefault="00A00759" w:rsidP="00A00759">
      <w:pPr>
        <w:pStyle w:val="BodyText2"/>
        <w:spacing w:after="0" w:line="240" w:lineRule="auto"/>
        <w:ind w:left="720"/>
        <w:rPr>
          <w:rFonts w:ascii="Calibri" w:hAnsi="Calibri" w:cs="Calibri"/>
          <w:color w:val="000000" w:themeColor="text1"/>
        </w:rPr>
      </w:pPr>
      <w:r w:rsidRPr="00DF37C1">
        <w:rPr>
          <w:rFonts w:ascii="Calibri" w:hAnsi="Calibri" w:cs="Calibri"/>
          <w:color w:val="000000" w:themeColor="text1"/>
        </w:rPr>
        <w:t xml:space="preserve">We have a proven successful track </w:t>
      </w:r>
      <w:r w:rsidR="003111EF" w:rsidRPr="00DF37C1">
        <w:rPr>
          <w:rFonts w:ascii="Calibri" w:hAnsi="Calibri" w:cs="Calibri"/>
          <w:color w:val="000000" w:themeColor="text1"/>
        </w:rPr>
        <w:t>record,</w:t>
      </w:r>
      <w:r w:rsidRPr="00DF37C1">
        <w:rPr>
          <w:rFonts w:ascii="Calibri" w:hAnsi="Calibri" w:cs="Calibri"/>
          <w:color w:val="000000" w:themeColor="text1"/>
        </w:rPr>
        <w:t xml:space="preserve"> and we have succeeded where others have failed.  We have no desire to be the biggest </w:t>
      </w:r>
      <w:r w:rsidR="003111EF" w:rsidRPr="00DF37C1">
        <w:rPr>
          <w:rFonts w:ascii="Calibri" w:hAnsi="Calibri" w:cs="Calibri"/>
          <w:color w:val="000000" w:themeColor="text1"/>
        </w:rPr>
        <w:t>firm,</w:t>
      </w:r>
      <w:r w:rsidRPr="00DF37C1">
        <w:rPr>
          <w:rFonts w:ascii="Calibri" w:hAnsi="Calibri" w:cs="Calibri"/>
          <w:color w:val="000000" w:themeColor="text1"/>
        </w:rPr>
        <w:t xml:space="preserve"> but we strive to be the best.</w:t>
      </w:r>
    </w:p>
    <w:p w14:paraId="77323F70" w14:textId="77777777" w:rsidR="0092614F" w:rsidRPr="00DF37C1" w:rsidRDefault="0092614F" w:rsidP="001D14EC">
      <w:pPr>
        <w:pStyle w:val="BodyText2"/>
        <w:spacing w:after="0" w:line="240" w:lineRule="auto"/>
        <w:ind w:left="720"/>
        <w:jc w:val="left"/>
        <w:rPr>
          <w:rFonts w:ascii="Calibri" w:hAnsi="Calibri" w:cs="Calibri"/>
          <w:noProof/>
          <w:color w:val="000000" w:themeColor="text1"/>
        </w:rPr>
      </w:pPr>
    </w:p>
    <w:p w14:paraId="417E7E8F" w14:textId="412302E1" w:rsidR="001D14EC" w:rsidRPr="00DF37C1" w:rsidRDefault="001D14EC" w:rsidP="001D14EC">
      <w:pPr>
        <w:pStyle w:val="BodyText2"/>
        <w:spacing w:after="0" w:line="240" w:lineRule="auto"/>
        <w:ind w:left="720"/>
        <w:jc w:val="left"/>
        <w:rPr>
          <w:rFonts w:ascii="Calibri" w:hAnsi="Calibri" w:cs="Calibri"/>
          <w:noProof/>
          <w:color w:val="000000" w:themeColor="text1"/>
        </w:rPr>
      </w:pPr>
      <w:r w:rsidRPr="00DF37C1">
        <w:rPr>
          <w:rFonts w:ascii="Calibri" w:hAnsi="Calibri" w:cs="Calibri"/>
          <w:noProof/>
          <w:color w:val="000000" w:themeColor="text1"/>
        </w:rPr>
        <w:t xml:space="preserve">As a company, iteria has been doing Oracle, and only Oracle implementations for 10 years.  The founders of iteria have been doing Oracle Public Sector Implementations since 1994.  </w:t>
      </w:r>
    </w:p>
    <w:p w14:paraId="2CCA13A3" w14:textId="77777777" w:rsidR="001D14EC" w:rsidRPr="00DF37C1" w:rsidRDefault="001D14EC" w:rsidP="001D14EC">
      <w:pPr>
        <w:pStyle w:val="BodyText2"/>
        <w:spacing w:after="0" w:line="240" w:lineRule="auto"/>
        <w:ind w:left="720"/>
        <w:jc w:val="left"/>
        <w:rPr>
          <w:rFonts w:ascii="Calibri" w:hAnsi="Calibri" w:cs="Calibri"/>
          <w:noProof/>
          <w:color w:val="000000" w:themeColor="text1"/>
        </w:rPr>
      </w:pPr>
    </w:p>
    <w:p w14:paraId="03507AAA" w14:textId="34FA5A76" w:rsidR="001D14EC" w:rsidRPr="00DF37C1" w:rsidRDefault="001D14EC" w:rsidP="001D14EC">
      <w:pPr>
        <w:pStyle w:val="BodyText2"/>
        <w:spacing w:after="0" w:line="240" w:lineRule="auto"/>
        <w:ind w:left="720"/>
        <w:jc w:val="left"/>
        <w:rPr>
          <w:rFonts w:ascii="Calibri" w:hAnsi="Calibri" w:cs="Calibri"/>
          <w:noProof/>
          <w:color w:val="000000" w:themeColor="text1"/>
        </w:rPr>
      </w:pPr>
      <w:r w:rsidRPr="00DF37C1">
        <w:rPr>
          <w:rFonts w:ascii="Calibri" w:hAnsi="Calibri" w:cs="Calibri"/>
          <w:noProof/>
          <w:color w:val="000000" w:themeColor="text1"/>
        </w:rPr>
        <w:t>iteria has recently completed the Oracle Fusion Implementation, full suite of products ERP and HCM, for Fond du Lac County in Fond du Lac, WI.  This implementation spanned the full suite of products and integrated with it’s carriers, third party systems and WRS reporting requirements.  In addition, we implemented the Oracle EAM (Enterprise Asset Management) sy</w:t>
      </w:r>
      <w:r w:rsidR="0058726E" w:rsidRPr="00DF37C1">
        <w:rPr>
          <w:rFonts w:ascii="Calibri" w:hAnsi="Calibri" w:cs="Calibri"/>
          <w:noProof/>
          <w:color w:val="000000" w:themeColor="text1"/>
        </w:rPr>
        <w:t>s</w:t>
      </w:r>
      <w:r w:rsidRPr="00DF37C1">
        <w:rPr>
          <w:rFonts w:ascii="Calibri" w:hAnsi="Calibri" w:cs="Calibri"/>
          <w:noProof/>
          <w:color w:val="000000" w:themeColor="text1"/>
        </w:rPr>
        <w:t>tem for Fond du Lac County’s Highway Department for vehicle fleet maintenance and work order needs.</w:t>
      </w:r>
    </w:p>
    <w:p w14:paraId="37AE5344" w14:textId="77777777" w:rsidR="001D14EC" w:rsidRPr="00DF37C1" w:rsidRDefault="001D14EC" w:rsidP="001D14EC">
      <w:pPr>
        <w:pStyle w:val="BodyText2"/>
        <w:spacing w:after="0" w:line="240" w:lineRule="auto"/>
        <w:ind w:left="720"/>
        <w:jc w:val="left"/>
        <w:rPr>
          <w:rFonts w:ascii="Calibri" w:hAnsi="Calibri" w:cs="Calibri"/>
          <w:noProof/>
          <w:color w:val="000000" w:themeColor="text1"/>
        </w:rPr>
      </w:pPr>
    </w:p>
    <w:p w14:paraId="19B877B7" w14:textId="7776AF17" w:rsidR="00252C76" w:rsidRPr="00DF37C1" w:rsidRDefault="00252C76" w:rsidP="00252C76">
      <w:pPr>
        <w:pStyle w:val="BodyText2"/>
        <w:spacing w:after="0" w:line="240" w:lineRule="auto"/>
        <w:ind w:left="720"/>
        <w:jc w:val="left"/>
        <w:rPr>
          <w:rFonts w:ascii="Calibri" w:hAnsi="Calibri" w:cs="Calibri"/>
          <w:color w:val="000000" w:themeColor="text1"/>
        </w:rPr>
      </w:pPr>
      <w:r w:rsidRPr="00DF37C1">
        <w:rPr>
          <w:rFonts w:ascii="Calibri" w:hAnsi="Calibri" w:cs="Calibri"/>
          <w:color w:val="000000" w:themeColor="text1"/>
        </w:rPr>
        <w:t>iteria’s founders and senior team ha</w:t>
      </w:r>
      <w:r w:rsidR="0046035E">
        <w:rPr>
          <w:rFonts w:ascii="Calibri" w:hAnsi="Calibri" w:cs="Calibri"/>
          <w:color w:val="000000" w:themeColor="text1"/>
        </w:rPr>
        <w:t>ve</w:t>
      </w:r>
      <w:r w:rsidRPr="00DF37C1">
        <w:rPr>
          <w:rFonts w:ascii="Calibri" w:hAnsi="Calibri" w:cs="Calibri"/>
          <w:color w:val="000000" w:themeColor="text1"/>
        </w:rPr>
        <w:t xml:space="preserve"> been involved in Public Sector for over 30 years. We understand how government works and know fund accounting, GASB regulations, and have experience working with the Wisconsin Retirement System (WRS) and the payroll and reporting requirements associated with that. Most recently with Fond du Lac County</w:t>
      </w:r>
      <w:r w:rsidR="0092614F" w:rsidRPr="00DF37C1">
        <w:rPr>
          <w:rFonts w:ascii="Calibri" w:hAnsi="Calibri" w:cs="Calibri"/>
          <w:color w:val="000000" w:themeColor="text1"/>
        </w:rPr>
        <w:t xml:space="preserve"> in Fond du Lac, WI.</w:t>
      </w:r>
    </w:p>
    <w:p w14:paraId="54D56DC3" w14:textId="77777777" w:rsidR="00252C76" w:rsidRPr="00DF37C1" w:rsidRDefault="00252C76" w:rsidP="00252C76">
      <w:pPr>
        <w:pStyle w:val="BodyText2"/>
        <w:spacing w:after="0" w:line="240" w:lineRule="auto"/>
        <w:ind w:left="1440"/>
        <w:jc w:val="left"/>
        <w:rPr>
          <w:rFonts w:ascii="Calibri" w:hAnsi="Calibri" w:cs="Calibri"/>
          <w:color w:val="000000" w:themeColor="text1"/>
        </w:rPr>
      </w:pPr>
    </w:p>
    <w:p w14:paraId="1AE0BA38" w14:textId="77777777" w:rsidR="00252C76" w:rsidRPr="00DF37C1" w:rsidRDefault="00252C76" w:rsidP="00252C76">
      <w:pPr>
        <w:pStyle w:val="BodyText2"/>
        <w:spacing w:after="0" w:line="240" w:lineRule="auto"/>
        <w:ind w:left="720"/>
        <w:jc w:val="left"/>
        <w:rPr>
          <w:rFonts w:ascii="Calibri" w:hAnsi="Calibri" w:cs="Calibri"/>
          <w:color w:val="0070C0"/>
        </w:rPr>
      </w:pPr>
      <w:r w:rsidRPr="00DF37C1">
        <w:rPr>
          <w:rFonts w:ascii="Calibri" w:hAnsi="Calibri" w:cs="Calibri"/>
          <w:color w:val="000000" w:themeColor="text1"/>
        </w:rPr>
        <w:t>Working on government projects brings its own unique aspect to projects.  Tracking and managing multiple funding sources, such as the General Fund and Enterprise Funds and the reporting Financial Reporting requirements that come along with that.  Additionally, we have in-depth experience configuring systems for tracking costs in detail for Grant Reporting and State Billing.</w:t>
      </w:r>
      <w:r w:rsidRPr="00DF37C1">
        <w:rPr>
          <w:rFonts w:ascii="Calibri" w:hAnsi="Calibri" w:cs="Calibri"/>
          <w:color w:val="0070C0"/>
        </w:rPr>
        <w:t xml:space="preserve"> </w:t>
      </w:r>
    </w:p>
    <w:p w14:paraId="335C731D" w14:textId="77777777" w:rsidR="001D14EC" w:rsidRPr="00DF37C1" w:rsidRDefault="001D14EC" w:rsidP="001D14EC">
      <w:pPr>
        <w:pStyle w:val="BodyText2"/>
        <w:spacing w:after="0" w:line="240" w:lineRule="auto"/>
        <w:ind w:left="720"/>
        <w:jc w:val="left"/>
        <w:rPr>
          <w:rFonts w:ascii="Calibri" w:hAnsi="Calibri" w:cs="Calibri"/>
          <w:noProof/>
          <w:color w:val="0070C0"/>
        </w:rPr>
      </w:pPr>
    </w:p>
    <w:p w14:paraId="1ABE5C21" w14:textId="77777777" w:rsidR="00664E1E" w:rsidRPr="00DF37C1" w:rsidRDefault="00664E1E" w:rsidP="001D14EC">
      <w:pPr>
        <w:pStyle w:val="BodyText2"/>
        <w:spacing w:after="0" w:line="240" w:lineRule="auto"/>
        <w:ind w:left="720"/>
        <w:jc w:val="left"/>
        <w:rPr>
          <w:rFonts w:ascii="Calibri" w:hAnsi="Calibri" w:cs="Calibri"/>
          <w:noProof/>
          <w:color w:val="0070C0"/>
        </w:rPr>
      </w:pPr>
    </w:p>
    <w:p w14:paraId="568E81BF"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0EEB9654"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4184FD3E"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1BF41A04"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794CB4F0"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6ADADB01"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3DEA91D7"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21A5DA3D"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35BDA625"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3717D26C"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46ECB163" w14:textId="77777777" w:rsidR="001C5054" w:rsidRPr="00DF37C1" w:rsidRDefault="001C5054" w:rsidP="001D14EC">
      <w:pPr>
        <w:pStyle w:val="BodyText2"/>
        <w:spacing w:after="0" w:line="240" w:lineRule="auto"/>
        <w:ind w:left="720"/>
        <w:jc w:val="left"/>
        <w:rPr>
          <w:rFonts w:ascii="Calibri" w:hAnsi="Calibri" w:cs="Calibri"/>
          <w:noProof/>
          <w:color w:val="0070C0"/>
        </w:rPr>
      </w:pPr>
    </w:p>
    <w:p w14:paraId="3D6FAB0B" w14:textId="77777777" w:rsidR="001C5054" w:rsidRPr="00DF37C1" w:rsidRDefault="001C5054" w:rsidP="005B4815">
      <w:pPr>
        <w:pStyle w:val="BodyText2"/>
        <w:spacing w:after="0" w:line="240" w:lineRule="auto"/>
        <w:jc w:val="left"/>
        <w:rPr>
          <w:rFonts w:ascii="Calibri" w:hAnsi="Calibri" w:cs="Calibri"/>
          <w:noProof/>
          <w:color w:val="0070C0"/>
        </w:rPr>
      </w:pPr>
    </w:p>
    <w:p w14:paraId="4DDE2AF2" w14:textId="008F32A1" w:rsidR="00F966CE" w:rsidRPr="00DF37C1" w:rsidRDefault="00F966CE" w:rsidP="005B4815">
      <w:pPr>
        <w:pStyle w:val="Heading1"/>
        <w:rPr>
          <w:rFonts w:ascii="Calibri" w:hAnsi="Calibri" w:cs="Calibri"/>
          <w:noProof/>
        </w:rPr>
      </w:pPr>
      <w:bookmarkStart w:id="3" w:name="_Toc201317502"/>
      <w:r w:rsidRPr="00DF37C1">
        <w:rPr>
          <w:rFonts w:ascii="Calibri" w:hAnsi="Calibri" w:cs="Calibri"/>
          <w:noProof/>
        </w:rPr>
        <w:lastRenderedPageBreak/>
        <w:t>S</w:t>
      </w:r>
      <w:r w:rsidR="00403E8E">
        <w:rPr>
          <w:rFonts w:ascii="Calibri" w:hAnsi="Calibri" w:cs="Calibri"/>
          <w:noProof/>
        </w:rPr>
        <w:t>oftware Solution</w:t>
      </w:r>
      <w:bookmarkEnd w:id="3"/>
    </w:p>
    <w:p w14:paraId="1E05C3FC" w14:textId="4627D6FE" w:rsidR="00F966CE" w:rsidRPr="00DF37C1" w:rsidRDefault="000772BE" w:rsidP="00F966CE">
      <w:pPr>
        <w:pStyle w:val="TNRResponse"/>
        <w:keepLines/>
        <w:ind w:left="360"/>
        <w:rPr>
          <w:rFonts w:ascii="Calibri" w:hAnsi="Calibri" w:cs="Calibri"/>
          <w:color w:val="000000" w:themeColor="text1"/>
          <w:kern w:val="2"/>
          <w:sz w:val="22"/>
          <w:szCs w:val="22"/>
          <w14:ligatures w14:val="standardContextual"/>
        </w:rPr>
      </w:pPr>
      <w:r w:rsidRPr="00DF37C1">
        <w:rPr>
          <w:rFonts w:ascii="Calibri" w:hAnsi="Calibri" w:cs="Calibri"/>
          <w:color w:val="000000" w:themeColor="text1"/>
          <w:kern w:val="2"/>
          <w:sz w:val="22"/>
          <w:szCs w:val="22"/>
          <w14:ligatures w14:val="standardContextual"/>
        </w:rPr>
        <w:t>Oracle</w:t>
      </w:r>
      <w:r w:rsidR="00F966CE" w:rsidRPr="00DF37C1">
        <w:rPr>
          <w:rFonts w:ascii="Calibri" w:hAnsi="Calibri" w:cs="Calibri"/>
          <w:color w:val="000000" w:themeColor="text1"/>
          <w:kern w:val="2"/>
          <w:sz w:val="22"/>
          <w:szCs w:val="22"/>
          <w14:ligatures w14:val="standardContextual"/>
        </w:rPr>
        <w:t xml:space="preserve"> software provides the most modern, complete, and secure platform and applications in the marketplace today, engineered to work together and address the goals of the County.  For over 40 years, and through three distinct eras of computing, Oracle has been a worldwide leader in technology and applications. It is by this unparalleled experience and the breadth and depth of our solutions that Oracle’s Cloud Solutions are unmatched in our industry. Throughout this response, we will differentiate Oracle broadly, but for now we will focus on three primary distinctions:</w:t>
      </w:r>
    </w:p>
    <w:p w14:paraId="5E3C5716" w14:textId="24D5BC71" w:rsidR="00F966CE" w:rsidRPr="00DF37C1" w:rsidRDefault="00F966CE" w:rsidP="00F966CE">
      <w:pPr>
        <w:pStyle w:val="TNRBullet"/>
        <w:keepLines/>
        <w:ind w:left="1080"/>
        <w:rPr>
          <w:rFonts w:ascii="Calibri" w:hAnsi="Calibri" w:cs="Calibri"/>
          <w:color w:val="000000" w:themeColor="text1"/>
          <w:kern w:val="2"/>
          <w:sz w:val="22"/>
          <w:szCs w:val="22"/>
          <w14:ligatures w14:val="standardContextual"/>
        </w:rPr>
      </w:pPr>
      <w:r w:rsidRPr="00DF37C1">
        <w:rPr>
          <w:rFonts w:ascii="Calibri" w:hAnsi="Calibri" w:cs="Calibri"/>
          <w:color w:val="000000" w:themeColor="text1"/>
          <w:kern w:val="2"/>
          <w:sz w:val="22"/>
          <w:szCs w:val="22"/>
          <w14:ligatures w14:val="standardContextual"/>
        </w:rPr>
        <w:t>Complete – Oracle builds and engineers hardware, database, middleware, business intelligence and world-class applications into a single unified integrated platform. Importantly, each one of these capabilities can stand alone as a market leader. When combined, they uniquely provide the fully comprehensive, seamless cloud platform needed to achieve O</w:t>
      </w:r>
      <w:r w:rsidR="007903CC" w:rsidRPr="00DF37C1">
        <w:rPr>
          <w:rFonts w:ascii="Calibri" w:hAnsi="Calibri" w:cs="Calibri"/>
          <w:color w:val="000000" w:themeColor="text1"/>
          <w:kern w:val="2"/>
          <w:sz w:val="22"/>
          <w:szCs w:val="22"/>
          <w14:ligatures w14:val="standardContextual"/>
        </w:rPr>
        <w:t xml:space="preserve">zaukee </w:t>
      </w:r>
      <w:r w:rsidRPr="00DF37C1">
        <w:rPr>
          <w:rFonts w:ascii="Calibri" w:hAnsi="Calibri" w:cs="Calibri"/>
          <w:color w:val="000000" w:themeColor="text1"/>
          <w:kern w:val="2"/>
          <w:sz w:val="22"/>
          <w:szCs w:val="22"/>
          <w14:ligatures w14:val="standardContextual"/>
        </w:rPr>
        <w:t>County’s vision.</w:t>
      </w:r>
    </w:p>
    <w:p w14:paraId="4BE5DE34" w14:textId="77777777" w:rsidR="00F966CE" w:rsidRPr="00DF37C1" w:rsidRDefault="00F966CE" w:rsidP="00F966CE">
      <w:pPr>
        <w:pStyle w:val="TNRBullet"/>
        <w:keepLines/>
        <w:ind w:left="1080"/>
        <w:rPr>
          <w:rFonts w:ascii="Calibri" w:hAnsi="Calibri" w:cs="Calibri"/>
          <w:color w:val="000000" w:themeColor="text1"/>
          <w:kern w:val="2"/>
          <w:sz w:val="22"/>
          <w:szCs w:val="22"/>
          <w14:ligatures w14:val="standardContextual"/>
        </w:rPr>
      </w:pPr>
      <w:r w:rsidRPr="00DF37C1">
        <w:rPr>
          <w:rFonts w:ascii="Calibri" w:hAnsi="Calibri" w:cs="Calibri"/>
          <w:color w:val="000000" w:themeColor="text1"/>
          <w:kern w:val="2"/>
          <w:sz w:val="22"/>
          <w:szCs w:val="22"/>
          <w14:ligatures w14:val="standardContextual"/>
        </w:rPr>
        <w:t>Modern – The functionality and the technical underpinnings that support Oracle’s consumer-grade user experience are built and engineered from the ground up for the modern age of information science with strict consideration for accessibility standards, while incorporating emerging technologies such as AI and machine learning sooner and more effectively than anyone else.</w:t>
      </w:r>
    </w:p>
    <w:p w14:paraId="4C8A4A5B" w14:textId="77777777" w:rsidR="00F966CE" w:rsidRPr="00DF37C1" w:rsidRDefault="00F966CE" w:rsidP="00F966CE">
      <w:pPr>
        <w:pStyle w:val="TNRBullet"/>
        <w:keepLines/>
        <w:ind w:left="1080"/>
        <w:rPr>
          <w:rFonts w:ascii="Calibri" w:hAnsi="Calibri" w:cs="Calibri"/>
          <w:color w:val="000000" w:themeColor="text1"/>
          <w:kern w:val="2"/>
          <w:sz w:val="22"/>
          <w:szCs w:val="22"/>
          <w14:ligatures w14:val="standardContextual"/>
        </w:rPr>
      </w:pPr>
      <w:r w:rsidRPr="00DF37C1">
        <w:rPr>
          <w:rFonts w:ascii="Calibri" w:hAnsi="Calibri" w:cs="Calibri"/>
          <w:color w:val="000000" w:themeColor="text1"/>
          <w:kern w:val="2"/>
          <w:sz w:val="22"/>
          <w:szCs w:val="22"/>
          <w14:ligatures w14:val="standardContextual"/>
        </w:rPr>
        <w:t>Secure – Oracle’s tenure as a technology leader is characterized by participation in countless security-related boards across multiple industries, helping firmly establish many of the standards that govern global security today. Noting the complete nature of our solutions stated above, Oracle manages security standards within each element of the proposed platform. We provide redundant layers of security enveloping all aspects of the functional and technological enterprise.</w:t>
      </w:r>
    </w:p>
    <w:p w14:paraId="70535A40" w14:textId="054C83B7" w:rsidR="00F966CE" w:rsidRPr="00DF37C1" w:rsidRDefault="00F966CE" w:rsidP="00F966CE">
      <w:pPr>
        <w:pStyle w:val="TNRResponse"/>
        <w:keepLines/>
        <w:ind w:left="360"/>
        <w:rPr>
          <w:rFonts w:ascii="Calibri" w:hAnsi="Calibri" w:cs="Calibri"/>
          <w:color w:val="000000" w:themeColor="text1"/>
          <w:kern w:val="2"/>
          <w:sz w:val="22"/>
          <w:szCs w:val="22"/>
          <w14:ligatures w14:val="standardContextual"/>
        </w:rPr>
      </w:pPr>
      <w:r w:rsidRPr="00DF37C1">
        <w:rPr>
          <w:rFonts w:ascii="Calibri" w:hAnsi="Calibri" w:cs="Calibri"/>
          <w:color w:val="000000" w:themeColor="text1"/>
          <w:kern w:val="2"/>
          <w:sz w:val="22"/>
          <w:szCs w:val="22"/>
          <w14:ligatures w14:val="standardContextual"/>
        </w:rPr>
        <w:t xml:space="preserve">Over the past several years, Oracle’s Cloud solutions have emerged as the leading Finance, Budgeting and HCM Cloud solutions for businesses and public sector agencies alike. Oracle is proud of the recognition and market leading position that industry analysts have assigned to those products. Oracle is recognized as a leader in numerous industry analyst vendor evaluations. Many of them can be found on the Oracle Industry Analyst Report page at </w:t>
      </w:r>
      <w:hyperlink r:id="rId14" w:history="1">
        <w:r w:rsidRPr="00DF37C1">
          <w:rPr>
            <w:rFonts w:ascii="Calibri" w:hAnsi="Calibri" w:cs="Calibri"/>
            <w:color w:val="000000" w:themeColor="text1"/>
            <w:kern w:val="2"/>
            <w:sz w:val="22"/>
            <w:szCs w:val="22"/>
            <w14:ligatures w14:val="standardContextual"/>
          </w:rPr>
          <w:t>https://www.oracle.com/corporate/analyst-reports.html</w:t>
        </w:r>
      </w:hyperlink>
      <w:r w:rsidRPr="00DF37C1">
        <w:rPr>
          <w:rFonts w:ascii="Calibri" w:hAnsi="Calibri" w:cs="Calibri"/>
          <w:color w:val="000000" w:themeColor="text1"/>
          <w:kern w:val="2"/>
          <w:sz w:val="22"/>
          <w:szCs w:val="22"/>
          <w14:ligatures w14:val="standardContextual"/>
        </w:rPr>
        <w:t>.</w:t>
      </w:r>
      <w:r w:rsidR="00B50D7C">
        <w:rPr>
          <w:rFonts w:ascii="Calibri" w:hAnsi="Calibri" w:cs="Calibri"/>
          <w:color w:val="000000" w:themeColor="text1"/>
          <w:kern w:val="2"/>
          <w:sz w:val="22"/>
          <w:szCs w:val="22"/>
          <w14:ligatures w14:val="standardContextual"/>
        </w:rPr>
        <w:t xml:space="preserve"> </w:t>
      </w:r>
    </w:p>
    <w:p w14:paraId="63AA3DC7" w14:textId="77777777" w:rsidR="0058726E" w:rsidRPr="00DF37C1" w:rsidRDefault="0058726E" w:rsidP="00F966CE">
      <w:pPr>
        <w:pStyle w:val="TNRResponse"/>
        <w:keepLines/>
        <w:ind w:left="360"/>
        <w:rPr>
          <w:rFonts w:ascii="Calibri" w:hAnsi="Calibri" w:cs="Calibri"/>
          <w:color w:val="000000" w:themeColor="text1"/>
          <w:kern w:val="2"/>
          <w:sz w:val="22"/>
          <w:szCs w:val="22"/>
          <w14:ligatures w14:val="standardContextual"/>
        </w:rPr>
      </w:pPr>
    </w:p>
    <w:p w14:paraId="47AB9F29" w14:textId="48BA373F" w:rsidR="00F966CE" w:rsidRPr="00DF37C1" w:rsidRDefault="00F966CE" w:rsidP="00F966CE">
      <w:pPr>
        <w:pStyle w:val="BodyText2"/>
        <w:spacing w:after="0" w:line="240" w:lineRule="auto"/>
        <w:jc w:val="left"/>
        <w:rPr>
          <w:rFonts w:ascii="Calibri" w:hAnsi="Calibri" w:cs="Calibri"/>
          <w:color w:val="000000" w:themeColor="text1"/>
        </w:rPr>
      </w:pPr>
      <w:r w:rsidRPr="00DF37C1">
        <w:rPr>
          <w:rFonts w:ascii="Calibri" w:hAnsi="Calibri" w:cs="Calibri"/>
          <w:color w:val="000000" w:themeColor="text1"/>
        </w:rPr>
        <w:t>In summary, no other cloud application can match the breadth and depth of Oracle’s experience and platform, and no other solution can approach the array of modern innovation, complete functional depth, and industry-leading security Oracle delivers.</w:t>
      </w:r>
    </w:p>
    <w:p w14:paraId="17A1092B" w14:textId="77777777" w:rsidR="00F966CE" w:rsidRPr="00DF37C1" w:rsidRDefault="00F966CE" w:rsidP="00F966CE">
      <w:pPr>
        <w:pStyle w:val="BodyText2"/>
        <w:spacing w:after="0" w:line="240" w:lineRule="auto"/>
        <w:jc w:val="left"/>
        <w:rPr>
          <w:rFonts w:ascii="Calibri" w:hAnsi="Calibri" w:cs="Calibri"/>
          <w:color w:val="000000" w:themeColor="text1"/>
        </w:rPr>
      </w:pPr>
    </w:p>
    <w:p w14:paraId="75077FAB" w14:textId="77777777" w:rsidR="00F966CE" w:rsidRDefault="00F966CE" w:rsidP="00F966CE">
      <w:pPr>
        <w:pStyle w:val="BodyText2"/>
        <w:spacing w:after="0" w:line="240" w:lineRule="auto"/>
        <w:jc w:val="left"/>
        <w:rPr>
          <w:rFonts w:ascii="Calibri" w:hAnsi="Calibri" w:cs="Calibri"/>
          <w:color w:val="000000" w:themeColor="text1"/>
        </w:rPr>
      </w:pPr>
    </w:p>
    <w:p w14:paraId="435D36A1" w14:textId="77777777" w:rsidR="00DC7B68" w:rsidRDefault="00DC7B68" w:rsidP="00F966CE">
      <w:pPr>
        <w:pStyle w:val="BodyText2"/>
        <w:spacing w:after="0" w:line="240" w:lineRule="auto"/>
        <w:jc w:val="left"/>
        <w:rPr>
          <w:rFonts w:ascii="Calibri" w:hAnsi="Calibri" w:cs="Calibri"/>
          <w:color w:val="000000" w:themeColor="text1"/>
        </w:rPr>
      </w:pPr>
    </w:p>
    <w:p w14:paraId="7141DC40" w14:textId="77777777" w:rsidR="00DC7B68" w:rsidRDefault="00DC7B68" w:rsidP="00F966CE">
      <w:pPr>
        <w:pStyle w:val="BodyText2"/>
        <w:spacing w:after="0" w:line="240" w:lineRule="auto"/>
        <w:jc w:val="left"/>
        <w:rPr>
          <w:rFonts w:ascii="Calibri" w:hAnsi="Calibri" w:cs="Calibri"/>
          <w:color w:val="000000" w:themeColor="text1"/>
        </w:rPr>
      </w:pPr>
    </w:p>
    <w:p w14:paraId="20AAD7C4" w14:textId="77777777" w:rsidR="00DC7B68" w:rsidRDefault="00DC7B68" w:rsidP="00F966CE">
      <w:pPr>
        <w:pStyle w:val="BodyText2"/>
        <w:spacing w:after="0" w:line="240" w:lineRule="auto"/>
        <w:jc w:val="left"/>
        <w:rPr>
          <w:rFonts w:ascii="Calibri" w:hAnsi="Calibri" w:cs="Calibri"/>
          <w:color w:val="000000" w:themeColor="text1"/>
        </w:rPr>
      </w:pPr>
    </w:p>
    <w:p w14:paraId="6A09E576" w14:textId="77777777" w:rsidR="00DC7B68" w:rsidRDefault="00DC7B68" w:rsidP="00F966CE">
      <w:pPr>
        <w:pStyle w:val="BodyText2"/>
        <w:spacing w:after="0" w:line="240" w:lineRule="auto"/>
        <w:jc w:val="left"/>
        <w:rPr>
          <w:rFonts w:ascii="Calibri" w:hAnsi="Calibri" w:cs="Calibri"/>
          <w:color w:val="000000" w:themeColor="text1"/>
        </w:rPr>
      </w:pPr>
    </w:p>
    <w:p w14:paraId="72AFB62D" w14:textId="77777777" w:rsidR="00DC7B68" w:rsidRPr="00DF37C1" w:rsidRDefault="00DC7B68" w:rsidP="00F966CE">
      <w:pPr>
        <w:pStyle w:val="BodyText2"/>
        <w:spacing w:after="0" w:line="240" w:lineRule="auto"/>
        <w:jc w:val="left"/>
        <w:rPr>
          <w:rFonts w:ascii="Calibri" w:hAnsi="Calibri" w:cs="Calibri"/>
          <w:color w:val="000000" w:themeColor="text1"/>
        </w:rPr>
      </w:pPr>
    </w:p>
    <w:p w14:paraId="3B0E1AAA" w14:textId="3DA51B8C" w:rsidR="00F966CE" w:rsidRPr="00DF37C1" w:rsidRDefault="00F966CE" w:rsidP="005B4815">
      <w:pPr>
        <w:pStyle w:val="Heading2"/>
        <w:rPr>
          <w:rFonts w:ascii="Calibri" w:hAnsi="Calibri" w:cs="Calibri"/>
        </w:rPr>
      </w:pPr>
      <w:bookmarkStart w:id="4" w:name="_Toc201317503"/>
      <w:r w:rsidRPr="00DF37C1">
        <w:rPr>
          <w:rFonts w:ascii="Calibri" w:hAnsi="Calibri" w:cs="Calibri"/>
        </w:rPr>
        <w:lastRenderedPageBreak/>
        <w:t>ERP Overview</w:t>
      </w:r>
      <w:bookmarkEnd w:id="4"/>
    </w:p>
    <w:p w14:paraId="62614FE1"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General Ledger - Key Benefits</w:t>
      </w:r>
    </w:p>
    <w:p w14:paraId="4A425DC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Simultaneous accounting of multiple reporting requirements for GASB compliance</w:t>
      </w:r>
    </w:p>
    <w:p w14:paraId="6F1387F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Innovative multi-dimensional reporting platform</w:t>
      </w:r>
    </w:p>
    <w:p w14:paraId="5B54A45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Collaborative close process</w:t>
      </w:r>
    </w:p>
    <w:p w14:paraId="593176B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Role-based dashboards that push issues and work to users</w:t>
      </w:r>
    </w:p>
    <w:p w14:paraId="59A3636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Infolets and infotiles that present key information at a glance</w:t>
      </w:r>
    </w:p>
    <w:p w14:paraId="6C285C79"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w:t>
      </w:r>
      <w:r w:rsidRPr="00DF37C1">
        <w:rPr>
          <w:rFonts w:ascii="Calibri" w:hAnsi="Calibri" w:cs="Calibri"/>
          <w:b/>
          <w:bCs/>
          <w:color w:val="000000" w:themeColor="text1"/>
          <w:sz w:val="22"/>
          <w:szCs w:val="22"/>
        </w:rPr>
        <w:t>Cloud General Ledger</w:t>
      </w:r>
      <w:r w:rsidRPr="00DF37C1">
        <w:rPr>
          <w:rFonts w:ascii="Calibri" w:hAnsi="Calibri" w:cs="Calibri"/>
          <w:color w:val="000000" w:themeColor="text1"/>
          <w:sz w:val="22"/>
          <w:szCs w:val="22"/>
        </w:rPr>
        <w:t xml:space="preserve"> facilitates organizational efforts to standardize and improve business processes based on best practices. Oracle Cloud natively supports both full and modified accrual accounting, limiting customization of the system, using the Subledger Accounting engine. </w:t>
      </w:r>
      <w:r w:rsidRPr="00DF37C1">
        <w:rPr>
          <w:rFonts w:ascii="Calibri" w:hAnsi="Calibri" w:cs="Calibri"/>
          <w:b/>
          <w:bCs/>
          <w:color w:val="000000" w:themeColor="text1"/>
          <w:sz w:val="22"/>
          <w:szCs w:val="22"/>
        </w:rPr>
        <w:t>Subledger Accounting</w:t>
      </w:r>
      <w:r w:rsidRPr="00DF37C1">
        <w:rPr>
          <w:rFonts w:ascii="Calibri" w:hAnsi="Calibri" w:cs="Calibri"/>
          <w:color w:val="000000" w:themeColor="text1"/>
          <w:sz w:val="22"/>
          <w:szCs w:val="22"/>
        </w:rPr>
        <w:t xml:space="preserve"> uses a set of rules applied to subledger transactions to determine the posting accounts and present the entries appropriately, reducing instances of duplicate data (one source of truth). Accounting entries are created in the subledger and transferred to the General Ledger.</w:t>
      </w:r>
    </w:p>
    <w:p w14:paraId="63707ECC"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Cloud’s flexible chart of accounts functionality will allow the County to easily accommodate their desired chart of account code structure and permit for growth or change over the lifetime of the structure.  Oracle Cloud supports the use of one or more chart of accounts as well as supports unlimited hierarchies (or trees) and hierarchy versions within a given segment of the chart of accounts. The chart of accounts includes the ability to define default combinations and rules which are incorporated throughout the application and feature built-in validation rules, conditional logic, etc. mitigating data entry errors and providing users assurance that only valid values and valid combinations are used. </w:t>
      </w:r>
    </w:p>
    <w:p w14:paraId="6DBD473A" w14:textId="77777777" w:rsidR="00992972" w:rsidRPr="00DF37C1" w:rsidRDefault="00992972" w:rsidP="00992972">
      <w:pPr>
        <w:pStyle w:val="TNRResponse"/>
        <w:rPr>
          <w:rFonts w:ascii="Calibri" w:hAnsi="Calibri" w:cs="Calibri"/>
          <w:color w:val="000000" w:themeColor="text1"/>
          <w:sz w:val="22"/>
          <w:szCs w:val="22"/>
        </w:rPr>
      </w:pPr>
    </w:p>
    <w:p w14:paraId="11626439" w14:textId="77777777" w:rsidR="00992972" w:rsidRPr="00DF37C1" w:rsidRDefault="00992972" w:rsidP="00992972">
      <w:pPr>
        <w:ind w:left="540"/>
        <w:rPr>
          <w:rFonts w:ascii="Calibri" w:eastAsia="Times New Roman" w:hAnsi="Calibri" w:cs="Calibri"/>
          <w:color w:val="000000" w:themeColor="text1"/>
        </w:rPr>
      </w:pPr>
      <w:r w:rsidRPr="00DF37C1">
        <w:rPr>
          <w:rFonts w:ascii="Calibri" w:hAnsi="Calibri" w:cs="Calibri"/>
          <w:noProof/>
          <w:color w:val="000000" w:themeColor="text1"/>
        </w:rPr>
        <w:drawing>
          <wp:inline distT="0" distB="0" distL="0" distR="0" wp14:anchorId="7135BCEB" wp14:editId="359D6AD9">
            <wp:extent cx="2255101" cy="1378117"/>
            <wp:effectExtent l="0" t="0" r="0" b="0"/>
            <wp:docPr id="1618701456" name="Picture 16187014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01456" name="Picture 1618701456" descr="A screenshot of a computer&#10;&#10;Description automatically generated"/>
                    <pic:cNvPicPr/>
                  </pic:nvPicPr>
                  <pic:blipFill>
                    <a:blip r:embed="rId15"/>
                    <a:stretch>
                      <a:fillRect/>
                    </a:stretch>
                  </pic:blipFill>
                  <pic:spPr>
                    <a:xfrm>
                      <a:off x="0" y="0"/>
                      <a:ext cx="2261346" cy="1381933"/>
                    </a:xfrm>
                    <a:prstGeom prst="rect">
                      <a:avLst/>
                    </a:prstGeom>
                  </pic:spPr>
                </pic:pic>
              </a:graphicData>
            </a:graphic>
          </wp:inline>
        </w:drawing>
      </w:r>
    </w:p>
    <w:p w14:paraId="06ABA4C5"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Cloud offers a robust reporting suite that provides multiple reporting options including the ability to generate an ACFR (Annual Comprehensive Financial Report). The Oracle Cloud general ledger posting process updates balances in real time. The posting process stores balances in both balance cubes for efficient multidimensional analysis and relational tables for transaction processing. The financial reporting functionality enables: </w:t>
      </w:r>
    </w:p>
    <w:p w14:paraId="01DCC6A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Improved reporting through user driven reporting capabilities</w:t>
      </w:r>
    </w:p>
    <w:p w14:paraId="0DBE9BA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The ability to generate ad hoc reporting, dashboard analytics and predictive analytics capabilities for all functional modules</w:t>
      </w:r>
    </w:p>
    <w:p w14:paraId="646680CE"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Drill down from any level to detail balances, journal lines, and subledger transactions</w:t>
      </w:r>
    </w:p>
    <w:p w14:paraId="4B684A95" w14:textId="77777777" w:rsidR="00992972" w:rsidRPr="00DF37C1" w:rsidRDefault="00992972" w:rsidP="00992972">
      <w:pPr>
        <w:pStyle w:val="TNRBullet"/>
        <w:numPr>
          <w:ilvl w:val="0"/>
          <w:numId w:val="0"/>
        </w:numPr>
        <w:spacing w:before="0" w:after="0"/>
        <w:ind w:left="360"/>
        <w:rPr>
          <w:rFonts w:ascii="Calibri" w:hAnsi="Calibri" w:cs="Calibri"/>
          <w:color w:val="000000" w:themeColor="text1"/>
          <w:sz w:val="22"/>
          <w:szCs w:val="22"/>
        </w:rPr>
      </w:pPr>
    </w:p>
    <w:p w14:paraId="7B02179B" w14:textId="77777777" w:rsidR="00992972" w:rsidRPr="00DF37C1" w:rsidRDefault="00992972" w:rsidP="00992972">
      <w:pPr>
        <w:pStyle w:val="TNRBullet"/>
        <w:numPr>
          <w:ilvl w:val="0"/>
          <w:numId w:val="0"/>
        </w:numPr>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Cash Management - Key Benefits</w:t>
      </w:r>
    </w:p>
    <w:p w14:paraId="1A50A19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Role-specific dashboards to highlight transaction flags and instantly monitor exceptions</w:t>
      </w:r>
    </w:p>
    <w:p w14:paraId="22535F7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lastRenderedPageBreak/>
        <w:t>Interface with banks to automatically process transactions records and any additional fees to align balances</w:t>
      </w:r>
    </w:p>
    <w:p w14:paraId="73814020"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Streamlined and automated bank reconciliation process</w:t>
      </w:r>
    </w:p>
    <w:p w14:paraId="4085EFCE"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Cash Forecasting</w:t>
      </w:r>
    </w:p>
    <w:p w14:paraId="6D4D862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Real-time review bank positions</w:t>
      </w:r>
    </w:p>
    <w:p w14:paraId="521F8717"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Accounts Payable - Key Benefits</w:t>
      </w:r>
    </w:p>
    <w:p w14:paraId="1E8E54C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Superior supplier invoices management: use rule-drive routing to automate invoice processing and spreadsheets to speed up manual entry</w:t>
      </w:r>
    </w:p>
    <w:p w14:paraId="5557EEF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Resolve disputes and holds via role-based dashboards</w:t>
      </w:r>
    </w:p>
    <w:p w14:paraId="2977B0A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Role-specific alerts and dashboards</w:t>
      </w:r>
    </w:p>
    <w:p w14:paraId="6FBFF91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Integrated image processing for supplier invoices</w:t>
      </w:r>
    </w:p>
    <w:p w14:paraId="32C3B0B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Improve the timeliness and accuracy of invoices and payments.</w:t>
      </w:r>
    </w:p>
    <w:p w14:paraId="185F095E"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The Payables module of the Oracle Financials Cloud is an integral component of the procure-to-pay process. It includes a host of services to help our customers to efficiently process and pay supplier invoices, such as a supplier portal, supplier invoicing, approvals, payments, reporting on payables balances and reconciliation to the general ledger. The solution eliminates the need for costly third-party solutions that require custom integration by providing extensive functionality to manage electronic invoices as well as a seamless, ready to-use Intelligent Document Recognition (IDR) imaging solution to support a completely automated invoice processing. Our customers will be able to undertake a large quantity of daily financial tasks efficiently and in a smooth manner. All this is partly supported by machine learning.</w:t>
      </w:r>
    </w:p>
    <w:p w14:paraId="10F7070F"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color w:val="000000" w:themeColor="text1"/>
          <w:sz w:val="22"/>
          <w:szCs w:val="22"/>
        </w:rPr>
        <w:t xml:space="preserve">Oracle Cloud provides configurable predefined workflows for invoice approval and holds resolution for invoices with exceptions. Based on the rules defined, the system determines whether approval is required and routes the invoice to the appropriate approver, preventing the payment until the invoice is approved. Users will be able to specify for each supplier site several controls based on which the system will automatically place on hold unmatched invoices and invoices that exceed the matching tolerances allowed. Invoices on hold cannot be paid until the hold is released. </w:t>
      </w:r>
    </w:p>
    <w:p w14:paraId="6FD68EDB"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Fixed Assets - Key Benefits</w:t>
      </w:r>
    </w:p>
    <w:p w14:paraId="1533618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Support of asset lifecycle</w:t>
      </w:r>
    </w:p>
    <w:p w14:paraId="6F31E03E"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Automation of asset creation through procure-to-pay and projects</w:t>
      </w:r>
    </w:p>
    <w:p w14:paraId="6774A70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Comply with GASB87</w:t>
      </w:r>
    </w:p>
    <w:p w14:paraId="013999B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Streamline asset lifecycle operations and manage transactions and period close activities</w:t>
      </w:r>
    </w:p>
    <w:p w14:paraId="19CB660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Automatically comply with organization capital asset acquisition policies</w:t>
      </w:r>
    </w:p>
    <w:p w14:paraId="2B155B15"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Assets is effectively designed to automate asset lifecycle management and simplify asset accounting tasks for asset purchase, depreciation, revaluation, transfer, and retirement. The County will find they are able to reduce manual work and facilitation fixed assets accounting tasks that help gain more visibility into the organization’s assets.</w:t>
      </w:r>
    </w:p>
    <w:p w14:paraId="6D53F960"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eastAsia="Times New Roman" w:hAnsi="Calibri" w:cs="Calibri"/>
          <w:color w:val="000000" w:themeColor="text1"/>
          <w:sz w:val="22"/>
          <w:szCs w:val="22"/>
        </w:rPr>
        <w:t xml:space="preserve">The County can establish rules to simultaneously create transactions to post to multiple ledgers using different bases of accounting. This feature allows the County to expense fixed assets for traditional fund accounting and capitalize and depreciate these fixed assets as required by GASB34. </w:t>
      </w:r>
      <w:r w:rsidRPr="00DF37C1">
        <w:rPr>
          <w:rFonts w:ascii="Calibri" w:hAnsi="Calibri" w:cs="Calibri"/>
          <w:color w:val="000000" w:themeColor="text1"/>
          <w:sz w:val="22"/>
          <w:szCs w:val="22"/>
        </w:rPr>
        <w:t xml:space="preserve">Leases are supported for GASB87 compliance. </w:t>
      </w:r>
    </w:p>
    <w:p w14:paraId="4992B7AC"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lastRenderedPageBreak/>
        <w:t>Expenses - Key Benefits</w:t>
      </w:r>
    </w:p>
    <w:p w14:paraId="1C9D10FC"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hAnsi="Calibri" w:cs="Calibri"/>
          <w:color w:val="000000" w:themeColor="text1"/>
          <w:sz w:val="22"/>
          <w:szCs w:val="22"/>
        </w:rPr>
        <w:t xml:space="preserve">Quick expense entry using mobile apps, GetThere integration or offline spreadsheets </w:t>
      </w:r>
    </w:p>
    <w:p w14:paraId="50A162AC"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hAnsi="Calibri" w:cs="Calibri"/>
          <w:color w:val="000000" w:themeColor="text1"/>
          <w:sz w:val="22"/>
          <w:szCs w:val="22"/>
        </w:rPr>
        <w:t>Support for per diem requirements</w:t>
      </w:r>
    </w:p>
    <w:p w14:paraId="5A533321"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hAnsi="Calibri" w:cs="Calibri"/>
          <w:color w:val="000000" w:themeColor="text1"/>
          <w:sz w:val="22"/>
          <w:szCs w:val="22"/>
        </w:rPr>
        <w:t>Pre-travel authorizations and Cash Advances</w:t>
      </w:r>
    </w:p>
    <w:p w14:paraId="44DD603D"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hAnsi="Calibri" w:cs="Calibri"/>
          <w:color w:val="000000" w:themeColor="text1"/>
          <w:sz w:val="22"/>
          <w:szCs w:val="22"/>
        </w:rPr>
        <w:t xml:space="preserve">Greater accuracy and compliance with corporate card integration </w:t>
      </w:r>
    </w:p>
    <w:p w14:paraId="7BC1E989"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hAnsi="Calibri" w:cs="Calibri"/>
          <w:color w:val="000000" w:themeColor="text1"/>
          <w:sz w:val="22"/>
          <w:szCs w:val="22"/>
        </w:rPr>
        <w:t>Define Polices in Compliance with organization policies and regulations &amp; audit management, institute spend controls</w:t>
      </w:r>
    </w:p>
    <w:p w14:paraId="592923C1" w14:textId="324C60D2"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The Oracle Expense Assistant is a skill that lets you create and manage your expenses using </w:t>
      </w:r>
      <w:r w:rsidR="000772BE" w:rsidRPr="00DF37C1">
        <w:rPr>
          <w:rFonts w:ascii="Calibri" w:hAnsi="Calibri" w:cs="Calibri"/>
          <w:color w:val="000000" w:themeColor="text1"/>
          <w:sz w:val="22"/>
          <w:szCs w:val="22"/>
        </w:rPr>
        <w:t>conversational</w:t>
      </w:r>
      <w:r w:rsidRPr="00DF37C1">
        <w:rPr>
          <w:rFonts w:ascii="Calibri" w:hAnsi="Calibri" w:cs="Calibri"/>
          <w:color w:val="000000" w:themeColor="text1"/>
          <w:sz w:val="22"/>
          <w:szCs w:val="22"/>
        </w:rPr>
        <w:t xml:space="preserve"> experience. It uses conversational channels such as native SMS, Slack, or Microsoft Teams on your mobile device to guide you through common expense tasks. As you interact with the assistant, it directly communicates with the Oracle Expenses web application to perform the tasks. Here are the different expense tasks that you can perform using the Expense Assistant: </w:t>
      </w:r>
    </w:p>
    <w:p w14:paraId="1A4D8E0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Creating an expense and submitting it for manager approval </w:t>
      </w:r>
    </w:p>
    <w:p w14:paraId="2C4ED0D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Modifying an expense </w:t>
      </w:r>
    </w:p>
    <w:p w14:paraId="66AE1B85"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Checking the status of expense reports</w:t>
      </w:r>
    </w:p>
    <w:p w14:paraId="4062BA99" w14:textId="77777777" w:rsidR="00992972" w:rsidRPr="00DF37C1" w:rsidRDefault="00992972" w:rsidP="00992972">
      <w:pPr>
        <w:pStyle w:val="TNRBullet"/>
        <w:numPr>
          <w:ilvl w:val="0"/>
          <w:numId w:val="0"/>
        </w:numPr>
        <w:spacing w:before="0" w:after="0"/>
        <w:ind w:left="720"/>
        <w:rPr>
          <w:rFonts w:ascii="Calibri" w:hAnsi="Calibri" w:cs="Calibri"/>
          <w:color w:val="000000" w:themeColor="text1"/>
          <w:sz w:val="22"/>
          <w:szCs w:val="22"/>
        </w:rPr>
      </w:pPr>
    </w:p>
    <w:p w14:paraId="269D4E09" w14:textId="77777777" w:rsidR="00992972" w:rsidRPr="00DF37C1" w:rsidRDefault="00992972" w:rsidP="00992972">
      <w:pPr>
        <w:pStyle w:val="TNRBullet"/>
        <w:numPr>
          <w:ilvl w:val="0"/>
          <w:numId w:val="0"/>
        </w:numPr>
        <w:spacing w:before="0" w:after="0"/>
        <w:ind w:left="-90"/>
        <w:rPr>
          <w:rFonts w:ascii="Calibri" w:hAnsi="Calibri" w:cs="Calibri"/>
          <w:color w:val="000000" w:themeColor="text1"/>
          <w:sz w:val="22"/>
          <w:szCs w:val="22"/>
        </w:rPr>
      </w:pPr>
      <w:r w:rsidRPr="00DF37C1">
        <w:rPr>
          <w:rFonts w:ascii="Calibri" w:hAnsi="Calibri" w:cs="Calibri"/>
          <w:b/>
          <w:bCs/>
          <w:color w:val="000000" w:themeColor="text1"/>
          <w:sz w:val="22"/>
          <w:szCs w:val="22"/>
        </w:rPr>
        <w:t>Accounts Receivable - Key Benefits</w:t>
      </w:r>
    </w:p>
    <w:p w14:paraId="7BC7698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Work areas for performing day-to-day operations</w:t>
      </w:r>
    </w:p>
    <w:p w14:paraId="2C299F4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Send customers invoicing documents or consolidated statements via preferred format and delivery method</w:t>
      </w:r>
    </w:p>
    <w:p w14:paraId="53D0BBF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Automatically match receipts to invoices using configurable rules or scoring engine</w:t>
      </w:r>
    </w:p>
    <w:p w14:paraId="09C7C3A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Mass upload of multiple transactions using spreadsheets</w:t>
      </w:r>
    </w:p>
    <w:p w14:paraId="4FA9BE1A" w14:textId="77777777" w:rsidR="00992972" w:rsidRPr="00DF37C1" w:rsidRDefault="00992972" w:rsidP="00992972">
      <w:pPr>
        <w:pStyle w:val="TNRResponse"/>
        <w:rPr>
          <w:rFonts w:ascii="Calibri" w:hAnsi="Calibri" w:cs="Calibri"/>
          <w:color w:val="000000" w:themeColor="text1"/>
          <w:sz w:val="22"/>
          <w:szCs w:val="22"/>
          <w:lang w:val="en-GB"/>
        </w:rPr>
      </w:pPr>
      <w:r w:rsidRPr="00DF37C1">
        <w:rPr>
          <w:rFonts w:ascii="Calibri" w:hAnsi="Calibri" w:cs="Calibri"/>
          <w:color w:val="000000" w:themeColor="text1"/>
          <w:sz w:val="22"/>
          <w:szCs w:val="22"/>
          <w:lang w:val="en-GB"/>
        </w:rPr>
        <w:t>The County will be able to set business rules to manage the creation of invoices and debit/credit memos based on defined transactions, use real-time insight to rapidly resolve billing issues, apply payments to invoices automatically based on configured criteria or receive suggestions from a matching algorithm. Oracle Cloud provides an easy platform to securely mobilize the customer billing, payment recording and receipt remittance. Leverage Oracle modern best practice to bill</w:t>
      </w:r>
      <w:bookmarkStart w:id="5" w:name="_Toc92903834"/>
      <w:r w:rsidRPr="00DF37C1">
        <w:rPr>
          <w:rFonts w:ascii="Calibri" w:hAnsi="Calibri" w:cs="Calibri"/>
          <w:color w:val="000000" w:themeColor="text1"/>
          <w:sz w:val="22"/>
          <w:szCs w:val="22"/>
          <w:lang w:val="en-GB"/>
        </w:rPr>
        <w:t>.</w:t>
      </w:r>
    </w:p>
    <w:bookmarkEnd w:id="5"/>
    <w:p w14:paraId="3DEEBC85" w14:textId="77777777" w:rsidR="00992972" w:rsidRPr="00DF37C1" w:rsidRDefault="00992972" w:rsidP="00992972">
      <w:pPr>
        <w:pStyle w:val="TNRResponse"/>
        <w:keepLines/>
        <w:rPr>
          <w:rFonts w:ascii="Calibri" w:hAnsi="Calibri" w:cs="Calibri"/>
          <w:b/>
          <w:bCs/>
          <w:color w:val="000000" w:themeColor="text1"/>
          <w:sz w:val="22"/>
          <w:szCs w:val="22"/>
        </w:rPr>
      </w:pPr>
      <w:r w:rsidRPr="00DF37C1">
        <w:rPr>
          <w:rFonts w:ascii="Calibri" w:hAnsi="Calibri" w:cs="Calibri"/>
          <w:b/>
          <w:bCs/>
          <w:color w:val="000000" w:themeColor="text1"/>
          <w:sz w:val="22"/>
          <w:szCs w:val="22"/>
        </w:rPr>
        <w:t>Project Accounting - Key Benefits</w:t>
      </w:r>
    </w:p>
    <w:p w14:paraId="0AC30253" w14:textId="77777777" w:rsidR="00992972" w:rsidRPr="00DF37C1" w:rsidRDefault="00992972" w:rsidP="00992972">
      <w:pPr>
        <w:pStyle w:val="TNRBullet"/>
        <w:keepLines/>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Improve planning, budgeting, forecasting, and reporting of project costs and revenue with comprehensive financial controls</w:t>
      </w:r>
    </w:p>
    <w:p w14:paraId="763CF2F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Gain visibility and control over project resources and costs</w:t>
      </w:r>
    </w:p>
    <w:p w14:paraId="1B42764E"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eastAsia="Garamond" w:hAnsi="Calibri" w:cs="Calibri"/>
          <w:color w:val="000000" w:themeColor="text1"/>
          <w:sz w:val="22"/>
          <w:szCs w:val="22"/>
        </w:rPr>
        <w:t>Reduce manual work by easily capturing costs from multiple functions including time and labor, procurement, and financials</w:t>
      </w:r>
    </w:p>
    <w:p w14:paraId="5FC1503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eastAsia="Garamond" w:hAnsi="Calibri" w:cs="Calibri"/>
          <w:color w:val="000000" w:themeColor="text1"/>
          <w:sz w:val="22"/>
          <w:szCs w:val="22"/>
        </w:rPr>
        <w:t>Prevent or approve excessive spending using comprehensive budgetary controls</w:t>
      </w:r>
    </w:p>
    <w:p w14:paraId="162E8168"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eastAsia="Garamond" w:hAnsi="Calibri" w:cs="Calibri"/>
          <w:color w:val="000000" w:themeColor="text1"/>
          <w:sz w:val="22"/>
          <w:szCs w:val="22"/>
        </w:rPr>
        <w:t>Simplify the management of complex contracts and reduce administrative overhead through flexible associations between projects and contracts</w:t>
      </w:r>
    </w:p>
    <w:p w14:paraId="11273432" w14:textId="77777777" w:rsidR="00992972" w:rsidRPr="00DF37C1" w:rsidRDefault="00992972" w:rsidP="00992972">
      <w:pPr>
        <w:pStyle w:val="TNRBullet"/>
        <w:spacing w:before="0" w:after="0"/>
        <w:rPr>
          <w:rFonts w:ascii="Calibri" w:eastAsia="Garamond" w:hAnsi="Calibri" w:cs="Calibri"/>
          <w:color w:val="000000" w:themeColor="text1"/>
          <w:sz w:val="22"/>
          <w:szCs w:val="22"/>
        </w:rPr>
      </w:pPr>
      <w:r w:rsidRPr="00DF37C1">
        <w:rPr>
          <w:rFonts w:ascii="Calibri" w:eastAsia="Garamond" w:hAnsi="Calibri" w:cs="Calibri"/>
          <w:color w:val="000000" w:themeColor="text1"/>
          <w:sz w:val="22"/>
          <w:szCs w:val="22"/>
        </w:rPr>
        <w:t>Projects suite contains functionality for: Project Control, budgeting, costing, capital projects, contract billing, contract compliance, project revenue, and time capture</w:t>
      </w:r>
    </w:p>
    <w:p w14:paraId="280A2B98"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Grants Management - Key Benefits</w:t>
      </w:r>
    </w:p>
    <w:p w14:paraId="2937405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Create and manage awards from funding to closeout with pre-populated templates</w:t>
      </w:r>
    </w:p>
    <w:p w14:paraId="47ACD09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Reduce manual work by easily capturing costs from multiple functions including time and labor, procurement, and financials</w:t>
      </w:r>
    </w:p>
    <w:p w14:paraId="4BCB933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lastRenderedPageBreak/>
        <w:t>Get a better understanding of available funds and reduce budget issues by calculating indirect costs and applying them to transactions</w:t>
      </w:r>
    </w:p>
    <w:p w14:paraId="5BDB74B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Easily invoice sponsors or draw down letters of credit with flexible format options</w:t>
      </w:r>
    </w:p>
    <w:p w14:paraId="0D19016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Recognize revenue from projects/grants faster using analysis of revenue trends and contract limits.</w:t>
      </w:r>
      <w:bookmarkStart w:id="6" w:name="_Toc93564281"/>
    </w:p>
    <w:p w14:paraId="13585285" w14:textId="77777777" w:rsidR="00992972" w:rsidRPr="00DF37C1" w:rsidRDefault="00992972" w:rsidP="00992972">
      <w:pPr>
        <w:pStyle w:val="TNRResponse"/>
        <w:keepNext/>
        <w:rPr>
          <w:rFonts w:ascii="Calibri" w:hAnsi="Calibri" w:cs="Calibri"/>
          <w:b/>
          <w:bCs/>
          <w:color w:val="000000" w:themeColor="text1"/>
          <w:sz w:val="22"/>
          <w:szCs w:val="22"/>
        </w:rPr>
      </w:pPr>
      <w:r w:rsidRPr="00DF37C1">
        <w:rPr>
          <w:rFonts w:ascii="Calibri" w:hAnsi="Calibri" w:cs="Calibri"/>
          <w:b/>
          <w:bCs/>
          <w:color w:val="000000" w:themeColor="text1"/>
          <w:sz w:val="22"/>
          <w:szCs w:val="22"/>
        </w:rPr>
        <w:t>Award Management</w:t>
      </w:r>
      <w:bookmarkEnd w:id="6"/>
    </w:p>
    <w:p w14:paraId="3E627A54"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Grants Management allows you to have complete visibility into all aspects of your awards. Quickly visualize the current spending status and drill into funding, budget, commitment, and expenditure details, as well as all related conversations and documents; all from any device, anywhere. </w:t>
      </w:r>
    </w:p>
    <w:p w14:paraId="62FBC354"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Awards can be quickly created from predefined templates or imported from Pre-Award tools using standard web services and open interfaces. Awards are defined in conjunction with the grant contract, allowing for all types of sponsor specific information to be captured.  This might include terms, conditions, rules for installments and the timing of claim submissions, restrictions on allowable costs and reimbursable amounts for the award and would contribute to the control of how the ongoing project is managed. e.g., when and how often claims are due to be submitted, the document format for the claim, whether the funding is disbursed by installment, whether funding can be carried forward if previously un-spent, and the format, timing, advance notice &amp; escalation rules for any financial or technical reports that need to be submitted.</w:t>
      </w:r>
    </w:p>
    <w:p w14:paraId="6F814D0C" w14:textId="77777777" w:rsidR="00992972" w:rsidRPr="00DF37C1" w:rsidRDefault="00992972" w:rsidP="00992972">
      <w:pPr>
        <w:pStyle w:val="TNRResponse"/>
        <w:rPr>
          <w:rFonts w:ascii="Calibri" w:hAnsi="Calibri" w:cs="Calibri"/>
          <w:b/>
          <w:bCs/>
          <w:color w:val="000000" w:themeColor="text1"/>
          <w:sz w:val="22"/>
          <w:szCs w:val="22"/>
        </w:rPr>
      </w:pPr>
      <w:bookmarkStart w:id="7" w:name="_Toc93564284"/>
      <w:r w:rsidRPr="00DF37C1">
        <w:rPr>
          <w:rFonts w:ascii="Calibri" w:hAnsi="Calibri" w:cs="Calibri"/>
          <w:b/>
          <w:bCs/>
          <w:color w:val="000000" w:themeColor="text1"/>
          <w:sz w:val="22"/>
          <w:szCs w:val="22"/>
        </w:rPr>
        <w:t>Grants Billing</w:t>
      </w:r>
      <w:bookmarkEnd w:id="7"/>
    </w:p>
    <w:p w14:paraId="4E75B5E7"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Review award and sponsored project-related activities, analytics, documents, and conversations to ensure completeness and compliance. Grants Management allows you to manage the complete post award process, from initial funding to close out. The solution provides an integrated platform for managing the financial aspects and collaborating on your awards and sponsored projects while complying with your sponsors and internal control, billing, and reporting requirements.</w:t>
      </w:r>
    </w:p>
    <w:p w14:paraId="14D0322B"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Procurement - Key Features</w:t>
      </w:r>
    </w:p>
    <w:p w14:paraId="1221478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Streamlined order processing and change management</w:t>
      </w:r>
    </w:p>
    <w:p w14:paraId="21C1F0D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Consumer shopping experience for requisition creation</w:t>
      </w:r>
    </w:p>
    <w:p w14:paraId="2840558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Integrated budget control and funds management</w:t>
      </w:r>
    </w:p>
    <w:p w14:paraId="471EAA9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Integrated, online solicitation management</w:t>
      </w:r>
    </w:p>
    <w:p w14:paraId="7E83F8D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Enterprise contract management</w:t>
      </w:r>
    </w:p>
    <w:p w14:paraId="27EE259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Automated approvals by amount, business unit, account segment, item, category and location</w:t>
      </w:r>
    </w:p>
    <w:p w14:paraId="76254229"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b/>
          <w:bCs/>
          <w:color w:val="000000" w:themeColor="text1"/>
          <w:sz w:val="22"/>
          <w:szCs w:val="22"/>
        </w:rPr>
        <w:t xml:space="preserve">Oracle Procurement </w:t>
      </w:r>
      <w:r w:rsidRPr="00DF37C1">
        <w:rPr>
          <w:rFonts w:ascii="Calibri" w:hAnsi="Calibri" w:cs="Calibri"/>
          <w:color w:val="000000" w:themeColor="text1"/>
          <w:sz w:val="22"/>
          <w:szCs w:val="22"/>
        </w:rPr>
        <w:t xml:space="preserve">supports the full procurement lifecycle from creating and managing suppliers to issuing sourcing events, creating requisitions and purchase orders, to the creation and execution of contracts. Oracle Procurement allows you to automate purchasing transactions, and provides the County’s buyers insight into exceptions, statuses, and actions required. You can streamline routine tasks, such as creating purchase orders from approved requisitions without intervention, increasing productivity while enforcing compliance at every step. You can use electronic communications with your suppliers to improve the timeliness and accuracy of purchase orders (POs) and changes. This allows you to spend more time discovering and exploiting savings opportunities and delivering value to your organization. </w:t>
      </w:r>
    </w:p>
    <w:p w14:paraId="0E680819" w14:textId="77777777" w:rsidR="00992972" w:rsidRPr="00DF37C1" w:rsidRDefault="00992972" w:rsidP="00992972">
      <w:pPr>
        <w:pStyle w:val="TNRResponse"/>
        <w:keepNext/>
        <w:tabs>
          <w:tab w:val="left" w:pos="5498"/>
        </w:tabs>
        <w:rPr>
          <w:rFonts w:ascii="Calibri" w:hAnsi="Calibri" w:cs="Calibri"/>
          <w:b/>
          <w:bCs/>
          <w:color w:val="000000" w:themeColor="text1"/>
          <w:sz w:val="22"/>
          <w:szCs w:val="22"/>
        </w:rPr>
      </w:pPr>
      <w:r w:rsidRPr="00DF37C1">
        <w:rPr>
          <w:rFonts w:ascii="Calibri" w:hAnsi="Calibri" w:cs="Calibri"/>
          <w:b/>
          <w:bCs/>
          <w:color w:val="000000" w:themeColor="text1"/>
          <w:sz w:val="22"/>
          <w:szCs w:val="22"/>
        </w:rPr>
        <w:lastRenderedPageBreak/>
        <w:t xml:space="preserve">Self Service Procurement </w:t>
      </w:r>
      <w:r w:rsidRPr="00DF37C1">
        <w:rPr>
          <w:rFonts w:ascii="Calibri" w:hAnsi="Calibri" w:cs="Calibri"/>
          <w:b/>
          <w:bCs/>
          <w:color w:val="000000" w:themeColor="text1"/>
          <w:sz w:val="22"/>
          <w:szCs w:val="22"/>
        </w:rPr>
        <w:tab/>
      </w:r>
    </w:p>
    <w:p w14:paraId="480B5B75"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Self Service Procurement provides a user-friendly approach to managing requests for goods and services also known as requisitions. The application provides the best capabilities of consumer shopping web sites augmented with tools to control spend. Oracle delivers a friendly user experience that is like the best consumer web sites. The interface delivers friendly and familiar web features such as extensive search and filter capabilities, favorites, recent items, tagging, and embedded learning for infrequent users. With little or no training, employees can easily search, use shopping lists, browse categories, and find what they need quickly.</w:t>
      </w:r>
    </w:p>
    <w:p w14:paraId="76C07011" w14:textId="77777777" w:rsidR="00992972" w:rsidRPr="00DF37C1" w:rsidRDefault="00992972" w:rsidP="00992972">
      <w:pPr>
        <w:pStyle w:val="RFxBody"/>
        <w:keepNext/>
        <w:ind w:left="504"/>
        <w:rPr>
          <w:rFonts w:ascii="Calibri" w:hAnsi="Calibri" w:cs="Calibri"/>
          <w:color w:val="000000" w:themeColor="text1"/>
          <w:sz w:val="22"/>
          <w:szCs w:val="22"/>
        </w:rPr>
      </w:pPr>
    </w:p>
    <w:p w14:paraId="4F9830D7"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 xml:space="preserve">Oracle Purchasing </w:t>
      </w:r>
    </w:p>
    <w:p w14:paraId="1C967AE7"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Purchasing supports a flexible, controllable, yet simple to use purchasing process. Creating purchase orders in Oracle is a very flexible task. Purchase orders can be created through conversion of one or more requisitions, or they may be created on their own. Additionally, purchase orders can be created as an outcome of a sourcing negotiation or against a contract or they can be allocated to contract lines and cost centers when created by users. Oracle Purchasing provides workflow driven processes to maintain standards, ensure proper approval and keep full history. Oracle Purchasing Cloud is fully integrated with other modules, including Financials, Inventory, HCM, and Projects/Grants. </w:t>
      </w:r>
    </w:p>
    <w:p w14:paraId="53F5BEBE"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 xml:space="preserve">Procurement Contracts </w:t>
      </w:r>
    </w:p>
    <w:p w14:paraId="15A35C2A"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Procurement Contracts offers integrated Contract Management that provides standardization and automation throughout the contract lifecycle. It uses a terms library that will store the County’s standard contract language and templates. This library can be leveraged to quickly create draft contracts associated with sourcing events, blanket purchase agreements (BPAs), purchase orders, and standalone contracts. Attachments can be added and will be stored with the contract. Contract documents can be shared externally via the supplier portal. Electronic signature capabilities are available through a delivered integration with DocuSign. Workflow and renewal notifications are available.</w:t>
      </w:r>
    </w:p>
    <w:p w14:paraId="37136244" w14:textId="77777777" w:rsidR="00992972" w:rsidRPr="00DF37C1" w:rsidRDefault="00992972" w:rsidP="00992972">
      <w:pPr>
        <w:pStyle w:val="TNRResponse"/>
        <w:keepNext/>
        <w:rPr>
          <w:rFonts w:ascii="Calibri" w:hAnsi="Calibri" w:cs="Calibri"/>
          <w:b/>
          <w:bCs/>
          <w:color w:val="000000" w:themeColor="text1"/>
          <w:sz w:val="22"/>
          <w:szCs w:val="22"/>
        </w:rPr>
      </w:pPr>
      <w:r w:rsidRPr="00DF37C1">
        <w:rPr>
          <w:rFonts w:ascii="Calibri" w:hAnsi="Calibri" w:cs="Calibri"/>
          <w:b/>
          <w:bCs/>
          <w:color w:val="000000" w:themeColor="text1"/>
          <w:sz w:val="22"/>
          <w:szCs w:val="22"/>
        </w:rPr>
        <w:t xml:space="preserve">Sourcing </w:t>
      </w:r>
    </w:p>
    <w:p w14:paraId="7DADAE94"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Sourcing delivers the structure, tools, and information the County needs to maximize the value of sourcing events. Visibility into sourcing activities and key metrics help drive sourcing effectiveness. You can drill down into recent sourcing activities and keep informed of the latest actions. With the sourcing monitor, you can quickly see how a sourcing is progressing and act as needed. </w:t>
      </w:r>
    </w:p>
    <w:p w14:paraId="0B0F68D8"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Users can view supplier responses side-by-side with graphical tools to show the procurement managers which responses best meet their business needs. They can also export their award information for offline spreadsheet analysis. Once they finalize their award decision, users can submit their award for approval. Flexible award methods enable the organization to arrive at the best possible award based on their unique business requirements.</w:t>
      </w:r>
    </w:p>
    <w:p w14:paraId="551035F3" w14:textId="77777777" w:rsidR="007E13EF" w:rsidRDefault="007E13EF" w:rsidP="00992972">
      <w:pPr>
        <w:pStyle w:val="TNRResponse"/>
        <w:rPr>
          <w:rFonts w:ascii="Calibri" w:hAnsi="Calibri" w:cs="Calibri"/>
          <w:b/>
          <w:bCs/>
          <w:color w:val="000000" w:themeColor="text1"/>
          <w:sz w:val="22"/>
          <w:szCs w:val="22"/>
        </w:rPr>
      </w:pPr>
    </w:p>
    <w:p w14:paraId="1AE35F4D" w14:textId="77777777" w:rsidR="007E13EF" w:rsidRDefault="007E13EF" w:rsidP="00992972">
      <w:pPr>
        <w:pStyle w:val="TNRResponse"/>
        <w:rPr>
          <w:rFonts w:ascii="Calibri" w:hAnsi="Calibri" w:cs="Calibri"/>
          <w:b/>
          <w:bCs/>
          <w:color w:val="000000" w:themeColor="text1"/>
          <w:sz w:val="22"/>
          <w:szCs w:val="22"/>
        </w:rPr>
      </w:pPr>
    </w:p>
    <w:p w14:paraId="6935CA5B" w14:textId="69F298F8"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lastRenderedPageBreak/>
        <w:t>Supplier Portal</w:t>
      </w:r>
    </w:p>
    <w:p w14:paraId="4FA1057C" w14:textId="17FA64DE"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Procurement Cloud incorporates a Supplier Portal, enabling the organization to provide </w:t>
      </w:r>
      <w:r w:rsidR="000772BE" w:rsidRPr="00DF37C1">
        <w:rPr>
          <w:rFonts w:ascii="Calibri" w:hAnsi="Calibri" w:cs="Calibri"/>
          <w:color w:val="000000" w:themeColor="text1"/>
          <w:sz w:val="22"/>
          <w:szCs w:val="22"/>
        </w:rPr>
        <w:t>suppliers with</w:t>
      </w:r>
      <w:r w:rsidRPr="00DF37C1">
        <w:rPr>
          <w:rFonts w:ascii="Calibri" w:hAnsi="Calibri" w:cs="Calibri"/>
          <w:color w:val="000000" w:themeColor="text1"/>
          <w:sz w:val="22"/>
          <w:szCs w:val="22"/>
        </w:rPr>
        <w:t xml:space="preserve"> a secure, self-service, fully integrated work area to engage with the organization.  With Oracle Supplier Portal, your suppliers gain access to a secure, integrated work area that provides full visibility to transactions, offers closed loop collaboration, and enables electronic invoicing. Instead of struggling with disparate systems, faxes, emails, or voice messages, suppliers can access a secure work area that provides a complete summary of all transactions that require attention. With just a few clicks, suppliers get the current status of solicitations, agreements, purchase orders, advance shipment notifications, and invoices. By providing instant access to the most current information, you can enable them to better serve the County.</w:t>
      </w:r>
    </w:p>
    <w:p w14:paraId="6F5C4C9F" w14:textId="77777777" w:rsidR="00992972" w:rsidRPr="00DF37C1" w:rsidRDefault="00992972" w:rsidP="00992972">
      <w:pPr>
        <w:rPr>
          <w:rFonts w:ascii="Calibri" w:hAnsi="Calibri" w:cs="Calibri"/>
          <w:color w:val="000000" w:themeColor="text1"/>
        </w:rPr>
      </w:pPr>
    </w:p>
    <w:p w14:paraId="42F46327" w14:textId="77777777" w:rsidR="00992972" w:rsidRPr="00DF37C1" w:rsidRDefault="00992972" w:rsidP="00992972">
      <w:pPr>
        <w:spacing w:line="278" w:lineRule="auto"/>
        <w:jc w:val="left"/>
        <w:rPr>
          <w:rFonts w:ascii="Calibri" w:hAnsi="Calibri" w:cs="Calibri"/>
          <w:b/>
          <w:bCs/>
          <w:color w:val="000000" w:themeColor="text1"/>
          <w:kern w:val="0"/>
          <w14:ligatures w14:val="none"/>
        </w:rPr>
      </w:pPr>
      <w:r w:rsidRPr="00DF37C1">
        <w:rPr>
          <w:rFonts w:ascii="Calibri" w:hAnsi="Calibri" w:cs="Calibri"/>
          <w:b/>
          <w:bCs/>
          <w:color w:val="000000" w:themeColor="text1"/>
        </w:rPr>
        <w:br w:type="page"/>
      </w:r>
    </w:p>
    <w:p w14:paraId="348C9E85" w14:textId="77777777" w:rsidR="00992972" w:rsidRPr="00DF37C1" w:rsidRDefault="00992972" w:rsidP="005B4815">
      <w:pPr>
        <w:pStyle w:val="Heading2"/>
        <w:rPr>
          <w:rFonts w:ascii="Calibri" w:hAnsi="Calibri" w:cs="Calibri"/>
        </w:rPr>
      </w:pPr>
      <w:bookmarkStart w:id="8" w:name="_Toc201317504"/>
      <w:r w:rsidRPr="00DF37C1">
        <w:rPr>
          <w:rFonts w:ascii="Calibri" w:hAnsi="Calibri" w:cs="Calibri"/>
        </w:rPr>
        <w:lastRenderedPageBreak/>
        <w:t>Human Capital Management Overview</w:t>
      </w:r>
      <w:bookmarkEnd w:id="8"/>
    </w:p>
    <w:p w14:paraId="11AA1582"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HCM Base Cloud - Key Features</w:t>
      </w:r>
    </w:p>
    <w:p w14:paraId="4507D0C0"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Manage a diverse workforce using a single global person record</w:t>
      </w:r>
    </w:p>
    <w:p w14:paraId="57E03C40"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Comprehensive position management and multi-tier working relationships</w:t>
      </w:r>
    </w:p>
    <w:p w14:paraId="50744FA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Robust and extensible workflow, approvals, and delegation engine</w:t>
      </w:r>
    </w:p>
    <w:p w14:paraId="19214CF5"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Built-in extensibility to accommodate specific business requirements</w:t>
      </w:r>
    </w:p>
    <w:p w14:paraId="2D9213D1" w14:textId="39A5E1B8"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Cloud HCM is a complete suite for Employee Data and People Processes, designed to support the employee life cycle from hire to </w:t>
      </w:r>
      <w:r w:rsidR="000772BE" w:rsidRPr="00DF37C1">
        <w:rPr>
          <w:rFonts w:ascii="Calibri" w:hAnsi="Calibri" w:cs="Calibri"/>
          <w:color w:val="000000" w:themeColor="text1"/>
          <w:sz w:val="22"/>
          <w:szCs w:val="22"/>
        </w:rPr>
        <w:t>retirement</w:t>
      </w:r>
      <w:r w:rsidRPr="00DF37C1">
        <w:rPr>
          <w:rFonts w:ascii="Calibri" w:hAnsi="Calibri" w:cs="Calibri"/>
          <w:color w:val="000000" w:themeColor="text1"/>
          <w:sz w:val="22"/>
          <w:szCs w:val="22"/>
        </w:rPr>
        <w:t xml:space="preserve"> by providing the innovation, scalability, and security the organization needs today and in the future. It is built natively in Cloud, relying on a single underlying data, security, and workflow model which ensures that employee information stays current, accurate and safe across all people processes. The Oracle solution is comprehensive connecting every human resource process, and every person, to make work more human and organizations more agile.</w:t>
      </w:r>
    </w:p>
    <w:p w14:paraId="580F1756" w14:textId="77777777" w:rsidR="00992972" w:rsidRPr="00DF37C1" w:rsidRDefault="00992972" w:rsidP="00992972">
      <w:pPr>
        <w:pStyle w:val="TNRResponse"/>
        <w:rPr>
          <w:rFonts w:ascii="Calibri" w:eastAsia="Times New Roman" w:hAnsi="Calibri" w:cs="Calibri"/>
          <w:color w:val="000000" w:themeColor="text1"/>
          <w:sz w:val="22"/>
          <w:szCs w:val="22"/>
        </w:rPr>
      </w:pPr>
      <w:r w:rsidRPr="00DF37C1">
        <w:rPr>
          <w:rFonts w:ascii="Calibri" w:eastAsia="Times New Roman" w:hAnsi="Calibri" w:cs="Calibri"/>
          <w:color w:val="000000" w:themeColor="text1"/>
          <w:sz w:val="22"/>
          <w:szCs w:val="22"/>
        </w:rPr>
        <w:t xml:space="preserve">Oracle HCM transforms the traditional administrative functions of HR departments—recruiting, training, payroll, compensation, and performance management—into opportunities to drive engagement, productivity, and business value. The industry’s most complete cloud solution enables organizations to simplify managing people and build the best talent. Organizations can manage growth while adapting to needs through an HR foundation and gain actionable insights so they can execute the best talent management strategies. A simple, user-friendly experience and embedded role-based decision support transform the system from a transactional to an intelligence-driven application. </w:t>
      </w:r>
    </w:p>
    <w:p w14:paraId="55FF12FC" w14:textId="77777777" w:rsidR="00992972" w:rsidRPr="00DF37C1" w:rsidRDefault="00992972" w:rsidP="00992972">
      <w:pPr>
        <w:pStyle w:val="TNRResponse"/>
        <w:rPr>
          <w:rFonts w:ascii="Calibri" w:eastAsia="Times New Roman" w:hAnsi="Calibri" w:cs="Calibri"/>
          <w:color w:val="000000" w:themeColor="text1"/>
          <w:sz w:val="22"/>
          <w:szCs w:val="22"/>
        </w:rPr>
      </w:pPr>
      <w:r w:rsidRPr="00DF37C1">
        <w:rPr>
          <w:rFonts w:ascii="Calibri" w:eastAsia="Times New Roman" w:hAnsi="Calibri" w:cs="Calibri"/>
          <w:color w:val="000000" w:themeColor="text1"/>
          <w:sz w:val="22"/>
          <w:szCs w:val="22"/>
        </w:rPr>
        <w:t xml:space="preserve">Each employee in the organization will have a single centralized location where all information about that employee is stored, including the following: </w:t>
      </w:r>
    </w:p>
    <w:p w14:paraId="3588381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Personal Information</w:t>
      </w:r>
      <w:r w:rsidRPr="00DF37C1">
        <w:rPr>
          <w:rFonts w:ascii="Calibri" w:hAnsi="Calibri" w:cs="Calibri"/>
          <w:color w:val="000000" w:themeColor="text1"/>
          <w:sz w:val="22"/>
          <w:szCs w:val="22"/>
        </w:rPr>
        <w:t xml:space="preserve"> – Photo, name, address, phone numbers, contact </w:t>
      </w:r>
    </w:p>
    <w:p w14:paraId="45DCD5C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Professional Information</w:t>
      </w:r>
      <w:r w:rsidRPr="00DF37C1">
        <w:rPr>
          <w:rFonts w:ascii="Calibri" w:hAnsi="Calibri" w:cs="Calibri"/>
          <w:color w:val="000000" w:themeColor="text1"/>
          <w:sz w:val="22"/>
          <w:szCs w:val="22"/>
        </w:rPr>
        <w:t xml:space="preserve"> – Competencies, skills, willingness to relocate, work history, trainings/learnings, education </w:t>
      </w:r>
    </w:p>
    <w:p w14:paraId="4402CE3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Compensation/Salary History</w:t>
      </w:r>
      <w:r w:rsidRPr="00DF37C1">
        <w:rPr>
          <w:rFonts w:ascii="Calibri" w:hAnsi="Calibri" w:cs="Calibri"/>
          <w:color w:val="000000" w:themeColor="text1"/>
          <w:sz w:val="22"/>
          <w:szCs w:val="22"/>
        </w:rPr>
        <w:t xml:space="preserve"> – Current and past compensation details </w:t>
      </w:r>
    </w:p>
    <w:p w14:paraId="3AAE35C0"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Job History</w:t>
      </w:r>
      <w:r w:rsidRPr="00DF37C1">
        <w:rPr>
          <w:rFonts w:ascii="Calibri" w:hAnsi="Calibri" w:cs="Calibri"/>
          <w:color w:val="000000" w:themeColor="text1"/>
          <w:sz w:val="22"/>
          <w:szCs w:val="22"/>
        </w:rPr>
        <w:t xml:space="preserve"> – Current and past job role details (transfers, promotions, terminations, rehires) </w:t>
      </w:r>
    </w:p>
    <w:p w14:paraId="4850E6C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Documents of Record</w:t>
      </w:r>
      <w:r w:rsidRPr="00DF37C1">
        <w:rPr>
          <w:rFonts w:ascii="Calibri" w:hAnsi="Calibri" w:cs="Calibri"/>
          <w:color w:val="000000" w:themeColor="text1"/>
          <w:sz w:val="22"/>
          <w:szCs w:val="22"/>
        </w:rPr>
        <w:t xml:space="preserve"> – Paystubs, licenses, certifications </w:t>
      </w:r>
    </w:p>
    <w:p w14:paraId="62B367C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Performance History</w:t>
      </w:r>
      <w:r w:rsidRPr="00DF37C1">
        <w:rPr>
          <w:rFonts w:ascii="Calibri" w:hAnsi="Calibri" w:cs="Calibri"/>
          <w:color w:val="000000" w:themeColor="text1"/>
          <w:sz w:val="22"/>
          <w:szCs w:val="22"/>
        </w:rPr>
        <w:t> – Goals, reviews, succession plan histories</w:t>
      </w:r>
    </w:p>
    <w:p w14:paraId="17A1B35C"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Benefits Administration - Key Features</w:t>
      </w:r>
    </w:p>
    <w:p w14:paraId="316A976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Design benefit programs suited to the County’s strategy and organizational culture </w:t>
      </w:r>
    </w:p>
    <w:p w14:paraId="613E3E9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Implement the County’s benefits policy using Fast Formulas </w:t>
      </w:r>
    </w:p>
    <w:p w14:paraId="2BF4760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Re-useable sets of eligibility criteria </w:t>
      </w:r>
    </w:p>
    <w:p w14:paraId="5C60F3C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Complete benefits enrollment processing </w:t>
      </w:r>
    </w:p>
    <w:p w14:paraId="0E76436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Flex credits</w:t>
      </w:r>
    </w:p>
    <w:p w14:paraId="6A04EC9B" w14:textId="77777777" w:rsidR="00992972" w:rsidRPr="00DF37C1" w:rsidRDefault="00992972" w:rsidP="00992972">
      <w:pPr>
        <w:pStyle w:val="TNRResponse"/>
        <w:rPr>
          <w:rFonts w:ascii="Calibri" w:eastAsia="Times New Roman" w:hAnsi="Calibri" w:cs="Calibri"/>
          <w:color w:val="000000" w:themeColor="text1"/>
          <w:sz w:val="22"/>
          <w:szCs w:val="22"/>
        </w:rPr>
      </w:pPr>
      <w:r w:rsidRPr="00DF37C1">
        <w:rPr>
          <w:rFonts w:ascii="Calibri" w:hAnsi="Calibri" w:cs="Calibri"/>
          <w:color w:val="000000" w:themeColor="text1"/>
          <w:sz w:val="22"/>
          <w:szCs w:val="22"/>
        </w:rPr>
        <w:t xml:space="preserve">The benefits the County offers tell employees and candidates about the type of organization the County is and the County’s culture. With the configuration and flexibility, Oracle Benefits enables the County to evolve and adapt benefits to the unique needs of the County’s workforce, and market conditions, to form an integral part of any compensation package and flexibility from one size fits all plans to highly tailored and targeted benefit packages </w:t>
      </w:r>
      <w:r w:rsidRPr="00DF37C1">
        <w:rPr>
          <w:rFonts w:ascii="Calibri" w:eastAsia="Times New Roman" w:hAnsi="Calibri" w:cs="Calibri"/>
          <w:color w:val="000000" w:themeColor="text1"/>
          <w:sz w:val="22"/>
          <w:szCs w:val="22"/>
        </w:rPr>
        <w:t xml:space="preserve">that selectively target different segments of the workforce with different benefit packages. </w:t>
      </w:r>
    </w:p>
    <w:p w14:paraId="59F5F1DD"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lastRenderedPageBreak/>
        <w:t xml:space="preserve">In Oracle Benefits, participants can: </w:t>
      </w:r>
    </w:p>
    <w:p w14:paraId="4B4C994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Compare benefits and make selections based on eligibility rules </w:t>
      </w:r>
    </w:p>
    <w:p w14:paraId="54A12B8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View and accept configured terms and conditions </w:t>
      </w:r>
    </w:p>
    <w:p w14:paraId="460EF79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Elect coverage for themselves and their dependents </w:t>
      </w:r>
    </w:p>
    <w:p w14:paraId="473D1BC5"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Select primary care physicians for applicable plans </w:t>
      </w:r>
    </w:p>
    <w:p w14:paraId="0E5F2C1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View and print a confirmation statement</w:t>
      </w:r>
    </w:p>
    <w:p w14:paraId="742B017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Complete additional certifications or designation action items </w:t>
      </w:r>
    </w:p>
    <w:p w14:paraId="30E3F1EC" w14:textId="77777777" w:rsidR="00992972" w:rsidRPr="00DF37C1" w:rsidRDefault="00992972" w:rsidP="00992972">
      <w:pPr>
        <w:spacing w:line="276" w:lineRule="auto"/>
        <w:contextualSpacing/>
        <w:jc w:val="center"/>
        <w:rPr>
          <w:rFonts w:ascii="Calibri" w:hAnsi="Calibri" w:cs="Calibri"/>
          <w:color w:val="000000" w:themeColor="text1"/>
        </w:rPr>
      </w:pPr>
    </w:p>
    <w:p w14:paraId="33C4AD7F" w14:textId="77777777" w:rsidR="00992972" w:rsidRPr="00DF37C1" w:rsidRDefault="00992972" w:rsidP="00992972">
      <w:pPr>
        <w:pStyle w:val="TNRResponse"/>
        <w:rPr>
          <w:rFonts w:ascii="Calibri" w:hAnsi="Calibri" w:cs="Calibri"/>
          <w:b/>
          <w:bCs/>
          <w:color w:val="000000" w:themeColor="text1"/>
          <w:sz w:val="22"/>
          <w:szCs w:val="22"/>
        </w:rPr>
      </w:pPr>
      <w:bookmarkStart w:id="9" w:name="_Hlk514082872"/>
      <w:r w:rsidRPr="00DF37C1">
        <w:rPr>
          <w:rFonts w:ascii="Calibri" w:hAnsi="Calibri" w:cs="Calibri"/>
          <w:b/>
          <w:bCs/>
          <w:color w:val="000000" w:themeColor="text1"/>
          <w:sz w:val="22"/>
          <w:szCs w:val="22"/>
        </w:rPr>
        <w:t>Workforce Compensation - Key Features</w:t>
      </w:r>
    </w:p>
    <w:p w14:paraId="1B40B4E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Compensation Plans</w:t>
      </w:r>
      <w:r w:rsidRPr="00DF37C1">
        <w:rPr>
          <w:rFonts w:ascii="Calibri" w:hAnsi="Calibri" w:cs="Calibri"/>
          <w:color w:val="000000" w:themeColor="text1"/>
          <w:sz w:val="22"/>
          <w:szCs w:val="22"/>
        </w:rPr>
        <w:t xml:space="preserve"> can quickly be created, modelled, and rolled out to meet changing business needs </w:t>
      </w:r>
    </w:p>
    <w:p w14:paraId="1C6904F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Compensation Budgets</w:t>
      </w:r>
      <w:r w:rsidRPr="00DF37C1">
        <w:rPr>
          <w:rFonts w:ascii="Calibri" w:hAnsi="Calibri" w:cs="Calibri"/>
          <w:color w:val="000000" w:themeColor="text1"/>
          <w:sz w:val="22"/>
          <w:szCs w:val="22"/>
        </w:rPr>
        <w:t xml:space="preserve"> can be rolled up or down across the organization </w:t>
      </w:r>
    </w:p>
    <w:p w14:paraId="03F06C0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Data modeling</w:t>
      </w:r>
      <w:r w:rsidRPr="00DF37C1">
        <w:rPr>
          <w:rFonts w:ascii="Calibri" w:hAnsi="Calibri" w:cs="Calibri"/>
          <w:color w:val="000000" w:themeColor="text1"/>
          <w:sz w:val="22"/>
          <w:szCs w:val="22"/>
        </w:rPr>
        <w:t xml:space="preserve"> and entry in a spreadsheet environment</w:t>
      </w:r>
    </w:p>
    <w:p w14:paraId="396CD20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Embedded analytics</w:t>
      </w:r>
      <w:r w:rsidRPr="00DF37C1">
        <w:rPr>
          <w:rFonts w:ascii="Calibri" w:hAnsi="Calibri" w:cs="Calibri"/>
          <w:color w:val="000000" w:themeColor="text1"/>
          <w:sz w:val="22"/>
          <w:szCs w:val="22"/>
        </w:rPr>
        <w:t xml:space="preserve"> </w:t>
      </w:r>
    </w:p>
    <w:p w14:paraId="1EC365E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Total Compensation Statements</w:t>
      </w:r>
      <w:r w:rsidRPr="00DF37C1">
        <w:rPr>
          <w:rFonts w:ascii="Calibri" w:hAnsi="Calibri" w:cs="Calibri"/>
          <w:color w:val="000000" w:themeColor="text1"/>
          <w:sz w:val="22"/>
          <w:szCs w:val="22"/>
        </w:rPr>
        <w:t xml:space="preserve"> </w:t>
      </w:r>
    </w:p>
    <w:p w14:paraId="49297B07" w14:textId="2E010BD0" w:rsidR="00992972" w:rsidRPr="00DF37C1" w:rsidRDefault="00992972" w:rsidP="00992972">
      <w:pPr>
        <w:pStyle w:val="TNRResponse"/>
        <w:rPr>
          <w:rFonts w:ascii="Calibri" w:eastAsia="Times New Roman" w:hAnsi="Calibri" w:cs="Calibri"/>
          <w:color w:val="000000" w:themeColor="text1"/>
          <w:sz w:val="22"/>
          <w:szCs w:val="22"/>
        </w:rPr>
      </w:pPr>
      <w:r w:rsidRPr="00DF37C1">
        <w:rPr>
          <w:rFonts w:ascii="Calibri" w:hAnsi="Calibri" w:cs="Calibri"/>
          <w:color w:val="000000" w:themeColor="text1"/>
          <w:sz w:val="22"/>
          <w:szCs w:val="22"/>
        </w:rPr>
        <w:t xml:space="preserve">Paying employees correctly is key to staff retention and performance. With Oracle Cloud HCM, the organization can manage and control individual salaries, bonuses, and incentives. Even complex collective agreements dictating seniority-based processing rules to higher salary grades or grade steps </w:t>
      </w:r>
      <w:r w:rsidR="000772BE" w:rsidRPr="00DF37C1">
        <w:rPr>
          <w:rFonts w:ascii="Calibri" w:hAnsi="Calibri" w:cs="Calibri"/>
          <w:color w:val="000000" w:themeColor="text1"/>
          <w:sz w:val="22"/>
          <w:szCs w:val="22"/>
        </w:rPr>
        <w:t>are</w:t>
      </w:r>
      <w:r w:rsidRPr="00DF37C1">
        <w:rPr>
          <w:rFonts w:ascii="Calibri" w:hAnsi="Calibri" w:cs="Calibri"/>
          <w:color w:val="000000" w:themeColor="text1"/>
          <w:sz w:val="22"/>
          <w:szCs w:val="22"/>
        </w:rPr>
        <w:t xml:space="preserve"> supported, giving the County a complete tool set to meet the needs of different worker populations. </w:t>
      </w:r>
      <w:r w:rsidRPr="00DF37C1">
        <w:rPr>
          <w:rFonts w:ascii="Calibri" w:eastAsia="Times New Roman" w:hAnsi="Calibri" w:cs="Calibri"/>
          <w:color w:val="000000" w:themeColor="text1"/>
          <w:sz w:val="22"/>
          <w:szCs w:val="22"/>
        </w:rPr>
        <w:t xml:space="preserve">Oracle Compensation includes a robust set of compensation components which can be used to define, model, and implement compensation practices for all the County’s employees. These compensation elements include: </w:t>
      </w:r>
    </w:p>
    <w:p w14:paraId="57619E26"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Base Pay</w:t>
      </w:r>
    </w:p>
    <w:p w14:paraId="56FCF32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Salary Basis</w:t>
      </w:r>
    </w:p>
    <w:p w14:paraId="4108960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Grade Step Progression</w:t>
      </w:r>
    </w:p>
    <w:p w14:paraId="01705E3E"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Individual and Workforce Compensation</w:t>
      </w:r>
    </w:p>
    <w:p w14:paraId="4EDC1FE1"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Total Compensation Statement</w:t>
      </w:r>
    </w:p>
    <w:p w14:paraId="6DBFCCC9" w14:textId="77777777" w:rsidR="00992972" w:rsidRPr="00DF37C1" w:rsidRDefault="00992972" w:rsidP="00992972">
      <w:pPr>
        <w:spacing w:line="276" w:lineRule="auto"/>
        <w:contextualSpacing/>
        <w:jc w:val="center"/>
        <w:rPr>
          <w:rFonts w:ascii="Calibri" w:hAnsi="Calibri" w:cs="Calibri"/>
          <w:color w:val="000000" w:themeColor="text1"/>
        </w:rPr>
      </w:pPr>
    </w:p>
    <w:p w14:paraId="72201C59"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b/>
          <w:color w:val="000000" w:themeColor="text1"/>
          <w:sz w:val="22"/>
          <w:szCs w:val="22"/>
        </w:rPr>
        <w:t>Payroll</w:t>
      </w:r>
      <w:r w:rsidRPr="00DF37C1">
        <w:rPr>
          <w:rFonts w:ascii="Calibri" w:hAnsi="Calibri" w:cs="Calibri"/>
          <w:color w:val="000000" w:themeColor="text1"/>
          <w:sz w:val="22"/>
          <w:szCs w:val="22"/>
        </w:rPr>
        <w:t xml:space="preserve"> - </w:t>
      </w:r>
      <w:r w:rsidRPr="00DF37C1">
        <w:rPr>
          <w:rStyle w:val="Strong"/>
          <w:rFonts w:ascii="Calibri" w:hAnsi="Calibri" w:cs="Calibri"/>
          <w:color w:val="000000" w:themeColor="text1"/>
          <w:sz w:val="22"/>
          <w:szCs w:val="22"/>
        </w:rPr>
        <w:t>Key Features</w:t>
      </w:r>
    </w:p>
    <w:p w14:paraId="54EC80B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Rules-based</w:t>
      </w:r>
      <w:r w:rsidRPr="00DF37C1">
        <w:rPr>
          <w:rFonts w:ascii="Calibri" w:hAnsi="Calibri" w:cs="Calibri"/>
          <w:color w:val="000000" w:themeColor="text1"/>
          <w:sz w:val="22"/>
          <w:szCs w:val="22"/>
        </w:rPr>
        <w:t xml:space="preserve"> payroll solution</w:t>
      </w:r>
    </w:p>
    <w:p w14:paraId="101396A0"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Payroll dashboard</w:t>
      </w:r>
      <w:r w:rsidRPr="00DF37C1">
        <w:rPr>
          <w:rFonts w:ascii="Calibri" w:hAnsi="Calibri" w:cs="Calibri"/>
          <w:color w:val="000000" w:themeColor="text1"/>
          <w:sz w:val="22"/>
          <w:szCs w:val="22"/>
        </w:rPr>
        <w:t xml:space="preserve"> for strategically managing payroll processes</w:t>
      </w:r>
    </w:p>
    <w:p w14:paraId="5A8621E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Payroll</w:t>
      </w:r>
      <w:r w:rsidRPr="00DF37C1">
        <w:rPr>
          <w:rFonts w:ascii="Calibri" w:hAnsi="Calibri" w:cs="Calibri"/>
          <w:color w:val="000000" w:themeColor="text1"/>
          <w:sz w:val="22"/>
          <w:szCs w:val="22"/>
        </w:rPr>
        <w:t xml:space="preserve"> </w:t>
      </w:r>
      <w:r w:rsidRPr="00DF37C1">
        <w:rPr>
          <w:rFonts w:ascii="Calibri" w:hAnsi="Calibri" w:cs="Calibri"/>
          <w:b/>
          <w:bCs/>
          <w:color w:val="000000" w:themeColor="text1"/>
          <w:sz w:val="22"/>
          <w:szCs w:val="22"/>
        </w:rPr>
        <w:t>cycle</w:t>
      </w:r>
      <w:r w:rsidRPr="00DF37C1">
        <w:rPr>
          <w:rFonts w:ascii="Calibri" w:hAnsi="Calibri" w:cs="Calibri"/>
          <w:color w:val="000000" w:themeColor="text1"/>
          <w:sz w:val="22"/>
          <w:szCs w:val="22"/>
        </w:rPr>
        <w:t xml:space="preserve"> </w:t>
      </w:r>
      <w:r w:rsidRPr="00DF37C1">
        <w:rPr>
          <w:rFonts w:ascii="Calibri" w:hAnsi="Calibri" w:cs="Calibri"/>
          <w:b/>
          <w:bCs/>
          <w:color w:val="000000" w:themeColor="text1"/>
          <w:sz w:val="22"/>
          <w:szCs w:val="22"/>
        </w:rPr>
        <w:t>flows and checklists</w:t>
      </w:r>
      <w:r w:rsidRPr="00DF37C1">
        <w:rPr>
          <w:rFonts w:ascii="Calibri" w:hAnsi="Calibri" w:cs="Calibri"/>
          <w:color w:val="000000" w:themeColor="text1"/>
          <w:sz w:val="22"/>
          <w:szCs w:val="22"/>
        </w:rPr>
        <w:t xml:space="preserve"> with embedded analytics can include your specific steps</w:t>
      </w:r>
    </w:p>
    <w:p w14:paraId="66D0B54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Complete control</w:t>
      </w:r>
      <w:r w:rsidRPr="00DF37C1">
        <w:rPr>
          <w:rFonts w:ascii="Calibri" w:hAnsi="Calibri" w:cs="Calibri"/>
          <w:color w:val="000000" w:themeColor="text1"/>
          <w:sz w:val="22"/>
          <w:szCs w:val="22"/>
        </w:rPr>
        <w:t xml:space="preserve"> over processing rules with Fast Formula</w:t>
      </w:r>
    </w:p>
    <w:p w14:paraId="6FC81EE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Automated</w:t>
      </w:r>
      <w:r w:rsidRPr="00DF37C1">
        <w:rPr>
          <w:rFonts w:ascii="Calibri" w:hAnsi="Calibri" w:cs="Calibri"/>
          <w:color w:val="000000" w:themeColor="text1"/>
          <w:sz w:val="22"/>
          <w:szCs w:val="22"/>
        </w:rPr>
        <w:t xml:space="preserve"> retroactive processing</w:t>
      </w:r>
    </w:p>
    <w:p w14:paraId="6B55FB73"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has made payroll simpler and smarter by uniting Payroll, HCM, and Time and Labor (T&amp;L) within a single platform. Oracle Payroll is a powerful and flexible application that will give payroll professionals more control over processes and data. For example, payroll professionals can access and audit data continuously throughout the payroll cycle instead of waiting until pay period close. In addition, Oracle Payroll offers self-service on any device where employees can view pay slips, update banking information, view year-end statements, and much more. </w:t>
      </w:r>
    </w:p>
    <w:p w14:paraId="5C9C56E6" w14:textId="190B54A6"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Payroll is fully integrated with Oracle Sub Ledger Accounting and Oracle Cash Management. This integration allows standardization, automates processes, and rationalizes systems to increase </w:t>
      </w:r>
      <w:r w:rsidRPr="00DF37C1">
        <w:rPr>
          <w:rFonts w:ascii="Calibri" w:hAnsi="Calibri" w:cs="Calibri"/>
          <w:color w:val="000000" w:themeColor="text1"/>
          <w:sz w:val="22"/>
          <w:szCs w:val="22"/>
        </w:rPr>
        <w:lastRenderedPageBreak/>
        <w:t xml:space="preserve">operational efficiency. Oracle Sub Ledger Accounting allows multiple accounting representations for a single business event, resolving conflicts between corporate and local fiscal accounting requirements. It retains the most granular level of details in the accounting model, with different summarization options in the General Ledger, allowing full auditability and reconciliation. This increases </w:t>
      </w:r>
      <w:r w:rsidR="000772BE" w:rsidRPr="00DF37C1">
        <w:rPr>
          <w:rFonts w:ascii="Calibri" w:hAnsi="Calibri" w:cs="Calibri"/>
          <w:color w:val="000000" w:themeColor="text1"/>
          <w:sz w:val="22"/>
          <w:szCs w:val="22"/>
        </w:rPr>
        <w:t>transparency</w:t>
      </w:r>
      <w:r w:rsidRPr="00DF37C1">
        <w:rPr>
          <w:rFonts w:ascii="Calibri" w:hAnsi="Calibri" w:cs="Calibri"/>
          <w:color w:val="000000" w:themeColor="text1"/>
          <w:sz w:val="22"/>
          <w:szCs w:val="22"/>
        </w:rPr>
        <w:t xml:space="preserve"> and enables full auditability of the transaction and accounting data.</w:t>
      </w:r>
    </w:p>
    <w:bookmarkEnd w:id="9"/>
    <w:p w14:paraId="4E30E01F"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Absence Management – Key Features</w:t>
      </w:r>
    </w:p>
    <w:p w14:paraId="4412DE3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Manage holiday schedules</w:t>
      </w:r>
    </w:p>
    <w:p w14:paraId="22E33BA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Define absence plans and entitlements to meet the County’s policies </w:t>
      </w:r>
    </w:p>
    <w:p w14:paraId="0274F39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Easily configure workers’ eligibility for plans and entitlements</w:t>
      </w:r>
    </w:p>
    <w:p w14:paraId="5BB224A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Capture planned and unplanned absences </w:t>
      </w:r>
    </w:p>
    <w:p w14:paraId="5C35D07F"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Proactively monitor absence trends </w:t>
      </w:r>
    </w:p>
    <w:p w14:paraId="178C8C34"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Managing absence can be complex, with multiple plans, overlapping entitlements and variations. Absence management in Cloud HCM has been designed to improve the efficiency of absence tracking by providing end users with an engaging and simple experience when requesting leave and checking their vacation balance. </w:t>
      </w:r>
    </w:p>
    <w:p w14:paraId="05EB683B"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Time and Labor - Key Features</w:t>
      </w:r>
    </w:p>
    <w:p w14:paraId="330A61E5"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Quick and Easy Time Entry and Submission </w:t>
      </w:r>
    </w:p>
    <w:p w14:paraId="305A6C7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Comprehensive &amp; Configurable Timecard Capabilities </w:t>
      </w:r>
    </w:p>
    <w:p w14:paraId="17FF64F3"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Configurable Real-Time Rules Engine </w:t>
      </w:r>
    </w:p>
    <w:p w14:paraId="3BD08AB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Flexible Time Entry Approvals </w:t>
      </w:r>
    </w:p>
    <w:p w14:paraId="4A65FFB8"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Time &amp; Labor is a comprehensive, easy-to-use, rules-based time recording and management system designed to give the County maximum visibility and control over its most valuable asset: its people. It’s a configurable and flexible module which helps the County accurately capture worked time, manage schedules, handle time-card approvals and administer various otherwise time-consuming tasks.</w:t>
      </w:r>
    </w:p>
    <w:p w14:paraId="46101800"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Time &amp; Labor uses standard approval mechanisms for managing timecard approvals. The delivered approval styles of line and project manager can be used as is or extended to multi-level or more complex routing as required. A mass timecard approval capability enables a group of timecards to be reviewed at summary level and approved in one click. </w:t>
      </w:r>
    </w:p>
    <w:p w14:paraId="72758FE3" w14:textId="77777777" w:rsidR="00992972" w:rsidRPr="00DF37C1" w:rsidRDefault="00992972" w:rsidP="00992972">
      <w:pPr>
        <w:ind w:left="319"/>
        <w:rPr>
          <w:rFonts w:ascii="Calibri" w:hAnsi="Calibri" w:cs="Calibri"/>
          <w:color w:val="000000" w:themeColor="text1"/>
        </w:rPr>
      </w:pPr>
    </w:p>
    <w:p w14:paraId="231DFA24" w14:textId="3FB717E1"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 xml:space="preserve">Career </w:t>
      </w:r>
      <w:r w:rsidR="000772BE" w:rsidRPr="00DF37C1">
        <w:rPr>
          <w:rFonts w:ascii="Calibri" w:hAnsi="Calibri" w:cs="Calibri"/>
          <w:b/>
          <w:bCs/>
          <w:color w:val="000000" w:themeColor="text1"/>
          <w:sz w:val="22"/>
          <w:szCs w:val="22"/>
        </w:rPr>
        <w:t>Development -</w:t>
      </w:r>
      <w:r w:rsidRPr="00DF37C1">
        <w:rPr>
          <w:rFonts w:ascii="Calibri" w:hAnsi="Calibri" w:cs="Calibri"/>
          <w:b/>
          <w:bCs/>
          <w:color w:val="000000" w:themeColor="text1"/>
          <w:sz w:val="22"/>
          <w:szCs w:val="22"/>
        </w:rPr>
        <w:t xml:space="preserve"> Key Features</w:t>
      </w:r>
    </w:p>
    <w:p w14:paraId="50120886" w14:textId="77777777" w:rsidR="00992972" w:rsidRPr="00DF37C1" w:rsidRDefault="00992972" w:rsidP="00992972">
      <w:pPr>
        <w:pStyle w:val="TNRBullet"/>
        <w:spacing w:before="0" w:after="0"/>
        <w:rPr>
          <w:rFonts w:ascii="Calibri" w:hAnsi="Calibri" w:cs="Calibri"/>
          <w:color w:val="000000" w:themeColor="text1"/>
          <w:sz w:val="22"/>
          <w:szCs w:val="22"/>
        </w:rPr>
      </w:pPr>
      <w:bookmarkStart w:id="10" w:name="_Hlk153799186"/>
      <w:bookmarkStart w:id="11" w:name="_Hlk153799187"/>
      <w:r w:rsidRPr="00DF37C1">
        <w:rPr>
          <w:rFonts w:ascii="Calibri" w:hAnsi="Calibri" w:cs="Calibri"/>
          <w:color w:val="000000" w:themeColor="text1"/>
          <w:sz w:val="22"/>
          <w:szCs w:val="22"/>
        </w:rPr>
        <w:t>Explore roles in the organization to cover potential opportunities</w:t>
      </w:r>
    </w:p>
    <w:p w14:paraId="5EDDE78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Identify future potential roles as careers of interest</w:t>
      </w:r>
    </w:p>
    <w:p w14:paraId="020800A3"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Build a development plan and goals directly tied to careers of interest</w:t>
      </w:r>
    </w:p>
    <w:p w14:paraId="080D117C"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View and complete related learning to address gaps in skills and competencies</w:t>
      </w:r>
    </w:p>
    <w:p w14:paraId="7864723A"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Comparisons of job and employee profiles such as competencies, licenses, degrees, languages, and other job requirements, can identify the best-fit person for a job or vice-versa </w:t>
      </w:r>
      <w:bookmarkEnd w:id="10"/>
      <w:bookmarkEnd w:id="11"/>
    </w:p>
    <w:p w14:paraId="407F0409"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Talent management encompasses a wide variety of processes related to performance, skills, and people development. Having the tools to grow, motivate, and encourage employees to deliver against objectives long term, directly impacts the bottom line, and drives important HR deliverables like retention, engagement, and employee experience.  </w:t>
      </w:r>
    </w:p>
    <w:p w14:paraId="63CAAA41" w14:textId="77777777" w:rsidR="00992972" w:rsidRPr="00DF37C1" w:rsidRDefault="00992972" w:rsidP="00992972">
      <w:pPr>
        <w:ind w:right="319"/>
        <w:rPr>
          <w:rFonts w:ascii="Calibri" w:hAnsi="Calibri" w:cs="Calibri"/>
          <w:color w:val="000000" w:themeColor="text1"/>
        </w:rPr>
      </w:pPr>
    </w:p>
    <w:p w14:paraId="70F26969"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lastRenderedPageBreak/>
        <w:t xml:space="preserve">Career Development capabilities will allow the County to: </w:t>
      </w:r>
    </w:p>
    <w:p w14:paraId="1EC2CD45"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Help employees progress in their careers and identify career opportunities in line with their skills and interests </w:t>
      </w:r>
    </w:p>
    <w:p w14:paraId="324987B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Enable internal talent mobility by eliminating skills gaps, employing recommended learning, relevant to the employee’s role and interests </w:t>
      </w:r>
    </w:p>
    <w:p w14:paraId="49E935E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 xml:space="preserve">Leverage embedded collaboration capabilities to connect with mentors and identify and network with colleagues in interesting roles to gain first-hand experiential information about careers of interest. </w:t>
      </w:r>
    </w:p>
    <w:p w14:paraId="12C69DE4"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Dynamic Skills - Key Features</w:t>
      </w:r>
    </w:p>
    <w:p w14:paraId="68A3F0A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Detect, standardize, and recommend skills for employees</w:t>
      </w:r>
    </w:p>
    <w:p w14:paraId="7454BCD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One centralized place to view &amp; manage skills and development</w:t>
      </w:r>
    </w:p>
    <w:p w14:paraId="71DD737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Personalized, AI-driven resources to help employees grow</w:t>
      </w:r>
    </w:p>
    <w:p w14:paraId="57A2D99E"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Enriched talent processes via AI-powered skills suggestions</w:t>
      </w:r>
    </w:p>
    <w:p w14:paraId="1D83705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color w:val="000000" w:themeColor="text1"/>
          <w:sz w:val="22"/>
          <w:szCs w:val="22"/>
        </w:rPr>
        <w:t>Effectively manage talent supply chain</w:t>
      </w:r>
    </w:p>
    <w:p w14:paraId="5678BF2C" w14:textId="3F418798"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Skills are at the core of every talent process in an organization; they are the fuel that powers </w:t>
      </w:r>
      <w:r w:rsidR="000772BE" w:rsidRPr="00DF37C1">
        <w:rPr>
          <w:rFonts w:ascii="Calibri" w:hAnsi="Calibri" w:cs="Calibri"/>
          <w:color w:val="000000" w:themeColor="text1"/>
          <w:sz w:val="22"/>
          <w:szCs w:val="22"/>
        </w:rPr>
        <w:t>an</w:t>
      </w:r>
      <w:r w:rsidRPr="00DF37C1">
        <w:rPr>
          <w:rFonts w:ascii="Calibri" w:hAnsi="Calibri" w:cs="Calibri"/>
          <w:color w:val="000000" w:themeColor="text1"/>
          <w:sz w:val="22"/>
          <w:szCs w:val="22"/>
        </w:rPr>
        <w:t xml:space="preserve"> organization’s health, growth, and agility. Using skills to underpin talent processes creates an equitable approach to hiring, promotion, and development and improves productivity in the organization.</w:t>
      </w:r>
      <w:r w:rsidRPr="00DF37C1">
        <w:rPr>
          <w:rFonts w:ascii="Calibri" w:hAnsi="Calibri" w:cs="Calibri"/>
          <w:color w:val="000000" w:themeColor="text1"/>
          <w:sz w:val="22"/>
          <w:szCs w:val="22"/>
        </w:rPr>
        <w:fldChar w:fldCharType="begin"/>
      </w:r>
      <w:r w:rsidRPr="00DF37C1">
        <w:rPr>
          <w:rFonts w:ascii="Calibri" w:hAnsi="Calibri" w:cs="Calibri"/>
          <w:color w:val="000000" w:themeColor="text1"/>
          <w:sz w:val="22"/>
          <w:szCs w:val="22"/>
        </w:rPr>
        <w:instrText xml:space="preserve"> INCLUDEPICTURE "https://www.oracle.com/a/ocom/img/rc03-skills-center.png" \* MERGEFORMATINET </w:instrText>
      </w:r>
      <w:r w:rsidRPr="00DF37C1">
        <w:rPr>
          <w:rFonts w:ascii="Calibri" w:hAnsi="Calibri" w:cs="Calibri"/>
          <w:color w:val="000000" w:themeColor="text1"/>
          <w:sz w:val="22"/>
          <w:szCs w:val="22"/>
        </w:rPr>
        <w:fldChar w:fldCharType="end"/>
      </w:r>
    </w:p>
    <w:p w14:paraId="714ADC77" w14:textId="77777777"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t>Learning - Key Features</w:t>
      </w:r>
    </w:p>
    <w:p w14:paraId="5FF8A722"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Create media rich</w:t>
      </w:r>
      <w:r w:rsidRPr="00DF37C1">
        <w:rPr>
          <w:rFonts w:ascii="Calibri" w:hAnsi="Calibri" w:cs="Calibri"/>
          <w:color w:val="000000" w:themeColor="text1"/>
          <w:sz w:val="22"/>
          <w:szCs w:val="22"/>
        </w:rPr>
        <w:t xml:space="preserve"> tutorials comprised of video, formal learning, documents, or external sources</w:t>
      </w:r>
    </w:p>
    <w:p w14:paraId="61309E63"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Embed learning</w:t>
      </w:r>
      <w:r w:rsidRPr="00DF37C1">
        <w:rPr>
          <w:rFonts w:ascii="Calibri" w:hAnsi="Calibri" w:cs="Calibri"/>
          <w:color w:val="000000" w:themeColor="text1"/>
          <w:sz w:val="22"/>
          <w:szCs w:val="22"/>
        </w:rPr>
        <w:t xml:space="preserve"> in HR and talent processes</w:t>
      </w:r>
    </w:p>
    <w:p w14:paraId="2139306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Personalized learning recommendations</w:t>
      </w:r>
      <w:r w:rsidRPr="00DF37C1">
        <w:rPr>
          <w:rFonts w:ascii="Calibri" w:hAnsi="Calibri" w:cs="Calibri"/>
          <w:color w:val="000000" w:themeColor="text1"/>
          <w:sz w:val="22"/>
          <w:szCs w:val="22"/>
        </w:rPr>
        <w:t xml:space="preserve"> drive employee engagement and upskilling efforts across the organization</w:t>
      </w:r>
    </w:p>
    <w:p w14:paraId="2A02C39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Learn how you wish</w:t>
      </w:r>
      <w:r w:rsidRPr="00DF37C1">
        <w:rPr>
          <w:rFonts w:ascii="Calibri" w:hAnsi="Calibri" w:cs="Calibri"/>
          <w:color w:val="000000" w:themeColor="text1"/>
          <w:sz w:val="22"/>
          <w:szCs w:val="22"/>
        </w:rPr>
        <w:t xml:space="preserve"> through easy content accessibility anytime, anywhere including offline </w:t>
      </w:r>
    </w:p>
    <w:p w14:paraId="471698CD"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Empowered learning initiatives</w:t>
      </w:r>
      <w:r w:rsidRPr="00DF37C1">
        <w:rPr>
          <w:rFonts w:ascii="Calibri" w:hAnsi="Calibri" w:cs="Calibri"/>
          <w:color w:val="000000" w:themeColor="text1"/>
          <w:sz w:val="22"/>
          <w:szCs w:val="22"/>
        </w:rPr>
        <w:t xml:space="preserve"> - Empower subject-matter experts to create learning communities and initiatives without relying on learning and development staff</w:t>
      </w:r>
    </w:p>
    <w:p w14:paraId="48F0D09B"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Oracle Learning natively combines bite-sized, peer-to-peer social learning with comprehensive support for the management and delivery of corporate online and in-class learning and compliance programs.  Users can easily identify all their required learning and ensure they comply. Our advanced recommendation engine analyzes all the engagement data around different learning items and combines it with the user’s profile to generate highly relevant learning recommendations.</w:t>
      </w:r>
    </w:p>
    <w:p w14:paraId="597FA5DF" w14:textId="77777777" w:rsidR="00992972" w:rsidRPr="00DF37C1" w:rsidRDefault="00992972" w:rsidP="00992972">
      <w:pPr>
        <w:pStyle w:val="TNRResponse"/>
        <w:keepNext/>
        <w:rPr>
          <w:rFonts w:ascii="Calibri" w:hAnsi="Calibri" w:cs="Calibri"/>
          <w:b/>
          <w:bCs/>
          <w:color w:val="000000" w:themeColor="text1"/>
          <w:sz w:val="22"/>
          <w:szCs w:val="22"/>
        </w:rPr>
      </w:pPr>
      <w:r w:rsidRPr="00DF37C1">
        <w:rPr>
          <w:rFonts w:ascii="Calibri" w:hAnsi="Calibri" w:cs="Calibri"/>
          <w:b/>
          <w:bCs/>
          <w:color w:val="000000" w:themeColor="text1"/>
          <w:sz w:val="22"/>
          <w:szCs w:val="22"/>
        </w:rPr>
        <w:t>Learning Connect</w:t>
      </w:r>
    </w:p>
    <w:p w14:paraId="110B3481"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Oracle Cloud HCM learning library has full native support for learning content resources like SCORM, AICC, pdf-files, assessments, videos, weblinks and more. </w:t>
      </w:r>
    </w:p>
    <w:p w14:paraId="75EA0031" w14:textId="77777777" w:rsidR="00992972" w:rsidRPr="00DF37C1" w:rsidRDefault="00992972" w:rsidP="00992972">
      <w:pPr>
        <w:pStyle w:val="TNRResponse"/>
        <w:rPr>
          <w:rFonts w:ascii="Calibri" w:hAnsi="Calibri" w:cs="Calibri"/>
          <w:color w:val="000000" w:themeColor="text1"/>
          <w:sz w:val="22"/>
          <w:szCs w:val="22"/>
        </w:rPr>
      </w:pPr>
      <w:r w:rsidRPr="00DF37C1">
        <w:rPr>
          <w:rFonts w:ascii="Calibri" w:hAnsi="Calibri" w:cs="Calibri"/>
          <w:color w:val="000000" w:themeColor="text1"/>
          <w:sz w:val="22"/>
          <w:szCs w:val="22"/>
        </w:rPr>
        <w:t xml:space="preserve">To further enhance the learning experience and leverage suite benefits while enjoying content from various training providers, Cloud HCM can be extended with Learning Connect which is a set of out-of-the-box integrations to popular learning providers like Skillsoft, LinkedIn Learning, Intuition, Biz Library and Open Sesame. </w:t>
      </w:r>
    </w:p>
    <w:p w14:paraId="3EFBFAD4" w14:textId="77777777" w:rsidR="007619F2" w:rsidRDefault="007619F2">
      <w:pPr>
        <w:spacing w:line="278" w:lineRule="auto"/>
        <w:jc w:val="left"/>
        <w:rPr>
          <w:rFonts w:ascii="Calibri" w:hAnsi="Calibri" w:cs="Calibri"/>
          <w:b/>
          <w:bCs/>
          <w:color w:val="000000" w:themeColor="text1"/>
          <w:kern w:val="0"/>
          <w14:ligatures w14:val="none"/>
        </w:rPr>
      </w:pPr>
      <w:r>
        <w:rPr>
          <w:rFonts w:ascii="Calibri" w:hAnsi="Calibri" w:cs="Calibri"/>
          <w:b/>
          <w:bCs/>
          <w:color w:val="000000" w:themeColor="text1"/>
        </w:rPr>
        <w:br w:type="page"/>
      </w:r>
    </w:p>
    <w:p w14:paraId="2D165502" w14:textId="13E7CEFA" w:rsidR="00992972" w:rsidRPr="00DF37C1" w:rsidRDefault="00992972" w:rsidP="00992972">
      <w:pPr>
        <w:pStyle w:val="TNRResponse"/>
        <w:rPr>
          <w:rFonts w:ascii="Calibri" w:hAnsi="Calibri" w:cs="Calibri"/>
          <w:b/>
          <w:bCs/>
          <w:color w:val="000000" w:themeColor="text1"/>
          <w:sz w:val="22"/>
          <w:szCs w:val="22"/>
        </w:rPr>
      </w:pPr>
      <w:r w:rsidRPr="00DF37C1">
        <w:rPr>
          <w:rFonts w:ascii="Calibri" w:hAnsi="Calibri" w:cs="Calibri"/>
          <w:b/>
          <w:bCs/>
          <w:color w:val="000000" w:themeColor="text1"/>
          <w:sz w:val="22"/>
          <w:szCs w:val="22"/>
        </w:rPr>
        <w:lastRenderedPageBreak/>
        <w:t>Talent Review and Succession Planning - Key Features</w:t>
      </w:r>
    </w:p>
    <w:p w14:paraId="4CC7F54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Talent review dashboard</w:t>
      </w:r>
      <w:r w:rsidRPr="00DF37C1">
        <w:rPr>
          <w:rFonts w:ascii="Calibri" w:hAnsi="Calibri" w:cs="Calibri"/>
          <w:color w:val="000000" w:themeColor="text1"/>
          <w:sz w:val="22"/>
          <w:szCs w:val="22"/>
        </w:rPr>
        <w:t xml:space="preserve"> with full page views of succession plans, talent pools, and analytics </w:t>
      </w:r>
    </w:p>
    <w:p w14:paraId="2E19B6E8"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Comprehensive administration and management of meetings</w:t>
      </w:r>
      <w:r w:rsidRPr="00DF37C1">
        <w:rPr>
          <w:rFonts w:ascii="Calibri" w:hAnsi="Calibri" w:cs="Calibri"/>
          <w:color w:val="000000" w:themeColor="text1"/>
          <w:sz w:val="22"/>
          <w:szCs w:val="22"/>
        </w:rPr>
        <w:t xml:space="preserve"> including pre-meeting tasks for participants</w:t>
      </w:r>
    </w:p>
    <w:p w14:paraId="2B8A9D67"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Custom fields</w:t>
      </w:r>
      <w:r w:rsidRPr="00DF37C1">
        <w:rPr>
          <w:rFonts w:ascii="Calibri" w:hAnsi="Calibri" w:cs="Calibri"/>
          <w:color w:val="000000" w:themeColor="text1"/>
          <w:sz w:val="22"/>
          <w:szCs w:val="22"/>
        </w:rPr>
        <w:t xml:space="preserve"> to store specific information about talent review meetings</w:t>
      </w:r>
    </w:p>
    <w:p w14:paraId="7FC537F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Visibility options</w:t>
      </w:r>
      <w:r w:rsidRPr="00DF37C1">
        <w:rPr>
          <w:rFonts w:ascii="Calibri" w:hAnsi="Calibri" w:cs="Calibri"/>
          <w:color w:val="000000" w:themeColor="text1"/>
          <w:sz w:val="22"/>
          <w:szCs w:val="22"/>
        </w:rPr>
        <w:t xml:space="preserve"> for talent review meeting notes and tasks</w:t>
      </w:r>
    </w:p>
    <w:p w14:paraId="4C008D0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Succession plans</w:t>
      </w:r>
      <w:r w:rsidRPr="00DF37C1">
        <w:rPr>
          <w:rFonts w:ascii="Calibri" w:hAnsi="Calibri" w:cs="Calibri"/>
          <w:color w:val="000000" w:themeColor="text1"/>
          <w:sz w:val="22"/>
          <w:szCs w:val="22"/>
        </w:rPr>
        <w:t xml:space="preserve"> by job, position, or incumbent</w:t>
      </w:r>
      <w:bookmarkStart w:id="12" w:name="_Toc123297366"/>
    </w:p>
    <w:p w14:paraId="4C2FAD25" w14:textId="77777777" w:rsidR="00992972" w:rsidRPr="00DF37C1" w:rsidRDefault="00992972" w:rsidP="00992972">
      <w:pPr>
        <w:pStyle w:val="TNRBullet"/>
        <w:numPr>
          <w:ilvl w:val="0"/>
          <w:numId w:val="0"/>
        </w:numPr>
        <w:spacing w:before="0" w:after="0"/>
        <w:ind w:left="720"/>
        <w:rPr>
          <w:rFonts w:ascii="Calibri" w:hAnsi="Calibri" w:cs="Calibri"/>
          <w:color w:val="000000" w:themeColor="text1"/>
          <w:sz w:val="22"/>
          <w:szCs w:val="22"/>
        </w:rPr>
      </w:pPr>
    </w:p>
    <w:p w14:paraId="5C124F96" w14:textId="77777777" w:rsidR="00992972" w:rsidRPr="00DF37C1" w:rsidRDefault="00992972" w:rsidP="00992972">
      <w:pPr>
        <w:pStyle w:val="TNRBullet"/>
        <w:keepNext/>
        <w:numPr>
          <w:ilvl w:val="0"/>
          <w:numId w:val="0"/>
        </w:numPr>
        <w:spacing w:before="0" w:after="0"/>
        <w:rPr>
          <w:rFonts w:ascii="Calibri" w:hAnsi="Calibri" w:cs="Calibri"/>
          <w:color w:val="000000" w:themeColor="text1"/>
          <w:sz w:val="22"/>
          <w:szCs w:val="22"/>
        </w:rPr>
      </w:pPr>
      <w:r w:rsidRPr="00DF37C1">
        <w:rPr>
          <w:rFonts w:ascii="Calibri" w:hAnsi="Calibri" w:cs="Calibri"/>
          <w:b/>
          <w:bCs/>
          <w:color w:val="000000" w:themeColor="text1"/>
          <w:sz w:val="22"/>
          <w:szCs w:val="22"/>
        </w:rPr>
        <w:t>Performance Management - Key Features</w:t>
      </w:r>
    </w:p>
    <w:p w14:paraId="458423F4"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Complete Goal Tracking</w:t>
      </w:r>
      <w:r w:rsidRPr="00DF37C1">
        <w:rPr>
          <w:rFonts w:ascii="Calibri" w:hAnsi="Calibri" w:cs="Calibri"/>
          <w:color w:val="000000" w:themeColor="text1"/>
          <w:sz w:val="22"/>
          <w:szCs w:val="22"/>
        </w:rPr>
        <w:t xml:space="preserve"> - Track progress and results for the team or organization throughout the whole year with Goal Plans that are automatically assigned to the employees based on eligibility profiles. Allow employees to add new or library goals to accommodate their own objectives. View and update goals from anywhere on a smartphone with mobile responsive goals. Managers will be able to quickly see the status of the goals of their direct reports, to coach and guide them towards completion </w:t>
      </w:r>
    </w:p>
    <w:p w14:paraId="79642825" w14:textId="0EC0EAD8"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Collaborate &amp; Align</w:t>
      </w:r>
      <w:r w:rsidRPr="00DF37C1">
        <w:rPr>
          <w:rFonts w:ascii="Calibri" w:hAnsi="Calibri" w:cs="Calibri"/>
          <w:color w:val="000000" w:themeColor="text1"/>
          <w:sz w:val="22"/>
          <w:szCs w:val="22"/>
        </w:rPr>
        <w:t xml:space="preserve"> – Employees will have the ability to share goals with their </w:t>
      </w:r>
      <w:r w:rsidR="000772BE" w:rsidRPr="00DF37C1">
        <w:rPr>
          <w:rFonts w:ascii="Calibri" w:hAnsi="Calibri" w:cs="Calibri"/>
          <w:color w:val="000000" w:themeColor="text1"/>
          <w:sz w:val="22"/>
          <w:szCs w:val="22"/>
        </w:rPr>
        <w:t>peers,</w:t>
      </w:r>
      <w:r w:rsidRPr="00DF37C1">
        <w:rPr>
          <w:rFonts w:ascii="Calibri" w:hAnsi="Calibri" w:cs="Calibri"/>
          <w:color w:val="000000" w:themeColor="text1"/>
          <w:sz w:val="22"/>
          <w:szCs w:val="22"/>
        </w:rPr>
        <w:t xml:space="preserve"> which will foster more collaboration and foster a common purpose. Organizational goals can be published to share the strategy across the business and at all levels</w:t>
      </w:r>
    </w:p>
    <w:p w14:paraId="126511D9"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Tie goals to skills and certifications</w:t>
      </w:r>
      <w:r w:rsidRPr="00DF37C1">
        <w:rPr>
          <w:rFonts w:ascii="Calibri" w:hAnsi="Calibri" w:cs="Calibri"/>
          <w:color w:val="000000" w:themeColor="text1"/>
          <w:sz w:val="22"/>
          <w:szCs w:val="22"/>
        </w:rPr>
        <w:t xml:space="preserve"> - Tracking personal growth for career development by linking goals to competencies, creating goal-related tasks with tangible action items, enabling employees to set both development and performance goals to support their career growth are key to driving productivity across the organization</w:t>
      </w:r>
    </w:p>
    <w:p w14:paraId="4A6A75CB" w14:textId="77777777" w:rsidR="00992972" w:rsidRPr="00DF37C1" w:rsidRDefault="00992972" w:rsidP="00992972">
      <w:pPr>
        <w:pStyle w:val="TNRBullet"/>
        <w:spacing w:before="0" w:after="0"/>
        <w:rPr>
          <w:rFonts w:ascii="Calibri" w:hAnsi="Calibri" w:cs="Calibri"/>
          <w:color w:val="000000" w:themeColor="text1"/>
          <w:sz w:val="22"/>
          <w:szCs w:val="22"/>
        </w:rPr>
      </w:pPr>
      <w:r w:rsidRPr="00DF37C1">
        <w:rPr>
          <w:rFonts w:ascii="Calibri" w:hAnsi="Calibri" w:cs="Calibri"/>
          <w:b/>
          <w:color w:val="000000" w:themeColor="text1"/>
          <w:sz w:val="22"/>
          <w:szCs w:val="22"/>
        </w:rPr>
        <w:t>Meaningful evaluation of goals &amp; competencies</w:t>
      </w:r>
      <w:r w:rsidRPr="00DF37C1">
        <w:rPr>
          <w:rFonts w:ascii="Calibri" w:hAnsi="Calibri" w:cs="Calibri"/>
          <w:color w:val="000000" w:themeColor="text1"/>
          <w:sz w:val="22"/>
          <w:szCs w:val="22"/>
        </w:rPr>
        <w:t xml:space="preserve"> - The seamless integration of Goals and Performance Management within Oracle Cloud HCM enables the County to always be up-to-speed with point-in-time evaluations of goal achievements. The embedded analytics will give invaluable insights to managers and executives, enabling them to have a unified view of the people, monitor progress and act as needed</w:t>
      </w:r>
    </w:p>
    <w:bookmarkEnd w:id="12"/>
    <w:p w14:paraId="4A6D68FB" w14:textId="77777777" w:rsidR="00992972" w:rsidRPr="00DF37C1" w:rsidRDefault="00992972" w:rsidP="00F966CE">
      <w:pPr>
        <w:pStyle w:val="BodyText2"/>
        <w:spacing w:after="0" w:line="240" w:lineRule="auto"/>
        <w:jc w:val="left"/>
        <w:rPr>
          <w:rFonts w:ascii="Calibri" w:hAnsi="Calibri" w:cs="Calibri"/>
          <w:noProof/>
          <w:color w:val="000000" w:themeColor="text1"/>
        </w:rPr>
      </w:pPr>
    </w:p>
    <w:sectPr w:rsidR="00992972" w:rsidRPr="00DF37C1" w:rsidSect="00AC7B6C">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4B8D2" w14:textId="77777777" w:rsidR="00F01D00" w:rsidRDefault="00F01D00" w:rsidP="00AC7B6C">
      <w:pPr>
        <w:spacing w:after="0" w:line="240" w:lineRule="auto"/>
      </w:pPr>
      <w:r>
        <w:separator/>
      </w:r>
    </w:p>
  </w:endnote>
  <w:endnote w:type="continuationSeparator" w:id="0">
    <w:p w14:paraId="5A76FC3C" w14:textId="77777777" w:rsidR="00F01D00" w:rsidRDefault="00F01D00" w:rsidP="00AC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racle Sans Light">
    <w:altName w:val="Sylfaen"/>
    <w:charset w:val="00"/>
    <w:family w:val="swiss"/>
    <w:pitch w:val="variable"/>
    <w:sig w:usb0="A10006EF" w:usb1="400060FB" w:usb2="00000000" w:usb3="00000000" w:csb0="0000001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845850"/>
      <w:docPartObj>
        <w:docPartGallery w:val="Page Numbers (Bottom of Page)"/>
        <w:docPartUnique/>
      </w:docPartObj>
    </w:sdtPr>
    <w:sdtEndPr>
      <w:rPr>
        <w:rFonts w:ascii="Calibri" w:hAnsi="Calibri" w:cs="Calibri"/>
        <w:noProof/>
      </w:rPr>
    </w:sdtEndPr>
    <w:sdtContent>
      <w:p w14:paraId="366CD324" w14:textId="2F6315B8" w:rsidR="00C15908" w:rsidRPr="003D1668" w:rsidRDefault="003D1668" w:rsidP="008B7866">
        <w:pPr>
          <w:pStyle w:val="Footer"/>
          <w:pBdr>
            <w:top w:val="single" w:sz="4" w:space="1" w:color="auto"/>
          </w:pBdr>
        </w:pPr>
        <w:r w:rsidRPr="007C2E02">
          <w:rPr>
            <w:rFonts w:ascii="Times New Roman" w:eastAsia="Times New Roman" w:hAnsi="Times New Roman" w:cs="Times New Roman"/>
            <w:noProof/>
            <w:kern w:val="0"/>
            <w:sz w:val="24"/>
            <w:szCs w:val="24"/>
            <w14:ligatures w14:val="none"/>
          </w:rPr>
          <w:drawing>
            <wp:anchor distT="0" distB="0" distL="114300" distR="114300" simplePos="0" relativeHeight="251659264" behindDoc="0" locked="0" layoutInCell="1" allowOverlap="1" wp14:anchorId="30F53C65" wp14:editId="3DF8B5CE">
              <wp:simplePos x="0" y="0"/>
              <wp:positionH relativeFrom="margin">
                <wp:align>right</wp:align>
              </wp:positionH>
              <wp:positionV relativeFrom="paragraph">
                <wp:posOffset>34591</wp:posOffset>
              </wp:positionV>
              <wp:extent cx="1161415" cy="414020"/>
              <wp:effectExtent l="0" t="0" r="635" b="5080"/>
              <wp:wrapNone/>
              <wp:docPr id="711744210" name="Picture 711744210"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61415" cy="414020"/>
                      </a:xfrm>
                      <a:prstGeom prst="rect">
                        <a:avLst/>
                      </a:prstGeom>
                      <a:noFill/>
                      <a:ln>
                        <a:noFill/>
                      </a:ln>
                    </pic:spPr>
                  </pic:pic>
                </a:graphicData>
              </a:graphic>
            </wp:anchor>
          </w:drawing>
        </w:r>
        <w:r w:rsidRPr="003D1668">
          <w:rPr>
            <w:rFonts w:ascii="Calibri" w:hAnsi="Calibri" w:cs="Calibri"/>
          </w:rPr>
          <w:t>Page</w:t>
        </w:r>
        <w:r>
          <w:t xml:space="preserve"> </w:t>
        </w:r>
        <w:r w:rsidR="00C15908" w:rsidRPr="00C15908">
          <w:rPr>
            <w:rFonts w:ascii="Calibri" w:hAnsi="Calibri" w:cs="Calibri"/>
          </w:rPr>
          <w:fldChar w:fldCharType="begin"/>
        </w:r>
        <w:r w:rsidR="00C15908" w:rsidRPr="00C15908">
          <w:rPr>
            <w:rFonts w:ascii="Calibri" w:hAnsi="Calibri" w:cs="Calibri"/>
          </w:rPr>
          <w:instrText xml:space="preserve"> PAGE   \* MERGEFORMAT </w:instrText>
        </w:r>
        <w:r w:rsidR="00C15908" w:rsidRPr="00C15908">
          <w:rPr>
            <w:rFonts w:ascii="Calibri" w:hAnsi="Calibri" w:cs="Calibri"/>
          </w:rPr>
          <w:fldChar w:fldCharType="separate"/>
        </w:r>
        <w:r w:rsidR="00C15908" w:rsidRPr="00C15908">
          <w:rPr>
            <w:rFonts w:ascii="Calibri" w:hAnsi="Calibri" w:cs="Calibri"/>
            <w:noProof/>
          </w:rPr>
          <w:t>2</w:t>
        </w:r>
        <w:r w:rsidR="00C15908" w:rsidRPr="00C15908">
          <w:rPr>
            <w:rFonts w:ascii="Calibri" w:hAnsi="Calibri" w:cs="Calibri"/>
            <w:noProof/>
          </w:rPr>
          <w:fldChar w:fldCharType="end"/>
        </w:r>
        <w:r>
          <w:rPr>
            <w:rFonts w:ascii="Calibri" w:hAnsi="Calibri" w:cs="Calibri"/>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8864" w14:textId="77777777" w:rsidR="00F01D00" w:rsidRDefault="00F01D00" w:rsidP="00AC7B6C">
      <w:pPr>
        <w:spacing w:after="0" w:line="240" w:lineRule="auto"/>
      </w:pPr>
      <w:r>
        <w:separator/>
      </w:r>
    </w:p>
  </w:footnote>
  <w:footnote w:type="continuationSeparator" w:id="0">
    <w:p w14:paraId="16575311" w14:textId="77777777" w:rsidR="00F01D00" w:rsidRDefault="00F01D00" w:rsidP="00AC7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B0C98"/>
    <w:multiLevelType w:val="hybridMultilevel"/>
    <w:tmpl w:val="9CBA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E4C23"/>
    <w:multiLevelType w:val="multilevel"/>
    <w:tmpl w:val="716E1F7E"/>
    <w:lvl w:ilvl="0">
      <w:start w:val="1"/>
      <w:numFmt w:val="bullet"/>
      <w:pStyle w:val="TNR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color w:val="auto"/>
      </w:rPr>
    </w:lvl>
    <w:lvl w:ilvl="2">
      <w:start w:val="1"/>
      <w:numFmt w:val="bullet"/>
      <w:lvlText w:val=""/>
      <w:lvlJc w:val="left"/>
      <w:pPr>
        <w:tabs>
          <w:tab w:val="num" w:pos="21600"/>
        </w:tabs>
        <w:ind w:left="1440" w:hanging="360"/>
      </w:pPr>
      <w:rPr>
        <w:rFonts w:ascii="Wingdings" w:hAnsi="Wingdings" w:hint="default"/>
        <w:color w:val="auto"/>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4742000">
    <w:abstractNumId w:val="0"/>
  </w:num>
  <w:num w:numId="2" w16cid:durableId="574710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88"/>
    <w:rsid w:val="000307DF"/>
    <w:rsid w:val="000772BE"/>
    <w:rsid w:val="000B5CAA"/>
    <w:rsid w:val="00195B66"/>
    <w:rsid w:val="001B0C5F"/>
    <w:rsid w:val="001C5054"/>
    <w:rsid w:val="001D14EC"/>
    <w:rsid w:val="001F135D"/>
    <w:rsid w:val="00252C76"/>
    <w:rsid w:val="002A4CF3"/>
    <w:rsid w:val="002B4A69"/>
    <w:rsid w:val="002B6CC7"/>
    <w:rsid w:val="003111EF"/>
    <w:rsid w:val="003115E7"/>
    <w:rsid w:val="00335D4B"/>
    <w:rsid w:val="003C0D9B"/>
    <w:rsid w:val="003C1FC1"/>
    <w:rsid w:val="003C328F"/>
    <w:rsid w:val="003D1668"/>
    <w:rsid w:val="00403E8E"/>
    <w:rsid w:val="00426933"/>
    <w:rsid w:val="00437178"/>
    <w:rsid w:val="0046035E"/>
    <w:rsid w:val="0048189A"/>
    <w:rsid w:val="00484DAE"/>
    <w:rsid w:val="004968AA"/>
    <w:rsid w:val="004D47D5"/>
    <w:rsid w:val="005072C0"/>
    <w:rsid w:val="005139E5"/>
    <w:rsid w:val="00565515"/>
    <w:rsid w:val="00586B1C"/>
    <w:rsid w:val="0058726E"/>
    <w:rsid w:val="005B4815"/>
    <w:rsid w:val="005C6ACB"/>
    <w:rsid w:val="006053F1"/>
    <w:rsid w:val="00664E1E"/>
    <w:rsid w:val="006D5841"/>
    <w:rsid w:val="00711E0C"/>
    <w:rsid w:val="007619F2"/>
    <w:rsid w:val="00776973"/>
    <w:rsid w:val="007903CC"/>
    <w:rsid w:val="007D5906"/>
    <w:rsid w:val="007E13EF"/>
    <w:rsid w:val="008232E1"/>
    <w:rsid w:val="0082630C"/>
    <w:rsid w:val="008613D5"/>
    <w:rsid w:val="00894EAA"/>
    <w:rsid w:val="008B7866"/>
    <w:rsid w:val="008E230E"/>
    <w:rsid w:val="0092614F"/>
    <w:rsid w:val="00963488"/>
    <w:rsid w:val="00982CE7"/>
    <w:rsid w:val="00992972"/>
    <w:rsid w:val="009C774E"/>
    <w:rsid w:val="009E0517"/>
    <w:rsid w:val="009E1541"/>
    <w:rsid w:val="00A00759"/>
    <w:rsid w:val="00A63BD6"/>
    <w:rsid w:val="00A779A4"/>
    <w:rsid w:val="00AB24C5"/>
    <w:rsid w:val="00AC7B6C"/>
    <w:rsid w:val="00AE5D44"/>
    <w:rsid w:val="00B315D2"/>
    <w:rsid w:val="00B410C5"/>
    <w:rsid w:val="00B50D7C"/>
    <w:rsid w:val="00BD2AEA"/>
    <w:rsid w:val="00C15908"/>
    <w:rsid w:val="00C3296F"/>
    <w:rsid w:val="00CD2EEC"/>
    <w:rsid w:val="00CD75C1"/>
    <w:rsid w:val="00CE01AF"/>
    <w:rsid w:val="00CE4CF7"/>
    <w:rsid w:val="00CE6215"/>
    <w:rsid w:val="00D17086"/>
    <w:rsid w:val="00D25B7B"/>
    <w:rsid w:val="00D2604C"/>
    <w:rsid w:val="00D75A6F"/>
    <w:rsid w:val="00D8270F"/>
    <w:rsid w:val="00DC537A"/>
    <w:rsid w:val="00DC7B68"/>
    <w:rsid w:val="00DE698D"/>
    <w:rsid w:val="00DF27BF"/>
    <w:rsid w:val="00DF37C1"/>
    <w:rsid w:val="00ED39C2"/>
    <w:rsid w:val="00F01D00"/>
    <w:rsid w:val="00F529B5"/>
    <w:rsid w:val="00F9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AEE98"/>
  <w15:chartTrackingRefBased/>
  <w15:docId w15:val="{1451AB68-E1DA-4C80-AE9A-BA4ACA4A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D2"/>
    <w:pPr>
      <w:spacing w:line="259" w:lineRule="auto"/>
      <w:jc w:val="both"/>
    </w:pPr>
    <w:rPr>
      <w:rFonts w:ascii="Arial" w:hAnsi="Arial"/>
      <w:sz w:val="22"/>
      <w:szCs w:val="22"/>
    </w:rPr>
  </w:style>
  <w:style w:type="paragraph" w:styleId="Heading1">
    <w:name w:val="heading 1"/>
    <w:basedOn w:val="Normal"/>
    <w:next w:val="Normal"/>
    <w:link w:val="Heading1Char"/>
    <w:uiPriority w:val="9"/>
    <w:qFormat/>
    <w:rsid w:val="00963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488"/>
    <w:rPr>
      <w:rFonts w:eastAsiaTheme="majorEastAsia" w:cstheme="majorBidi"/>
      <w:color w:val="272727" w:themeColor="text1" w:themeTint="D8"/>
    </w:rPr>
  </w:style>
  <w:style w:type="paragraph" w:styleId="Title">
    <w:name w:val="Title"/>
    <w:basedOn w:val="Normal"/>
    <w:next w:val="Normal"/>
    <w:link w:val="TitleChar"/>
    <w:uiPriority w:val="10"/>
    <w:qFormat/>
    <w:rsid w:val="00963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488"/>
    <w:pPr>
      <w:spacing w:before="160"/>
      <w:jc w:val="center"/>
    </w:pPr>
    <w:rPr>
      <w:i/>
      <w:iCs/>
      <w:color w:val="404040" w:themeColor="text1" w:themeTint="BF"/>
    </w:rPr>
  </w:style>
  <w:style w:type="character" w:customStyle="1" w:styleId="QuoteChar">
    <w:name w:val="Quote Char"/>
    <w:basedOn w:val="DefaultParagraphFont"/>
    <w:link w:val="Quote"/>
    <w:uiPriority w:val="29"/>
    <w:rsid w:val="00963488"/>
    <w:rPr>
      <w:i/>
      <w:iCs/>
      <w:color w:val="404040" w:themeColor="text1" w:themeTint="BF"/>
    </w:rPr>
  </w:style>
  <w:style w:type="paragraph" w:styleId="ListParagraph">
    <w:name w:val="List Paragraph"/>
    <w:aliases w:val="Alpha List Paragraph,Clean Titles By G,List1,Equipment,Figure_name,Numbered Indented Text,List Paragraph Char Char Char,List Paragraph Char Char,List Paragraph1,lp1,List Paragraph11,List_TIS,Bullet 1,b1,Number_1,List Paragraph2,new,n"/>
    <w:basedOn w:val="Normal"/>
    <w:link w:val="ListParagraphChar"/>
    <w:uiPriority w:val="34"/>
    <w:qFormat/>
    <w:rsid w:val="00963488"/>
    <w:pPr>
      <w:ind w:left="720"/>
      <w:contextualSpacing/>
    </w:pPr>
  </w:style>
  <w:style w:type="character" w:styleId="IntenseEmphasis">
    <w:name w:val="Intense Emphasis"/>
    <w:basedOn w:val="DefaultParagraphFont"/>
    <w:uiPriority w:val="21"/>
    <w:qFormat/>
    <w:rsid w:val="00963488"/>
    <w:rPr>
      <w:i/>
      <w:iCs/>
      <w:color w:val="0F4761" w:themeColor="accent1" w:themeShade="BF"/>
    </w:rPr>
  </w:style>
  <w:style w:type="paragraph" w:styleId="IntenseQuote">
    <w:name w:val="Intense Quote"/>
    <w:basedOn w:val="Normal"/>
    <w:next w:val="Normal"/>
    <w:link w:val="IntenseQuoteChar"/>
    <w:uiPriority w:val="30"/>
    <w:qFormat/>
    <w:rsid w:val="00963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488"/>
    <w:rPr>
      <w:i/>
      <w:iCs/>
      <w:color w:val="0F4761" w:themeColor="accent1" w:themeShade="BF"/>
    </w:rPr>
  </w:style>
  <w:style w:type="character" w:styleId="IntenseReference">
    <w:name w:val="Intense Reference"/>
    <w:basedOn w:val="DefaultParagraphFont"/>
    <w:uiPriority w:val="32"/>
    <w:qFormat/>
    <w:rsid w:val="00963488"/>
    <w:rPr>
      <w:b/>
      <w:bCs/>
      <w:smallCaps/>
      <w:color w:val="0F4761" w:themeColor="accent1" w:themeShade="BF"/>
      <w:spacing w:val="5"/>
    </w:rPr>
  </w:style>
  <w:style w:type="paragraph" w:styleId="BodyText">
    <w:name w:val="Body Text"/>
    <w:basedOn w:val="Normal"/>
    <w:link w:val="BodyTextChar"/>
    <w:uiPriority w:val="99"/>
    <w:unhideWhenUsed/>
    <w:qFormat/>
    <w:rsid w:val="00B315D2"/>
    <w:pPr>
      <w:spacing w:after="120"/>
    </w:pPr>
  </w:style>
  <w:style w:type="character" w:customStyle="1" w:styleId="BodyTextChar">
    <w:name w:val="Body Text Char"/>
    <w:basedOn w:val="DefaultParagraphFont"/>
    <w:link w:val="BodyText"/>
    <w:uiPriority w:val="99"/>
    <w:rsid w:val="00B315D2"/>
    <w:rPr>
      <w:rFonts w:ascii="Arial" w:hAnsi="Arial"/>
      <w:sz w:val="22"/>
      <w:szCs w:val="22"/>
    </w:rPr>
  </w:style>
  <w:style w:type="paragraph" w:customStyle="1" w:styleId="Bullet">
    <w:name w:val="Bullet"/>
    <w:basedOn w:val="Normal"/>
    <w:link w:val="BulletChar"/>
    <w:qFormat/>
    <w:rsid w:val="00BD2AEA"/>
    <w:pPr>
      <w:tabs>
        <w:tab w:val="num" w:pos="360"/>
      </w:tabs>
      <w:spacing w:after="0" w:line="240" w:lineRule="auto"/>
      <w:ind w:left="360" w:hanging="360"/>
      <w:contextualSpacing/>
      <w:jc w:val="left"/>
    </w:pPr>
    <w:rPr>
      <w:kern w:val="0"/>
      <w:sz w:val="20"/>
      <w14:ligatures w14:val="none"/>
    </w:rPr>
  </w:style>
  <w:style w:type="character" w:customStyle="1" w:styleId="BulletChar">
    <w:name w:val="Bullet Char"/>
    <w:basedOn w:val="DefaultParagraphFont"/>
    <w:link w:val="Bullet"/>
    <w:rsid w:val="00BD2AEA"/>
    <w:rPr>
      <w:rFonts w:ascii="Arial" w:hAnsi="Arial"/>
      <w:kern w:val="0"/>
      <w:sz w:val="20"/>
      <w:szCs w:val="22"/>
      <w14:ligatures w14:val="none"/>
    </w:rPr>
  </w:style>
  <w:style w:type="paragraph" w:styleId="BodyText2">
    <w:name w:val="Body Text 2"/>
    <w:basedOn w:val="Normal"/>
    <w:link w:val="BodyText2Char"/>
    <w:uiPriority w:val="99"/>
    <w:unhideWhenUsed/>
    <w:rsid w:val="00A00759"/>
    <w:pPr>
      <w:spacing w:after="120" w:line="480" w:lineRule="auto"/>
    </w:pPr>
  </w:style>
  <w:style w:type="character" w:customStyle="1" w:styleId="BodyText2Char">
    <w:name w:val="Body Text 2 Char"/>
    <w:basedOn w:val="DefaultParagraphFont"/>
    <w:link w:val="BodyText2"/>
    <w:uiPriority w:val="99"/>
    <w:rsid w:val="00A00759"/>
    <w:rPr>
      <w:rFonts w:ascii="Arial" w:hAnsi="Arial"/>
      <w:sz w:val="22"/>
      <w:szCs w:val="22"/>
    </w:rPr>
  </w:style>
  <w:style w:type="paragraph" w:customStyle="1" w:styleId="TNRResponse">
    <w:name w:val="**TNR Response"/>
    <w:basedOn w:val="Normal"/>
    <w:qFormat/>
    <w:rsid w:val="00F966CE"/>
    <w:pPr>
      <w:spacing w:before="240" w:after="0" w:line="240" w:lineRule="auto"/>
      <w:jc w:val="left"/>
    </w:pPr>
    <w:rPr>
      <w:rFonts w:ascii="Times New Roman" w:hAnsi="Times New Roman" w:cs="Times New Roman"/>
      <w:kern w:val="0"/>
      <w:sz w:val="24"/>
      <w:szCs w:val="24"/>
      <w14:ligatures w14:val="none"/>
    </w:rPr>
  </w:style>
  <w:style w:type="paragraph" w:customStyle="1" w:styleId="TNRBullet">
    <w:name w:val="**TNR Bullet"/>
    <w:basedOn w:val="TNRResponse"/>
    <w:qFormat/>
    <w:rsid w:val="00F966CE"/>
    <w:pPr>
      <w:numPr>
        <w:numId w:val="2"/>
      </w:numPr>
      <w:spacing w:before="120" w:after="120"/>
    </w:pPr>
  </w:style>
  <w:style w:type="character" w:customStyle="1" w:styleId="ListParagraphChar">
    <w:name w:val="List Paragraph Char"/>
    <w:aliases w:val="Alpha List Paragraph Char,Clean Titles By G Char,List1 Char,Equipment Char,Figure_name Char,Numbered Indented Text Char,List Paragraph Char Char Char Char,List Paragraph Char Char Char1,List Paragraph1 Char,lp1 Char,List_TIS Char"/>
    <w:link w:val="ListParagraph"/>
    <w:uiPriority w:val="34"/>
    <w:rsid w:val="00992972"/>
    <w:rPr>
      <w:rFonts w:ascii="Arial" w:hAnsi="Arial"/>
      <w:sz w:val="22"/>
      <w:szCs w:val="22"/>
    </w:rPr>
  </w:style>
  <w:style w:type="paragraph" w:customStyle="1" w:styleId="RFxBody">
    <w:name w:val="RFx Body"/>
    <w:basedOn w:val="Normal"/>
    <w:rsid w:val="00992972"/>
    <w:pPr>
      <w:spacing w:before="200" w:after="180" w:line="264" w:lineRule="auto"/>
      <w:jc w:val="left"/>
    </w:pPr>
    <w:rPr>
      <w:rFonts w:ascii="Oracle Sans Light" w:hAnsi="Oracle Sans Light" w:cs="Times New Roman (Body CS)"/>
      <w:kern w:val="0"/>
      <w:sz w:val="20"/>
      <w:szCs w:val="24"/>
      <w14:ligatures w14:val="none"/>
    </w:rPr>
  </w:style>
  <w:style w:type="character" w:styleId="Strong">
    <w:name w:val="Strong"/>
    <w:uiPriority w:val="22"/>
    <w:qFormat/>
    <w:rsid w:val="00992972"/>
    <w:rPr>
      <w:b/>
      <w:bCs/>
    </w:rPr>
  </w:style>
  <w:style w:type="paragraph" w:styleId="TOCHeading">
    <w:name w:val="TOC Heading"/>
    <w:basedOn w:val="Heading1"/>
    <w:next w:val="Normal"/>
    <w:uiPriority w:val="39"/>
    <w:unhideWhenUsed/>
    <w:qFormat/>
    <w:rsid w:val="00D2604C"/>
    <w:pPr>
      <w:spacing w:before="240" w:after="0"/>
      <w:jc w:val="left"/>
      <w:outlineLvl w:val="9"/>
    </w:pPr>
    <w:rPr>
      <w:kern w:val="0"/>
      <w:sz w:val="32"/>
      <w:szCs w:val="32"/>
      <w14:ligatures w14:val="none"/>
    </w:rPr>
  </w:style>
  <w:style w:type="paragraph" w:styleId="TOC1">
    <w:name w:val="toc 1"/>
    <w:basedOn w:val="Normal"/>
    <w:next w:val="Normal"/>
    <w:autoRedefine/>
    <w:uiPriority w:val="39"/>
    <w:unhideWhenUsed/>
    <w:rsid w:val="00D2604C"/>
    <w:pPr>
      <w:spacing w:after="100"/>
    </w:pPr>
  </w:style>
  <w:style w:type="paragraph" w:styleId="TOC2">
    <w:name w:val="toc 2"/>
    <w:basedOn w:val="Normal"/>
    <w:next w:val="Normal"/>
    <w:autoRedefine/>
    <w:uiPriority w:val="39"/>
    <w:unhideWhenUsed/>
    <w:rsid w:val="00D2604C"/>
    <w:pPr>
      <w:spacing w:after="100"/>
      <w:ind w:left="220"/>
    </w:pPr>
  </w:style>
  <w:style w:type="character" w:styleId="Hyperlink">
    <w:name w:val="Hyperlink"/>
    <w:basedOn w:val="DefaultParagraphFont"/>
    <w:uiPriority w:val="99"/>
    <w:unhideWhenUsed/>
    <w:rsid w:val="00D2604C"/>
    <w:rPr>
      <w:color w:val="467886" w:themeColor="hyperlink"/>
      <w:u w:val="single"/>
    </w:rPr>
  </w:style>
  <w:style w:type="paragraph" w:styleId="Header">
    <w:name w:val="header"/>
    <w:basedOn w:val="Normal"/>
    <w:link w:val="HeaderChar"/>
    <w:uiPriority w:val="99"/>
    <w:unhideWhenUsed/>
    <w:rsid w:val="00AC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B6C"/>
    <w:rPr>
      <w:rFonts w:ascii="Arial" w:hAnsi="Arial"/>
      <w:sz w:val="22"/>
      <w:szCs w:val="22"/>
    </w:rPr>
  </w:style>
  <w:style w:type="paragraph" w:styleId="Footer">
    <w:name w:val="footer"/>
    <w:basedOn w:val="Normal"/>
    <w:link w:val="FooterChar"/>
    <w:uiPriority w:val="99"/>
    <w:unhideWhenUsed/>
    <w:rsid w:val="00AC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B6C"/>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acle.com/corporate/analyst-reports.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4fc9e7ebff0146c8b858bb3005e04bd7">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193926a7a790ea08016ab489818830fe"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Props1.xml><?xml version="1.0" encoding="utf-8"?>
<ds:datastoreItem xmlns:ds="http://schemas.openxmlformats.org/officeDocument/2006/customXml" ds:itemID="{894F6176-F7DE-4AEC-AB65-1885BB911EAC}">
  <ds:schemaRefs>
    <ds:schemaRef ds:uri="http://schemas.microsoft.com/sharepoint/v3/contenttype/forms"/>
  </ds:schemaRefs>
</ds:datastoreItem>
</file>

<file path=customXml/itemProps2.xml><?xml version="1.0" encoding="utf-8"?>
<ds:datastoreItem xmlns:ds="http://schemas.openxmlformats.org/officeDocument/2006/customXml" ds:itemID="{B929EF23-7D30-4EE3-92B0-69C55AE3B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D6F3C4-D9DE-48C6-8D3C-A2F3C58E9C7C}">
  <ds:schemaRefs>
    <ds:schemaRef ds:uri="http://schemas.openxmlformats.org/officeDocument/2006/bibliography"/>
  </ds:schemaRefs>
</ds:datastoreItem>
</file>

<file path=customXml/itemProps4.xml><?xml version="1.0" encoding="utf-8"?>
<ds:datastoreItem xmlns:ds="http://schemas.openxmlformats.org/officeDocument/2006/customXml" ds:itemID="{C2619967-2EDE-4EF9-97A2-B620824248C7}">
  <ds:schemaRefs>
    <ds:schemaRef ds:uri="http://purl.org/dc/dcmitype/"/>
    <ds:schemaRef ds:uri="http://purl.org/dc/elements/1.1/"/>
    <ds:schemaRef ds:uri="http://schemas.microsoft.com/office/2006/metadata/properties"/>
    <ds:schemaRef ds:uri="f6e98211-55fd-4806-8a92-445a633dc671"/>
    <ds:schemaRef ds:uri="http://www.w3.org/XML/1998/namespace"/>
    <ds:schemaRef ds:uri="http://schemas.microsoft.com/office/2006/documentManagement/types"/>
    <ds:schemaRef ds:uri="93d61c0a-022c-44d1-ae0c-721fc40bedcd"/>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17</Pages>
  <Words>5406</Words>
  <Characters>32700</Characters>
  <Application>Microsoft Office Word</Application>
  <DocSecurity>0</DocSecurity>
  <Lines>609</Lines>
  <Paragraphs>239</Paragraphs>
  <ScaleCrop>false</ScaleCrop>
  <Company/>
  <LinksUpToDate>false</LinksUpToDate>
  <CharactersWithSpaces>38100</CharactersWithSpaces>
  <SharedDoc>false</SharedDoc>
  <HLinks>
    <vt:vector size="36" baseType="variant">
      <vt:variant>
        <vt:i4>4390914</vt:i4>
      </vt:variant>
      <vt:variant>
        <vt:i4>36</vt:i4>
      </vt:variant>
      <vt:variant>
        <vt:i4>0</vt:i4>
      </vt:variant>
      <vt:variant>
        <vt:i4>5</vt:i4>
      </vt:variant>
      <vt:variant>
        <vt:lpwstr>https://www.oracle.com/corporate/analyst-reports.html</vt:lpwstr>
      </vt:variant>
      <vt:variant>
        <vt:lpwstr/>
      </vt:variant>
      <vt:variant>
        <vt:i4>1441855</vt:i4>
      </vt:variant>
      <vt:variant>
        <vt:i4>29</vt:i4>
      </vt:variant>
      <vt:variant>
        <vt:i4>0</vt:i4>
      </vt:variant>
      <vt:variant>
        <vt:i4>5</vt:i4>
      </vt:variant>
      <vt:variant>
        <vt:lpwstr/>
      </vt:variant>
      <vt:variant>
        <vt:lpwstr>_Toc201145851</vt:lpwstr>
      </vt:variant>
      <vt:variant>
        <vt:i4>1441855</vt:i4>
      </vt:variant>
      <vt:variant>
        <vt:i4>23</vt:i4>
      </vt:variant>
      <vt:variant>
        <vt:i4>0</vt:i4>
      </vt:variant>
      <vt:variant>
        <vt:i4>5</vt:i4>
      </vt:variant>
      <vt:variant>
        <vt:lpwstr/>
      </vt:variant>
      <vt:variant>
        <vt:lpwstr>_Toc201145850</vt:lpwstr>
      </vt:variant>
      <vt:variant>
        <vt:i4>1507391</vt:i4>
      </vt:variant>
      <vt:variant>
        <vt:i4>17</vt:i4>
      </vt:variant>
      <vt:variant>
        <vt:i4>0</vt:i4>
      </vt:variant>
      <vt:variant>
        <vt:i4>5</vt:i4>
      </vt:variant>
      <vt:variant>
        <vt:lpwstr/>
      </vt:variant>
      <vt:variant>
        <vt:lpwstr>_Toc201145849</vt:lpwstr>
      </vt:variant>
      <vt:variant>
        <vt:i4>1507391</vt:i4>
      </vt:variant>
      <vt:variant>
        <vt:i4>11</vt:i4>
      </vt:variant>
      <vt:variant>
        <vt:i4>0</vt:i4>
      </vt:variant>
      <vt:variant>
        <vt:i4>5</vt:i4>
      </vt:variant>
      <vt:variant>
        <vt:lpwstr/>
      </vt:variant>
      <vt:variant>
        <vt:lpwstr>_Toc201145848</vt:lpwstr>
      </vt:variant>
      <vt:variant>
        <vt:i4>1507391</vt:i4>
      </vt:variant>
      <vt:variant>
        <vt:i4>5</vt:i4>
      </vt:variant>
      <vt:variant>
        <vt:i4>0</vt:i4>
      </vt:variant>
      <vt:variant>
        <vt:i4>5</vt:i4>
      </vt:variant>
      <vt:variant>
        <vt:lpwstr/>
      </vt:variant>
      <vt:variant>
        <vt:lpwstr>_Toc201145847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Jessica Finner</cp:lastModifiedBy>
  <cp:revision>74</cp:revision>
  <dcterms:created xsi:type="dcterms:W3CDTF">2025-06-17T19:07:00Z</dcterms:created>
  <dcterms:modified xsi:type="dcterms:W3CDTF">2025-09-26T21:13:00Z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