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360"/>
      </w:tblGrid>
      <w:tr>
        <w:tc>
          <w:tcPr>
            <w:tcW w:w="9360" w:type="dxa"/>
            <w:shd w:val="clear" w:color="auto" w:fill="1A1A2E"/>
            <w:tcMar>
              <w:top w:w="720" w:type="dxa"/>
              <w:start w:w="720" w:type="dxa"/>
              <w:bottom w:w="720" w:type="dxa"/>
              <w:end w:w="720" w:type="dxa"/>
            </w:tcMar>
          </w:tcPr>
          <w:p>
            <w:pPr>
              <w:spacing w:before="360" w:after="120"/>
              <w:jc w:val="left"/>
            </w:pPr>
            <w:r>
              <w:rPr>
                <w:rFonts w:ascii="Calibri" w:hAnsi="Calibri"/>
                <w:b/>
                <w:i w:val="0"/>
                <w:color w:val="F0530A"/>
                <w:sz w:val="72"/>
              </w:rPr>
              <w:t>iteria</w:t>
            </w:r>
            <w:r>
              <w:rPr>
                <w:rFonts w:ascii="Calibri" w:hAnsi="Calibri"/>
                <w:b/>
                <w:i w:val="0"/>
                <w:color w:val="AAAAAA"/>
                <w:sz w:val="72"/>
              </w:rPr>
              <w:t>.us</w:t>
            </w:r>
          </w:p>
          <w:p>
            <w:pPr>
              <w:spacing w:before="0" w:after="480"/>
            </w:pPr>
            <w:r>
              <w:rPr>
                <w:rFonts w:ascii="Calibri" w:hAnsi="Calibri"/>
                <w:b w:val="0"/>
                <w:i w:val="0"/>
                <w:color w:val="BBBBCC"/>
                <w:sz w:val="22"/>
              </w:rPr>
              <w:t>Certified Oracle Implementation Partner</w:t>
            </w:r>
          </w:p>
        </w:tc>
      </w:tr>
    </w:tbl>
    <w:p/>
    <w:p>
      <w:pPr>
        <w:spacing w:before="480" w:after="60"/>
        <w:jc w:val="left"/>
      </w:pPr>
      <w:r>
        <w:rPr>
          <w:rFonts w:ascii="Calibri" w:hAnsi="Calibri"/>
          <w:b/>
          <w:i w:val="0"/>
          <w:color w:val="1A1A2E"/>
          <w:sz w:val="52"/>
        </w:rPr>
        <w:t>City of St. Petersburg, Florida</w:t>
      </w:r>
    </w:p>
    <w:p>
      <w:pPr>
        <w:pBdr>
          <w:bottom w:val="single" w:sz="6" w:space="4" w:color="F0530A"/>
        </w:pBdr>
        <w:spacing w:before="0" w:after="60"/>
      </w:pPr>
      <w:r>
        <w:rPr>
          <w:rFonts w:ascii="Calibri" w:hAnsi="Calibri"/>
          <w:b/>
          <w:i w:val="0"/>
          <w:color w:val="F0530A"/>
          <w:sz w:val="32"/>
        </w:rPr>
        <w:t>RFP RFP-26-078</w:t>
      </w:r>
    </w:p>
    <w:p>
      <w:pPr>
        <w:spacing w:before="120" w:after="60"/>
      </w:pPr>
      <w:r>
        <w:rPr>
          <w:rFonts w:ascii="Calibri" w:hAnsi="Calibri"/>
          <w:b w:val="0"/>
          <w:i w:val="0"/>
          <w:color w:val="888888"/>
          <w:sz w:val="28"/>
        </w:rPr>
        <w:t>Proposal Response</w:t>
      </w:r>
    </w:p>
    <w:p>
      <w:pPr>
        <w:spacing w:before="0" w:after="1200"/>
      </w:pPr>
      <w:r>
        <w:rPr>
          <w:rFonts w:ascii="Calibri" w:hAnsi="Calibri"/>
          <w:b w:val="0"/>
          <w:i w:val="0"/>
          <w:color w:val="888888"/>
          <w:sz w:val="20"/>
        </w:rPr>
        <w:t>Submitted: March 16, 2026</w:t>
      </w:r>
    </w:p>
    <w:p>
      <w:pPr>
        <w:pBdr>
          <w:left w:val="single" w:sz="24" w:space="6" w:color="F0530A"/>
        </w:pBdr>
        <w:shd w:val="clear" w:color="auto" w:fill="F4F4F8"/>
        <w:spacing w:before="0" w:after="0"/>
        <w:ind w:left="200"/>
      </w:pPr>
      <w:r>
        <w:rPr>
          <w:rFonts w:ascii="Calibri" w:hAnsi="Calibri"/>
          <w:b w:val="0"/>
          <w:i w:val="0"/>
          <w:color w:val="888888"/>
          <w:sz w:val="18"/>
        </w:rPr>
        <w:t xml:space="preserve">Prepared by  </w:t>
      </w:r>
      <w:r>
        <w:rPr>
          <w:rFonts w:ascii="Calibri" w:hAnsi="Calibri"/>
          <w:b/>
          <w:i w:val="0"/>
          <w:color w:val="F0530A"/>
          <w:sz w:val="18"/>
        </w:rPr>
        <w:t>iteria.us</w:t>
      </w:r>
      <w:r>
        <w:rPr>
          <w:rFonts w:ascii="Calibri" w:hAnsi="Calibri"/>
          <w:b w:val="0"/>
          <w:i w:val="0"/>
          <w:color w:val="888888"/>
          <w:sz w:val="18"/>
        </w:rPr>
        <w:t xml:space="preserve">   ·   Cheyenne, WY   ·   brian.schell@iteria.us   ·   630-240-4072</w:t>
      </w:r>
    </w:p>
    <w:p>
      <w:r>
        <w:br w:type="page"/>
      </w:r>
    </w:p>
    <w:p>
      <w:pPr>
        <w:pBdr>
          <w:bottom w:val="single" w:sz="12" w:space="4" w:color="1A1A2E"/>
        </w:pBdr>
        <w:spacing w:before="0" w:after="240"/>
      </w:pPr>
      <w:r>
        <w:rPr>
          <w:rFonts w:ascii="Calibri" w:hAnsi="Calibri"/>
          <w:b/>
          <w:i w:val="0"/>
          <w:color w:val="1A1A2E"/>
          <w:sz w:val="36"/>
        </w:rPr>
        <w:t>Table of Contents</w:t>
      </w:r>
    </w:p>
    <w:p>
      <w:pPr>
        <w:spacing w:before="0" w:after="60"/>
      </w:pPr>
      <w:r>
        <w:rPr>
          <w:rFonts w:ascii="Calibri" w:hAnsi="Calibri"/>
          <w:b/>
          <w:i w:val="0"/>
          <w:color w:val="F0530A"/>
          <w:sz w:val="22"/>
        </w:rPr>
        <w:t xml:space="preserve">01  </w:t>
      </w:r>
      <w:r>
        <w:rPr>
          <w:rFonts w:ascii="Calibri" w:hAnsi="Calibri"/>
          <w:b w:val="0"/>
          <w:i w:val="0"/>
          <w:color w:val="1A1A2E"/>
          <w:sz w:val="22"/>
        </w:rPr>
        <w:t>Cover Letter / Transmittal</w:t>
      </w:r>
    </w:p>
    <w:p>
      <w:pPr>
        <w:spacing w:before="0" w:after="60"/>
      </w:pPr>
      <w:r>
        <w:rPr>
          <w:rFonts w:ascii="Calibri" w:hAnsi="Calibri"/>
          <w:b/>
          <w:i w:val="0"/>
          <w:color w:val="F0530A"/>
          <w:sz w:val="22"/>
        </w:rPr>
        <w:t xml:space="preserve">02  </w:t>
      </w:r>
      <w:r>
        <w:rPr>
          <w:rFonts w:ascii="Calibri" w:hAnsi="Calibri"/>
          <w:b w:val="0"/>
          <w:i w:val="0"/>
          <w:color w:val="1A1A2E"/>
          <w:sz w:val="22"/>
        </w:rPr>
        <w:t>Executive Narrative</w:t>
      </w:r>
    </w:p>
    <w:p>
      <w:pPr>
        <w:spacing w:before="0" w:after="60"/>
      </w:pPr>
      <w:r>
        <w:rPr>
          <w:rFonts w:ascii="Calibri" w:hAnsi="Calibri"/>
          <w:b/>
          <w:i w:val="0"/>
          <w:color w:val="F0530A"/>
          <w:sz w:val="22"/>
        </w:rPr>
        <w:t xml:space="preserve">03  </w:t>
      </w:r>
      <w:r>
        <w:rPr>
          <w:rFonts w:ascii="Calibri" w:hAnsi="Calibri"/>
          <w:b w:val="0"/>
          <w:i w:val="0"/>
          <w:color w:val="1A1A2E"/>
          <w:sz w:val="22"/>
        </w:rPr>
        <w:t>Software Solution</w:t>
      </w:r>
    </w:p>
    <w:p>
      <w:pPr>
        <w:spacing w:before="0" w:after="60"/>
      </w:pPr>
      <w:r>
        <w:rPr>
          <w:rFonts w:ascii="Calibri" w:hAnsi="Calibri"/>
          <w:b/>
          <w:i w:val="0"/>
          <w:color w:val="F0530A"/>
          <w:sz w:val="22"/>
        </w:rPr>
        <w:t xml:space="preserve">04  </w:t>
      </w:r>
      <w:r>
        <w:rPr>
          <w:rFonts w:ascii="Calibri" w:hAnsi="Calibri"/>
          <w:b w:val="0"/>
          <w:i w:val="0"/>
          <w:color w:val="1A1A2E"/>
          <w:sz w:val="22"/>
        </w:rPr>
        <w:t>Project Schedule</w:t>
      </w:r>
    </w:p>
    <w:p>
      <w:pPr>
        <w:spacing w:before="0" w:after="60"/>
      </w:pPr>
      <w:r>
        <w:rPr>
          <w:rFonts w:ascii="Calibri" w:hAnsi="Calibri"/>
          <w:b/>
          <w:i w:val="0"/>
          <w:color w:val="F0530A"/>
          <w:sz w:val="22"/>
        </w:rPr>
        <w:t xml:space="preserve">05  </w:t>
      </w:r>
      <w:r>
        <w:rPr>
          <w:rFonts w:ascii="Calibri" w:hAnsi="Calibri"/>
          <w:b w:val="0"/>
          <w:i w:val="0"/>
          <w:color w:val="1A1A2E"/>
          <w:sz w:val="22"/>
        </w:rPr>
        <w:t>Key Personnel</w:t>
      </w:r>
    </w:p>
    <w:p>
      <w:pPr>
        <w:spacing w:before="0" w:after="60"/>
      </w:pPr>
      <w:r>
        <w:rPr>
          <w:rFonts w:ascii="Calibri" w:hAnsi="Calibri"/>
          <w:b/>
          <w:i w:val="0"/>
          <w:color w:val="F0530A"/>
          <w:sz w:val="22"/>
        </w:rPr>
        <w:t xml:space="preserve">06  </w:t>
      </w:r>
      <w:r>
        <w:rPr>
          <w:rFonts w:ascii="Calibri" w:hAnsi="Calibri"/>
          <w:b w:val="0"/>
          <w:i w:val="0"/>
          <w:color w:val="1A1A2E"/>
          <w:sz w:val="22"/>
        </w:rPr>
        <w:t>Architecture &amp; Security</w:t>
      </w:r>
    </w:p>
    <w:p>
      <w:pPr>
        <w:spacing w:before="0" w:after="60"/>
      </w:pPr>
      <w:r>
        <w:rPr>
          <w:rFonts w:ascii="Calibri" w:hAnsi="Calibri"/>
          <w:b/>
          <w:i w:val="0"/>
          <w:color w:val="F0530A"/>
          <w:sz w:val="22"/>
        </w:rPr>
        <w:t xml:space="preserve">07  </w:t>
      </w:r>
      <w:r>
        <w:rPr>
          <w:rFonts w:ascii="Calibri" w:hAnsi="Calibri"/>
          <w:b w:val="0"/>
          <w:i w:val="0"/>
          <w:color w:val="1A1A2E"/>
          <w:sz w:val="22"/>
        </w:rPr>
        <w:t>Data Conversion</w:t>
      </w:r>
    </w:p>
    <w:p>
      <w:pPr>
        <w:spacing w:before="0" w:after="60"/>
      </w:pPr>
      <w:r>
        <w:rPr>
          <w:rFonts w:ascii="Calibri" w:hAnsi="Calibri"/>
          <w:b/>
          <w:i w:val="0"/>
          <w:color w:val="F0530A"/>
          <w:sz w:val="22"/>
        </w:rPr>
        <w:t xml:space="preserve">08  </w:t>
      </w:r>
      <w:r>
        <w:rPr>
          <w:rFonts w:ascii="Calibri" w:hAnsi="Calibri"/>
          <w:b w:val="0"/>
          <w:i w:val="0"/>
          <w:color w:val="1A1A2E"/>
          <w:sz w:val="22"/>
        </w:rPr>
        <w:t>Testing &amp; QA</w:t>
      </w:r>
    </w:p>
    <w:p>
      <w:pPr>
        <w:spacing w:before="0" w:after="60"/>
      </w:pPr>
      <w:r>
        <w:rPr>
          <w:rFonts w:ascii="Calibri" w:hAnsi="Calibri"/>
          <w:b/>
          <w:i w:val="0"/>
          <w:color w:val="F0530A"/>
          <w:sz w:val="22"/>
        </w:rPr>
        <w:t xml:space="preserve">09  </w:t>
      </w:r>
      <w:r>
        <w:rPr>
          <w:rFonts w:ascii="Calibri" w:hAnsi="Calibri"/>
          <w:b w:val="0"/>
          <w:i w:val="0"/>
          <w:color w:val="1A1A2E"/>
          <w:sz w:val="22"/>
        </w:rPr>
        <w:t>Training Plan</w:t>
      </w:r>
    </w:p>
    <w:p>
      <w:pPr>
        <w:spacing w:before="0" w:after="60"/>
      </w:pPr>
      <w:r>
        <w:rPr>
          <w:rFonts w:ascii="Calibri" w:hAnsi="Calibri"/>
          <w:b/>
          <w:i w:val="0"/>
          <w:color w:val="F0530A"/>
          <w:sz w:val="22"/>
        </w:rPr>
        <w:t xml:space="preserve">10  </w:t>
      </w:r>
      <w:r>
        <w:rPr>
          <w:rFonts w:ascii="Calibri" w:hAnsi="Calibri"/>
          <w:b w:val="0"/>
          <w:i w:val="0"/>
          <w:color w:val="1A1A2E"/>
          <w:sz w:val="22"/>
        </w:rPr>
        <w:t>Qualifications &amp; References</w:t>
      </w:r>
    </w:p>
    <w:p>
      <w:pPr>
        <w:spacing w:before="0" w:after="60"/>
      </w:pPr>
      <w:r>
        <w:rPr>
          <w:rFonts w:ascii="Calibri" w:hAnsi="Calibri"/>
          <w:b/>
          <w:i w:val="0"/>
          <w:color w:val="F0530A"/>
          <w:sz w:val="22"/>
        </w:rPr>
        <w:t xml:space="preserve">11  </w:t>
      </w:r>
      <w:r>
        <w:rPr>
          <w:rFonts w:ascii="Calibri" w:hAnsi="Calibri"/>
          <w:b w:val="0"/>
          <w:i w:val="0"/>
          <w:color w:val="1A1A2E"/>
          <w:sz w:val="22"/>
        </w:rPr>
        <w:t>Pricing Narrative</w:t>
      </w:r>
    </w:p>
    <w:p>
      <w:pPr>
        <w:spacing w:before="0" w:after="60"/>
      </w:pPr>
      <w:r>
        <w:rPr>
          <w:rFonts w:ascii="Calibri" w:hAnsi="Calibri"/>
          <w:b/>
          <w:i w:val="0"/>
          <w:color w:val="F0530A"/>
          <w:sz w:val="22"/>
        </w:rPr>
        <w:t xml:space="preserve">12  </w:t>
      </w:r>
      <w:r>
        <w:rPr>
          <w:rFonts w:ascii="Calibri" w:hAnsi="Calibri"/>
          <w:b w:val="0"/>
          <w:i w:val="0"/>
          <w:color w:val="1A1A2E"/>
          <w:sz w:val="22"/>
        </w:rPr>
        <w:t>RFP Q&amp;A</w:t>
      </w:r>
    </w:p>
    <w:p>
      <w:pPr>
        <w:spacing w:before="0" w:after="60"/>
      </w:pPr>
      <w:r>
        <w:rPr>
          <w:rFonts w:ascii="Calibri" w:hAnsi="Calibri"/>
          <w:b/>
          <w:i w:val="0"/>
          <w:color w:val="F0530A"/>
          <w:sz w:val="22"/>
        </w:rPr>
        <w:t xml:space="preserve">13  </w:t>
      </w:r>
      <w:r>
        <w:rPr>
          <w:rFonts w:ascii="Calibri" w:hAnsi="Calibri"/>
          <w:b w:val="0"/>
          <w:i w:val="0"/>
          <w:color w:val="1A1A2E"/>
          <w:sz w:val="22"/>
        </w:rPr>
        <w:t>Exceptions</w:t>
      </w:r>
    </w:p>
    <w:p>
      <w:pPr>
        <w:spacing w:before="0" w:after="60"/>
      </w:pPr>
      <w:r>
        <w:rPr>
          <w:rFonts w:ascii="Calibri" w:hAnsi="Calibri"/>
          <w:b/>
          <w:i w:val="0"/>
          <w:color w:val="F0530A"/>
          <w:sz w:val="22"/>
        </w:rPr>
        <w:t xml:space="preserve">14  </w:t>
      </w:r>
      <w:r>
        <w:rPr>
          <w:rFonts w:ascii="Calibri" w:hAnsi="Calibri"/>
          <w:b w:val="0"/>
          <w:i w:val="0"/>
          <w:color w:val="1A1A2E"/>
          <w:sz w:val="22"/>
        </w:rPr>
        <w:t>Contracts &amp; SOW</w:t>
      </w:r>
    </w:p>
    <w:p>
      <w:pPr>
        <w:spacing w:before="0" w:after="60"/>
      </w:pPr>
      <w:r>
        <w:rPr>
          <w:rFonts w:ascii="Calibri" w:hAnsi="Calibri"/>
          <w:b/>
          <w:i w:val="0"/>
          <w:color w:val="F0530A"/>
          <w:sz w:val="22"/>
        </w:rPr>
        <w:t xml:space="preserve">15  </w:t>
      </w:r>
      <w:r>
        <w:rPr>
          <w:rFonts w:ascii="Calibri" w:hAnsi="Calibri"/>
          <w:b w:val="0"/>
          <w:i w:val="0"/>
          <w:color w:val="1A1A2E"/>
          <w:sz w:val="22"/>
        </w:rPr>
        <w:t>IT Requirements Matrix</w:t>
      </w:r>
    </w:p>
    <w:p>
      <w:pPr>
        <w:spacing w:before="0" w:after="60"/>
      </w:pPr>
      <w:r>
        <w:rPr>
          <w:rFonts w:ascii="Calibri" w:hAnsi="Calibri"/>
          <w:b/>
          <w:i w:val="0"/>
          <w:color w:val="F0530A"/>
          <w:sz w:val="22"/>
        </w:rPr>
        <w:t xml:space="preserve">16  </w:t>
      </w:r>
      <w:r>
        <w:rPr>
          <w:rFonts w:ascii="Calibri" w:hAnsi="Calibri"/>
          <w:b w:val="0"/>
          <w:i w:val="0"/>
          <w:color w:val="1A1A2E"/>
          <w:sz w:val="22"/>
        </w:rPr>
        <w:t>Fixed Tables</w:t>
      </w:r>
    </w:p>
    <w:p>
      <w:pPr>
        <w:spacing w:before="0" w:after="60"/>
      </w:pPr>
      <w:r>
        <w:rPr>
          <w:rFonts w:ascii="Calibri" w:hAnsi="Calibri"/>
          <w:b/>
          <w:i w:val="0"/>
          <w:color w:val="F0530A"/>
          <w:sz w:val="22"/>
        </w:rPr>
        <w:t xml:space="preserve">17  </w:t>
      </w:r>
      <w:r>
        <w:rPr>
          <w:rFonts w:ascii="Calibri" w:hAnsi="Calibri"/>
          <w:b w:val="0"/>
          <w:i w:val="0"/>
          <w:color w:val="1A1A2E"/>
          <w:sz w:val="22"/>
        </w:rPr>
        <w:t>Vendor Questionnaire</w:t>
      </w:r>
    </w:p>
    <w:p>
      <w:pPr>
        <w:spacing w:before="0" w:after="60"/>
      </w:pPr>
      <w:r>
        <w:rPr>
          <w:rFonts w:ascii="Calibri" w:hAnsi="Calibri"/>
          <w:b/>
          <w:i w:val="0"/>
          <w:color w:val="F0530A"/>
          <w:sz w:val="22"/>
        </w:rPr>
        <w:t xml:space="preserve">18  </w:t>
      </w:r>
      <w:r>
        <w:rPr>
          <w:rFonts w:ascii="Calibri" w:hAnsi="Calibri"/>
          <w:b w:val="0"/>
          <w:i w:val="0"/>
          <w:color w:val="1A1A2E"/>
          <w:sz w:val="22"/>
        </w:rPr>
        <w:t>Cost Proposal</w:t>
      </w:r>
    </w:p>
    <w:p>
      <w:r>
        <w:br w:type="page"/>
      </w:r>
    </w:p>
    <w:p>
      <w:pPr>
        <w:spacing w:before="0" w:after="0"/>
      </w:pPr>
      <w:r>
        <w:rPr>
          <w:rFonts w:ascii="Calibri" w:hAnsi="Calibri"/>
          <w:b/>
          <w:i w:val="0"/>
          <w:color w:val="F0530A"/>
          <w:sz w:val="80"/>
        </w:rPr>
        <w:t>01</w:t>
      </w:r>
    </w:p>
    <w:p>
      <w:pPr>
        <w:pBdr>
          <w:bottom w:val="single" w:sz="14" w:space="4" w:color="F0530A"/>
        </w:pBdr>
        <w:spacing w:before="0" w:after="80"/>
      </w:pPr>
      <w:r>
        <w:rPr>
          <w:rFonts w:ascii="Calibri" w:hAnsi="Calibri"/>
          <w:b/>
          <w:i w:val="0"/>
          <w:color w:val="1A1A2E"/>
          <w:sz w:val="40"/>
        </w:rPr>
        <w:t>Cover Letter / Transmittal</w:t>
      </w:r>
    </w:p>
    <w:p>
      <w:pPr>
        <w:spacing w:before="0" w:after="120"/>
      </w:pPr>
    </w:p>
    <w:p>
      <w:pPr>
        <w:spacing w:before="0" w:after="100" w:line="276" w:lineRule="auto"/>
        <w:jc w:val="left"/>
      </w:pPr>
      <w:r>
        <w:rPr>
          <w:rFonts w:ascii="Calibri" w:hAnsi="Calibri"/>
          <w:b/>
          <w:i w:val="0"/>
          <w:color w:val="1A1A2E"/>
          <w:sz w:val="22"/>
        </w:rPr>
        <w:t>iteria.us</w:t>
      </w:r>
      <w:r>
        <w:rPr>
          <w:rFonts w:ascii="Calibri" w:hAnsi="Calibri"/>
          <w:b w:val="0"/>
          <w:i w:val="0"/>
          <w:color w:val="1A1A2E"/>
          <w:sz w:val="22"/>
        </w:rPr>
        <w:t xml:space="preserve"> 1712 Pioneer Ave, Suite 1983 Cheyenne, WY 82001 630-240-4072 | brian.schell@iteria.us</w:t>
      </w:r>
    </w:p>
    <w:p>
      <w:pPr>
        <w:spacing w:before="0" w:after="100" w:line="276" w:lineRule="auto"/>
        <w:jc w:val="left"/>
      </w:pPr>
      <w:r>
        <w:rPr>
          <w:rFonts w:ascii="Calibri" w:hAnsi="Calibri"/>
          <w:b w:val="0"/>
          <w:i w:val="0"/>
          <w:color w:val="1A1A2E"/>
          <w:sz w:val="22"/>
        </w:rPr>
        <w:t>March 1, 2026</w:t>
      </w:r>
    </w:p>
    <w:p>
      <w:pPr>
        <w:spacing w:before="0" w:after="100" w:line="276" w:lineRule="auto"/>
        <w:jc w:val="left"/>
      </w:pPr>
      <w:r>
        <w:rPr>
          <w:rFonts w:ascii="Calibri" w:hAnsi="Calibri"/>
          <w:b w:val="0"/>
          <w:i w:val="0"/>
          <w:color w:val="1A1A2E"/>
          <w:sz w:val="22"/>
        </w:rPr>
        <w:t>City of St. Petersburg, Florida Procurement and Supply Management Re: RFP-26-078 — Enterprise Resource Planning (ERP) Software Modernization</w:t>
      </w:r>
    </w:p>
    <w:p>
      <w:pPr>
        <w:spacing w:before="0" w:after="100" w:line="276" w:lineRule="auto"/>
        <w:jc w:val="left"/>
      </w:pPr>
      <w:r>
        <w:rPr>
          <w:rFonts w:ascii="Calibri" w:hAnsi="Calibri"/>
          <w:b w:val="0"/>
          <w:i w:val="0"/>
          <w:color w:val="1A1A2E"/>
          <w:sz w:val="22"/>
        </w:rPr>
        <w:t>Dear Evaluation Committee:</w:t>
      </w:r>
    </w:p>
    <w:p>
      <w:pPr>
        <w:spacing w:before="0" w:after="100" w:line="276" w:lineRule="auto"/>
        <w:jc w:val="left"/>
      </w:pPr>
      <w:r>
        <w:rPr>
          <w:rFonts w:ascii="Calibri" w:hAnsi="Calibri"/>
          <w:b w:val="0"/>
          <w:i w:val="0"/>
          <w:color w:val="1A1A2E"/>
          <w:sz w:val="22"/>
        </w:rPr>
        <w:t>iteria.us is pleased to submit this response to RFP-26-078, Enterprise Resource Planning (ERP) Software Modernization, issued by the City of St. Petersburg, Florida. This response addresses all requirements set forth in the base solicitation and the following addendums: Appendix A (Statement of Work), Attachment 1 (Pension Management Requirements), Attachment 2 (Security Questionnaire), and Attachment 3 (Submittal Response Form).</w:t>
      </w:r>
    </w:p>
    <w:p>
      <w:pPr>
        <w:spacing w:before="0" w:after="100" w:line="276" w:lineRule="auto"/>
        <w:jc w:val="left"/>
      </w:pPr>
      <w:r>
        <w:rPr>
          <w:rFonts w:ascii="Calibri" w:hAnsi="Calibri"/>
          <w:b w:val="0"/>
          <w:i w:val="0"/>
          <w:color w:val="1A1A2E"/>
          <w:sz w:val="22"/>
        </w:rPr>
        <w:t>We propose Oracle Fusion Cloud as the City's unified enterprise platform, encompassing Oracle Fusion Cloud ERP Financials, Oracle Fusion Cloud Human Capital Management (HCM), Oracle Fusion Payroll, Oracle Fusion Procurement, Oracle Integration Cloud (OIC), and Oracle Enterprise Performance Management (EPM). Our implementation approach is built on direct, face-to-face engagement with City staff at every phase. We do not conduct requirements discovery through spreadsheet questionnaires. We work alongside your team in structured working sessions to understand your processes before any configuration begins. For Oracle licensing and software procurement, iteria partners with Mythics LLC, a certified Oracle Fusion software reseller. Oracle Corporation is the developer of the proposed platform. Our proposed implementation timeline spans 12 to 24 months across multiple phases, with integration to the City's existing UKG Time &amp; Attendance system addressed as a defined workstream — not an afterthought.</w:t>
      </w:r>
    </w:p>
    <w:p>
      <w:pPr>
        <w:spacing w:before="0" w:after="100" w:line="276" w:lineRule="auto"/>
        <w:jc w:val="left"/>
      </w:pPr>
      <w:r>
        <w:rPr>
          <w:rFonts w:ascii="Calibri" w:hAnsi="Calibri"/>
          <w:b w:val="0"/>
          <w:i w:val="0"/>
          <w:color w:val="1A1A2E"/>
          <w:sz w:val="22"/>
        </w:rPr>
        <w:t>iteria brings more than 30 years of combined Oracle experience to this engagement. Our most recent government go-live — Fond du Lac County, Wisconsin — completed in December 2024, where we implemented Oracle Fusion Cloud ERP across county financial operations. That experience informs our understanding of fund accounting, grant tracking, public procurement constraints, and the rigorous change management that government implementations require. No information contained in this response is confidential or proprietary unless specifically marked as such.</w:t>
      </w:r>
    </w:p>
    <w:p>
      <w:pPr>
        <w:spacing w:before="0" w:after="100" w:line="276" w:lineRule="auto"/>
        <w:jc w:val="left"/>
      </w:pPr>
      <w:r>
        <w:rPr>
          <w:rFonts w:ascii="Calibri" w:hAnsi="Calibri"/>
          <w:b w:val="0"/>
          <w:i w:val="0"/>
          <w:color w:val="1A1A2E"/>
          <w:sz w:val="22"/>
        </w:rPr>
        <w:t>We are committed to the City of St. Petersburg's success and welcome the opportunity to discuss this response in greater detail at the evaluation committee's convenience.</w:t>
      </w:r>
    </w:p>
    <w:p>
      <w:pPr>
        <w:spacing w:before="0" w:after="100" w:line="276" w:lineRule="auto"/>
        <w:jc w:val="left"/>
      </w:pPr>
      <w:r>
        <w:rPr>
          <w:rFonts w:ascii="Calibri" w:hAnsi="Calibri"/>
          <w:b w:val="0"/>
          <w:i w:val="0"/>
          <w:color w:val="1A1A2E"/>
          <w:sz w:val="22"/>
        </w:rPr>
        <w:t>Respectfully submitted,</w:t>
      </w:r>
    </w:p>
    <w:p>
      <w:pPr>
        <w:spacing w:before="0" w:after="100" w:line="276" w:lineRule="auto"/>
        <w:jc w:val="left"/>
      </w:pPr>
      <w:r>
        <w:rPr>
          <w:rFonts w:ascii="Calibri" w:hAnsi="Calibri"/>
          <w:b/>
          <w:i w:val="0"/>
          <w:color w:val="1A1A2E"/>
          <w:sz w:val="22"/>
        </w:rPr>
        <w:t>Brian Schell</w:t>
      </w:r>
      <w:r>
        <w:rPr>
          <w:rFonts w:ascii="Calibri" w:hAnsi="Calibri"/>
          <w:b w:val="0"/>
          <w:i w:val="0"/>
          <w:color w:val="1A1A2E"/>
          <w:sz w:val="22"/>
        </w:rPr>
        <w:t xml:space="preserve"> President &amp; CEO iteria.us 1712 Pioneer Ave, Suite 1983 | Cheyenne, WY 82001 630-240-4072 | brian.schell@iteria.us</w:t>
      </w:r>
    </w:p>
    <w:p>
      <w:r>
        <w:br w:type="page"/>
      </w:r>
    </w:p>
    <w:p>
      <w:pPr>
        <w:spacing w:before="0" w:after="0"/>
      </w:pPr>
      <w:r>
        <w:rPr>
          <w:rFonts w:ascii="Calibri" w:hAnsi="Calibri"/>
          <w:b/>
          <w:i w:val="0"/>
          <w:color w:val="F0530A"/>
          <w:sz w:val="80"/>
        </w:rPr>
        <w:t>02</w:t>
      </w:r>
    </w:p>
    <w:p>
      <w:pPr>
        <w:pBdr>
          <w:bottom w:val="single" w:sz="14" w:space="4" w:color="F0530A"/>
        </w:pBdr>
        <w:spacing w:before="0" w:after="80"/>
      </w:pPr>
      <w:r>
        <w:rPr>
          <w:rFonts w:ascii="Calibri" w:hAnsi="Calibri"/>
          <w:b/>
          <w:i w:val="0"/>
          <w:color w:val="1A1A2E"/>
          <w:sz w:val="40"/>
        </w:rPr>
        <w:t>Executive Narrative</w:t>
      </w:r>
    </w:p>
    <w:p>
      <w:pPr>
        <w:spacing w:before="0" w:after="120"/>
      </w:pPr>
    </w:p>
    <w:p>
      <w:pPr>
        <w:pBdr>
          <w:bottom w:val="single" w:sz="8" w:space="4" w:color="F0530A"/>
        </w:pBdr>
        <w:spacing w:before="180" w:after="80"/>
      </w:pPr>
      <w:r>
        <w:rPr>
          <w:rFonts w:ascii="Calibri" w:hAnsi="Calibri"/>
          <w:b/>
          <w:i w:val="0"/>
          <w:color w:val="1A1A2E"/>
          <w:sz w:val="28"/>
        </w:rPr>
        <w:t>Cover Letter</w:t>
      </w:r>
    </w:p>
    <w:p>
      <w:pPr>
        <w:spacing w:before="0" w:after="100" w:line="276" w:lineRule="auto"/>
        <w:jc w:val="left"/>
      </w:pPr>
      <w:r>
        <w:rPr>
          <w:rFonts w:ascii="Calibri" w:hAnsi="Calibri"/>
          <w:b w:val="0"/>
          <w:i w:val="0"/>
          <w:color w:val="1A1A2E"/>
          <w:sz w:val="22"/>
        </w:rPr>
        <w:t>March 1, 2026</w:t>
      </w:r>
    </w:p>
    <w:p>
      <w:pPr>
        <w:spacing w:before="0" w:after="100" w:line="276" w:lineRule="auto"/>
        <w:jc w:val="left"/>
      </w:pPr>
      <w:r>
        <w:rPr>
          <w:rFonts w:ascii="Calibri" w:hAnsi="Calibri"/>
          <w:b w:val="0"/>
          <w:i w:val="0"/>
          <w:color w:val="1A1A2E"/>
          <w:sz w:val="22"/>
        </w:rPr>
        <w:t>Steven Poceous, Purchasing Manager Procurement and Supply Management City of St. Petersburg, Florida P.O. Box 2842 St. Petersburg, FL 33731</w:t>
      </w:r>
    </w:p>
    <w:p>
      <w:pPr>
        <w:spacing w:before="0" w:after="100" w:line="276" w:lineRule="auto"/>
        <w:jc w:val="left"/>
      </w:pPr>
      <w:r>
        <w:rPr>
          <w:rFonts w:ascii="Calibri" w:hAnsi="Calibri"/>
          <w:b/>
          <w:i w:val="0"/>
          <w:color w:val="1A1A2E"/>
          <w:sz w:val="22"/>
        </w:rPr>
        <w:t>Re: RFP-26-078 — Enterprise Resource Planning (ERP) Software Modernization</w:t>
      </w:r>
    </w:p>
    <w:p>
      <w:pPr>
        <w:spacing w:before="0" w:after="100" w:line="276" w:lineRule="auto"/>
        <w:jc w:val="left"/>
      </w:pPr>
      <w:r>
        <w:rPr>
          <w:rFonts w:ascii="Calibri" w:hAnsi="Calibri"/>
          <w:b w:val="0"/>
          <w:i w:val="0"/>
          <w:color w:val="1A1A2E"/>
          <w:sz w:val="22"/>
        </w:rPr>
        <w:t>Dear Mr. Poceous and Members of the Evaluation Committee:</w:t>
      </w:r>
    </w:p>
    <w:p>
      <w:pPr>
        <w:spacing w:before="0" w:after="100" w:line="276" w:lineRule="auto"/>
        <w:jc w:val="left"/>
      </w:pPr>
      <w:r>
        <w:rPr>
          <w:rFonts w:ascii="Calibri" w:hAnsi="Calibri"/>
          <w:b w:val="0"/>
          <w:i w:val="0"/>
          <w:color w:val="1A1A2E"/>
          <w:sz w:val="22"/>
        </w:rPr>
        <w:t>iteria.us, an S Corporation headquartered at 1712 Pioneer Ave Suite 1983, Cheyenne, WY 82001, is pleased to submit this response to RFP-26-078, Enterprise Resource Planning (ERP) Software Modernization, issued by the City of St. Petersburg, Florida — Procurement and Supply Management. We have reviewed the solicitation in full, including Appendix A (Statement of Work), Attachment 1 (Pension Management Requirements), Attachment 2 (Security Questionnaire), and Attachment 3 (Submittal Response Form), and we acknowledge all addendums issued to date. This response conforms to the requirements set forth therein.</w:t>
      </w:r>
    </w:p>
    <w:p>
      <w:pPr>
        <w:spacing w:before="0" w:after="100" w:line="276" w:lineRule="auto"/>
        <w:jc w:val="left"/>
      </w:pPr>
      <w:r>
        <w:rPr>
          <w:rFonts w:ascii="Calibri" w:hAnsi="Calibri"/>
          <w:b w:val="0"/>
          <w:i w:val="0"/>
          <w:color w:val="1A1A2E"/>
          <w:sz w:val="22"/>
        </w:rPr>
        <w:t>iteria proposes Oracle Fusion Cloud as the replacement platform for the City's Oracle E-Business Suite environment, with Oracle Corporation named as the developer of the proposed software and Mythics LLC serving as the Oracle Fusion software reseller. Our partnership with Mythics provides the City with a single point of accountability across licensing and implementation — no handoffs, no finger-pointing between vendors when issues arise.</w:t>
      </w:r>
    </w:p>
    <w:p>
      <w:pPr>
        <w:spacing w:before="0" w:after="100" w:line="276" w:lineRule="auto"/>
        <w:jc w:val="left"/>
      </w:pPr>
      <w:r>
        <w:rPr>
          <w:rFonts w:ascii="Calibri" w:hAnsi="Calibri"/>
          <w:b w:val="0"/>
          <w:i w:val="0"/>
          <w:color w:val="1A1A2E"/>
          <w:sz w:val="22"/>
        </w:rPr>
        <w:t>This response contains no confidential or proprietary information unless otherwise directed by the City's solicitation instructions.</w:t>
      </w:r>
    </w:p>
    <w:p>
      <w:pPr>
        <w:spacing w:before="0" w:after="100" w:line="276" w:lineRule="auto"/>
        <w:jc w:val="left"/>
      </w:pPr>
      <w:r>
        <w:rPr>
          <w:rFonts w:ascii="Calibri" w:hAnsi="Calibri"/>
          <w:b w:val="0"/>
          <w:i w:val="0"/>
          <w:color w:val="1A1A2E"/>
          <w:sz w:val="22"/>
        </w:rPr>
        <w:t>We welcome the opportunity to demonstrate why iteria is the right partner for this engagement, and we look forward to the evaluation process.</w:t>
      </w:r>
    </w:p>
    <w:p>
      <w:pPr>
        <w:spacing w:before="0" w:after="100" w:line="276" w:lineRule="auto"/>
        <w:jc w:val="left"/>
      </w:pPr>
      <w:r>
        <w:rPr>
          <w:rFonts w:ascii="Calibri" w:hAnsi="Calibri"/>
          <w:b w:val="0"/>
          <w:i w:val="0"/>
          <w:color w:val="1A1A2E"/>
          <w:sz w:val="22"/>
        </w:rPr>
        <w:t>Respectfully submitted,</w:t>
      </w:r>
    </w:p>
    <w:p>
      <w:pPr>
        <w:spacing w:before="0" w:after="100" w:line="276" w:lineRule="auto"/>
        <w:jc w:val="left"/>
      </w:pPr>
      <w:r>
        <w:rPr>
          <w:rFonts w:ascii="Calibri" w:hAnsi="Calibri"/>
          <w:b/>
          <w:i w:val="0"/>
          <w:color w:val="1A1A2E"/>
          <w:sz w:val="22"/>
        </w:rPr>
        <w:t>Brian Schell</w:t>
      </w:r>
      <w:r>
        <w:rPr>
          <w:rFonts w:ascii="Calibri" w:hAnsi="Calibri"/>
          <w:b w:val="0"/>
          <w:i w:val="0"/>
          <w:color w:val="1A1A2E"/>
          <w:sz w:val="22"/>
        </w:rPr>
        <w:t xml:space="preserve"> President &amp; CEO iteria.us brian.schell@iteria.us 630-240-4072</w:t>
      </w:r>
    </w:p>
    <w:p>
      <w:pPr>
        <w:pBdr>
          <w:bottom w:val="single" w:sz="8" w:space="4" w:color="F0530A"/>
        </w:pBdr>
        <w:spacing w:before="180" w:after="80"/>
      </w:pPr>
      <w:r>
        <w:rPr>
          <w:rFonts w:ascii="Calibri" w:hAnsi="Calibri"/>
          <w:b/>
          <w:i w:val="0"/>
          <w:color w:val="1A1A2E"/>
          <w:sz w:val="28"/>
        </w:rPr>
        <w:t>Proposed Software Solution</w:t>
      </w:r>
    </w:p>
    <w:p>
      <w:pPr>
        <w:spacing w:before="0" w:after="100" w:line="276" w:lineRule="auto"/>
        <w:jc w:val="left"/>
      </w:pPr>
      <w:r>
        <w:rPr>
          <w:rFonts w:ascii="Calibri" w:hAnsi="Calibri"/>
          <w:b w:val="0"/>
          <w:i w:val="0"/>
          <w:color w:val="1A1A2E"/>
          <w:sz w:val="22"/>
        </w:rPr>
        <w:t>iteria proposes Oracle Fusion Cloud as the City of St. Petersburg's replacement ERP platform. Oracle Fusion Cloud is a single, natively integrated system — not an assembled stack of acquired products connected by middleware. For the City, that distinction matters. Human Capital Management (HCM) and Payroll operate on the same data model, the same employee record, and the same security framework. A position change entered in HCM flows directly to Payroll without a file transfer, a manual reconciliation step, or a third-party integration layer between them. That is what "Oracle-native" means in practice: the system is coherent by design, not assembled after the fact.</w:t>
      </w:r>
    </w:p>
    <w:p>
      <w:pPr>
        <w:spacing w:before="0" w:after="100" w:line="276" w:lineRule="auto"/>
        <w:jc w:val="left"/>
      </w:pPr>
      <w:r>
        <w:rPr>
          <w:rFonts w:ascii="Calibri" w:hAnsi="Calibri"/>
          <w:b w:val="0"/>
          <w:i w:val="0"/>
          <w:color w:val="1A1A2E"/>
          <w:sz w:val="22"/>
        </w:rPr>
        <w:t>The modules proposed for this engagement are Oracle Fusion Cloud HCM and Oracle Fusion Payroll, supported by Oracle Integration Cloud (OIC) for third-party connectivity, including the City's UKG Time &amp; Attendance platform. Each module is configured within standard Oracle functionality — not modified, not extended outside Oracle's supported framework — which matters for long-term supportability and cost of ownership.</w:t>
      </w:r>
    </w:p>
    <w:p>
      <w:pPr>
        <w:spacing w:before="0" w:after="100" w:line="276" w:lineRule="auto"/>
        <w:jc w:val="left"/>
      </w:pPr>
      <w:r>
        <w:rPr>
          <w:rFonts w:ascii="Calibri" w:hAnsi="Calibri"/>
          <w:b w:val="0"/>
          <w:i w:val="0"/>
          <w:color w:val="1A1A2E"/>
          <w:sz w:val="22"/>
        </w:rPr>
        <w:t>Oracle releases quarterly updates — designated by year and letter (e.g., 25A, 25B) [VERIFY RELEASE VERSION] — to all Fusion Cloud customers simultaneously. The City receives new functionality, security patches, and compliance updates as part of the standard subscription. There is no version lag, no expensive upgrade project, and no risk of running on an unsupported release. After 20-plus years on Oracle EBS, the City knows exactly what deferred upgrades cost. Oracle Fusion Cloud eliminates that cycle entirely.</w:t>
      </w:r>
    </w:p>
    <w:p>
      <w:pPr>
        <w:pBdr>
          <w:bottom w:val="single" w:sz="8" w:space="4" w:color="F0530A"/>
        </w:pBdr>
        <w:spacing w:before="180" w:after="80"/>
      </w:pPr>
      <w:r>
        <w:rPr>
          <w:rFonts w:ascii="Calibri" w:hAnsi="Calibri"/>
          <w:b/>
          <w:i w:val="0"/>
          <w:color w:val="1A1A2E"/>
          <w:sz w:val="28"/>
        </w:rPr>
        <w:t>Understanding City of St. Petersburg's Business</w:t>
      </w:r>
    </w:p>
    <w:p>
      <w:pPr>
        <w:spacing w:before="0" w:after="100" w:line="276" w:lineRule="auto"/>
        <w:jc w:val="left"/>
      </w:pPr>
      <w:r>
        <w:rPr>
          <w:rFonts w:ascii="Calibri" w:hAnsi="Calibri"/>
          <w:b w:val="0"/>
          <w:i w:val="0"/>
          <w:color w:val="1A1A2E"/>
          <w:sz w:val="22"/>
        </w:rPr>
        <w:t>The City of St. Petersburg has operated on Oracle E-Business Suite since 2003 — more than two decades on a platform that the City has configured, extended, and worked around to meet the demands of a complex municipal enterprise. That history is not a liability. It means the City's staff understand Oracle deeply, and it means the institutional knowledge embedded in that system is real and must be preserved through migration. iteria has completed five-plus EBS-to-Fusion migrations. We understand the difference between a client that is new to Oracle and a client that has lived in it for 20 years.</w:t>
      </w:r>
    </w:p>
    <w:p>
      <w:pPr>
        <w:spacing w:before="0" w:after="100" w:line="276" w:lineRule="auto"/>
        <w:jc w:val="left"/>
      </w:pPr>
      <w:r>
        <w:rPr>
          <w:rFonts w:ascii="Calibri" w:hAnsi="Calibri"/>
          <w:b w:val="0"/>
          <w:i w:val="0"/>
          <w:color w:val="1A1A2E"/>
          <w:sz w:val="22"/>
        </w:rPr>
        <w:t>The City operates with over 3,200 full-time equivalent employees, more than 600 contingent workers, and approximately 2,700 retirees drawing pension benefits. That last figure is not an afterthought — pension payroll, including Deferred Retirement Option Plan (DROP) and Partial Retirement Option Plan (PROP) participants, is a live production requirement that must be addressed with the same rigor as active employee payroll. We have reviewed Attachment 1 (Pension Management Requirements) and we address pension management directly in our scope. [CLIENT-SPECIFIC — VERIFY that iteria's pension management approach — native Oracle configuration or named third-party TPA — has been confirmed and documented before final submission.]</w:t>
      </w:r>
    </w:p>
    <w:p>
      <w:pPr>
        <w:spacing w:before="0" w:after="100" w:line="276" w:lineRule="auto"/>
        <w:jc w:val="left"/>
      </w:pPr>
      <w:r>
        <w:rPr>
          <w:rFonts w:ascii="Calibri" w:hAnsi="Calibri"/>
          <w:b w:val="0"/>
          <w:i w:val="0"/>
          <w:color w:val="1A1A2E"/>
          <w:sz w:val="22"/>
        </w:rPr>
        <w:t>The City is also a $1B-plus municipal enterprise with public procurement obligations, fund accounting requirements, and a workforce spread across enterprise functions — all of which create downstream HCM and Payroll complexity that a smaller-scope implementation would not surface. Time and attendance feeds from UKG are a named integration requirement, and the scale of the City's contingent and retiree populations means that payroll processing accuracy, auditability, and exception handling are not edge cases — they are core design requirements. We approach this engagement with that understanding from day one.</w:t>
      </w:r>
    </w:p>
    <w:p>
      <w:pPr>
        <w:pBdr>
          <w:bottom w:val="single" w:sz="8" w:space="4" w:color="F0530A"/>
        </w:pBdr>
        <w:spacing w:before="180" w:after="80"/>
      </w:pPr>
      <w:r>
        <w:rPr>
          <w:rFonts w:ascii="Calibri" w:hAnsi="Calibri"/>
          <w:b/>
          <w:i w:val="0"/>
          <w:color w:val="1A1A2E"/>
          <w:sz w:val="28"/>
        </w:rPr>
        <w:t>Implementation Approach</w:t>
      </w:r>
    </w:p>
    <w:p>
      <w:pPr>
        <w:spacing w:before="0" w:after="100" w:line="276" w:lineRule="auto"/>
        <w:jc w:val="left"/>
      </w:pPr>
      <w:r>
        <w:rPr>
          <w:rFonts w:ascii="Calibri" w:hAnsi="Calibri"/>
          <w:b w:val="0"/>
          <w:i w:val="0"/>
          <w:color w:val="1A1A2E"/>
          <w:sz w:val="22"/>
        </w:rPr>
        <w:t>iteria's implementation methodology follows a defined sequence that we do not compress or reorder to fit a timeline. We begin with Boundary Confirmation — a structured engagement with City leadership to define what is in scope, what is out, and where the seams are between Oracle Fusion and third-party systems like UKG. Getting that boundary wrong at the start costs multiples to fix later.</w:t>
      </w:r>
    </w:p>
    <w:p>
      <w:pPr>
        <w:spacing w:before="0" w:after="100" w:line="276" w:lineRule="auto"/>
        <w:jc w:val="left"/>
      </w:pPr>
      <w:r>
        <w:rPr>
          <w:rFonts w:ascii="Calibri" w:hAnsi="Calibri"/>
          <w:b w:val="0"/>
          <w:i w:val="0"/>
          <w:color w:val="1A1A2E"/>
          <w:sz w:val="22"/>
        </w:rPr>
        <w:t>Requirements sessions follow. iteria conducts all requirements gathering face-to-face. We do not send spreadsheet questionnaires and wait for responses. We sit in the room with department leads, ask follow-up questions in real time, and document decisions on the spot. That approach surfaces the exceptions — the pension edge cases, the bargaining unit pay rules, the contingent worker classifications — that a template-driven process misses entirely.</w:t>
      </w:r>
    </w:p>
    <w:p>
      <w:pPr>
        <w:spacing w:before="0" w:after="100" w:line="276" w:lineRule="auto"/>
        <w:jc w:val="left"/>
      </w:pPr>
      <w:r>
        <w:rPr>
          <w:rFonts w:ascii="Calibri" w:hAnsi="Calibri"/>
          <w:b w:val="0"/>
          <w:i w:val="0"/>
          <w:color w:val="1A1A2E"/>
          <w:sz w:val="22"/>
        </w:rPr>
        <w:t>Business Process Re-engineering precedes solution development. Oracle Fusion Cloud is not Oracle EBS. Processes that were built around EBS constraints can frequently be simplified in Fusion, and we identify those opportunities during requirements rather than after go-live. Solution Development then configures the system within standard Oracle functionality, following the documented requirements. Nothing is built outside Oracle's supported framework.</w:t>
      </w:r>
    </w:p>
    <w:p>
      <w:pPr>
        <w:spacing w:before="0" w:after="100" w:line="276" w:lineRule="auto"/>
        <w:jc w:val="left"/>
      </w:pPr>
      <w:r>
        <w:rPr>
          <w:rFonts w:ascii="Calibri" w:hAnsi="Calibri"/>
          <w:b w:val="0"/>
          <w:i w:val="0"/>
          <w:color w:val="1A1A2E"/>
          <w:sz w:val="22"/>
        </w:rPr>
        <w:t>Conference Room Pilot (CRP) brings City staff into a configured environment to validate that the system behaves as designed against real business scenarios. Issues found in CRP cost far less to resolve than issues found in System Integration Testing (SIT) or User Acceptance Testing (UAT). We run CRP with that urgency. SIT validates end-to-end process flows across Oracle and integrated systems — including UKG time data flowing into Payroll. UAT is City-owned, City-executed, and iteria-supported.</w:t>
      </w:r>
    </w:p>
    <w:p>
      <w:pPr>
        <w:spacing w:before="0" w:after="100" w:line="276" w:lineRule="auto"/>
        <w:jc w:val="left"/>
      </w:pPr>
      <w:r>
        <w:rPr>
          <w:rFonts w:ascii="Calibri" w:hAnsi="Calibri"/>
          <w:b w:val="0"/>
          <w:i w:val="0"/>
          <w:color w:val="1A1A2E"/>
          <w:sz w:val="22"/>
        </w:rPr>
        <w:t>Train-the-Trainer is iteria's standard training model. We do not deliver end-user training ourselves and leave the City dependent on us for every future session. We build the training materials, coach the City's designated trainers, and certify them to deliver training to their own staff. That model scales. It also means the institutional knowledge stays inside the City after go-live.</w:t>
      </w:r>
    </w:p>
    <w:p>
      <w:pPr>
        <w:spacing w:before="0" w:after="100" w:line="276" w:lineRule="auto"/>
        <w:jc w:val="left"/>
      </w:pPr>
      <w:r>
        <w:rPr>
          <w:rFonts w:ascii="Calibri" w:hAnsi="Calibri"/>
          <w:b w:val="0"/>
          <w:i w:val="0"/>
          <w:color w:val="1A1A2E"/>
          <w:sz w:val="22"/>
        </w:rPr>
        <w:t>Go-Live Cutover follows a rehearsed cutover plan — not a plan written the week before. We include four weeks of post-implementation support with Level 1, Level 2, and Level 3 coverage, with iteria staff on-site for the first two weeks. Our onshore/offshore model means coverage does not stop at 5:00 PM Central — around-the-clock availability during go-live is standard, not an upgrade.</w:t>
      </w:r>
    </w:p>
    <w:p>
      <w:pPr>
        <w:spacing w:before="0" w:after="100" w:line="276" w:lineRule="auto"/>
        <w:jc w:val="left"/>
      </w:pPr>
      <w:r>
        <w:rPr>
          <w:rFonts w:ascii="Calibri" w:hAnsi="Calibri"/>
          <w:b w:val="0"/>
          <w:i w:val="0"/>
          <w:color w:val="1A1A2E"/>
          <w:sz w:val="22"/>
        </w:rPr>
        <w:t>iteria has re-baselined failed implementations. Fond du Lac County engaged us after a prior implementation stalled. We re-scoped the project, redesigned the Chart of Accounts, compressed the timeline to nine months, and delivered on time and on budget in December 2024. We are not describing a hypothetical recovery capability. We have done it.</w:t>
      </w:r>
    </w:p>
    <w:p>
      <w:pPr>
        <w:pBdr>
          <w:bottom w:val="single" w:sz="8" w:space="4" w:color="F0530A"/>
        </w:pBdr>
        <w:spacing w:before="180" w:after="80"/>
      </w:pPr>
      <w:r>
        <w:rPr>
          <w:rFonts w:ascii="Calibri" w:hAnsi="Calibri"/>
          <w:b/>
          <w:i w:val="0"/>
          <w:color w:val="1A1A2E"/>
          <w:sz w:val="28"/>
        </w:rPr>
        <w:t>Why iteria</w:t>
      </w:r>
    </w:p>
    <w:p>
      <w:pPr>
        <w:spacing w:before="0" w:after="100" w:line="276" w:lineRule="auto"/>
        <w:jc w:val="left"/>
      </w:pPr>
      <w:r>
        <w:rPr>
          <w:rFonts w:ascii="Calibri" w:hAnsi="Calibri"/>
          <w:b w:val="0"/>
          <w:i w:val="0"/>
          <w:color w:val="1A1A2E"/>
          <w:sz w:val="22"/>
        </w:rPr>
        <w:t>iteria is a certified Oracle-only implementation partner. We do not implement SAP, Workday, or any other ERP. Every one of our 125 employees works exclusively on Oracle engagements. That focus is not a marketing position — it determines how we staff, how we train, and how we solve problems. When a Payroll configuration question has a downstream impact on HCM Benefits, our team recognizes it immediately because every iteria consultant is cross-trained across three modules upstream and three downstream from their primary discipline. We design that cross-training into our staffing model deliberately, because upstream/downstream impact analysis is where late-stage redesigns originate on other firms' projects.</w:t>
      </w:r>
    </w:p>
    <w:p>
      <w:pPr>
        <w:spacing w:before="0" w:after="100" w:line="276" w:lineRule="auto"/>
        <w:jc w:val="left"/>
      </w:pPr>
      <w:r>
        <w:rPr>
          <w:rFonts w:ascii="Calibri" w:hAnsi="Calibri"/>
          <w:b w:val="0"/>
          <w:i w:val="0"/>
          <w:color w:val="1A1A2E"/>
          <w:sz w:val="22"/>
        </w:rPr>
        <w:t>Our founding leaders bring more than 30 years of Oracle public sector experience. The City of St. Petersburg is not our introduction to municipal government, pension payroll, or large-scale Oracle migrations. We are currently live with Fond du Lac County, Wisconsin (go-live December 2024 — Full Financials, HCM, and Payroll suite, 1,050 employees, approximately $110M budget) and actively implementing for Outagamie County, Wisconsin (go-live December 2026 — Full Oracle Fusion suite including Enterprise Asset Management (EAM) and Projects/PPM, 1,400 employees). Both are public sector clients. Both involve payroll complexity that parallels what the City of St. Petersburg requires.</w:t>
      </w:r>
    </w:p>
    <w:p>
      <w:pPr>
        <w:spacing w:before="0" w:after="100" w:line="276" w:lineRule="auto"/>
        <w:jc w:val="left"/>
      </w:pPr>
      <w:r>
        <w:rPr>
          <w:rFonts w:ascii="Calibri" w:hAnsi="Calibri"/>
          <w:b w:val="0"/>
          <w:i w:val="0"/>
          <w:color w:val="1A1A2E"/>
          <w:sz w:val="22"/>
        </w:rPr>
        <w:t>On the Fond du Lac County engagement, iteria used VALIDATE — our proprietary data quality and migration readiness tool — to assess HCM Benefits data ahead of conversion. VALIDATE returned an 84% health score on the first run of the HCM Benefits dataset, giving the project team a clear, prioritized remediation list before a single record was loaded into production. That score mattered. It compressed the data remediation cycle and eliminated the last-minute conversion scrambles that extend timelines and erode confidence in the final system. We bring VALIDATE to every engagement, including this one.</w:t>
      </w:r>
    </w:p>
    <w:p>
      <w:pPr>
        <w:spacing w:before="0" w:after="100" w:line="276" w:lineRule="auto"/>
        <w:jc w:val="left"/>
      </w:pPr>
      <w:r>
        <w:rPr>
          <w:rFonts w:ascii="Calibri" w:hAnsi="Calibri"/>
          <w:b w:val="0"/>
          <w:i w:val="0"/>
          <w:color w:val="1A1A2E"/>
          <w:sz w:val="22"/>
        </w:rPr>
        <w:t>Our EBS-to-Fusion migration experience is direct and documented. We have completed five-plus migrations from Oracle EBS to Oracle Fusion Cloud. The City's 20-plus years on EBS means there is institutional configuration, legacy data structure, and embedded process logic that must be understood — not just technically mapped. We know where EBS stores data that does not have a direct Fusion equivalent. We know which EBS processes are workarounds for limitations that no longer exist in Fusion. We approach EBS-to-Fusion migrations as a translation discipline, not a lift-and-shift.</w:t>
      </w:r>
    </w:p>
    <w:p>
      <w:pPr>
        <w:spacing w:before="0" w:after="100" w:line="276" w:lineRule="auto"/>
        <w:jc w:val="left"/>
      </w:pPr>
      <w:r>
        <w:rPr>
          <w:rFonts w:ascii="Calibri" w:hAnsi="Calibri"/>
          <w:b w:val="0"/>
          <w:i w:val="0"/>
          <w:color w:val="1A1A2E"/>
          <w:sz w:val="22"/>
        </w:rPr>
        <w:t>The Mythics LLC partnership provides the City with a single point of accountability for both licensing and implementation. Mythics is an authorized Oracle reseller; iteria is the implementation partner. Questions about licensing, module additions, or contract terms go to one coordinated team — not to separate vendors who have never spoken to each other.</w:t>
      </w:r>
    </w:p>
    <w:p>
      <w:pPr>
        <w:spacing w:before="0" w:after="100" w:line="276" w:lineRule="auto"/>
        <w:jc w:val="left"/>
      </w:pPr>
      <w:r>
        <w:rPr>
          <w:rFonts w:ascii="Calibri" w:hAnsi="Calibri"/>
          <w:b w:val="0"/>
          <w:i w:val="0"/>
          <w:color w:val="1A1A2E"/>
          <w:sz w:val="22"/>
        </w:rPr>
        <w:t>iteria's solutions are built upgrade-safe. Every configuration decision is made within Oracle's standard supported framework. When Oracle releases a quarterly update, our clients apply it without rework. That is not a promise about the future — it is the outcome of a discipline we enforce during design.</w:t>
      </w:r>
    </w:p>
    <w:p>
      <w:r>
        <w:br w:type="page"/>
      </w:r>
    </w:p>
    <w:p>
      <w:pPr>
        <w:spacing w:before="0" w:after="0"/>
      </w:pPr>
      <w:r>
        <w:rPr>
          <w:rFonts w:ascii="Calibri" w:hAnsi="Calibri"/>
          <w:b/>
          <w:i w:val="0"/>
          <w:color w:val="F0530A"/>
          <w:sz w:val="80"/>
        </w:rPr>
        <w:t>03</w:t>
      </w:r>
    </w:p>
    <w:p>
      <w:pPr>
        <w:pBdr>
          <w:bottom w:val="single" w:sz="14" w:space="4" w:color="F0530A"/>
        </w:pBdr>
        <w:spacing w:before="0" w:after="80"/>
      </w:pPr>
      <w:r>
        <w:rPr>
          <w:rFonts w:ascii="Calibri" w:hAnsi="Calibri"/>
          <w:b/>
          <w:i w:val="0"/>
          <w:color w:val="1A1A2E"/>
          <w:sz w:val="40"/>
        </w:rPr>
        <w:t>Software Solution</w:t>
      </w:r>
    </w:p>
    <w:p>
      <w:pPr>
        <w:spacing w:before="0" w:after="120"/>
      </w:pPr>
    </w:p>
    <w:p>
      <w:pPr>
        <w:spacing w:before="0" w:after="80"/>
      </w:pPr>
      <w:r>
        <w:t>Tab 2 — Software Solution</w:t>
      </w:r>
    </w:p>
    <w:p>
      <w:pPr>
        <w:pBdr>
          <w:bottom w:val="single" w:sz="8" w:space="4" w:color="F0530A"/>
        </w:pBdr>
        <w:spacing w:before="180" w:after="80"/>
      </w:pPr>
      <w:r>
        <w:rPr>
          <w:rFonts w:ascii="Calibri" w:hAnsi="Calibri"/>
          <w:b/>
          <w:i w:val="0"/>
          <w:color w:val="1A1A2E"/>
          <w:sz w:val="28"/>
        </w:rPr>
        <w:t>Oracle Fusion Cloud — Platform Overview</w:t>
      </w:r>
    </w:p>
    <w:p>
      <w:pPr>
        <w:spacing w:before="0" w:after="100" w:line="276" w:lineRule="auto"/>
        <w:jc w:val="left"/>
      </w:pPr>
      <w:r>
        <w:rPr>
          <w:rFonts w:ascii="Calibri" w:hAnsi="Calibri"/>
          <w:b w:val="0"/>
          <w:i w:val="0"/>
          <w:color w:val="1A1A2E"/>
          <w:sz w:val="22"/>
        </w:rPr>
        <w:t>Oracle Fusion Cloud is a fully integrated, cloud-native enterprise suite built on a single, unified data model. This architecture is not the result of assembling acquired point solutions — Oracle engineered Finance, Human Capital Management (HCM), Payroll, and Procurement to share the same underlying data structures from the beginning. For the City of St. Petersburg, that means a transaction entered in Accounts Payable (AP) is immediately visible in the General Ledger (GL), a new hire in Core HR flows directly into Payroll and Benefits without a nightly batch file, and a purchase order approved in Procurement creates encumbrances in the budget ledger in real time. There is no reconciliation between systems because there is only one system. That distinction matters at scale — for a workforce of 3,201 full-time employees across a complex municipal environment, data integrity is not a preference; it is an operational requirement.</w:t>
      </w:r>
    </w:p>
    <w:p>
      <w:pPr>
        <w:spacing w:before="0" w:after="100" w:line="276" w:lineRule="auto"/>
        <w:jc w:val="left"/>
      </w:pPr>
      <w:r>
        <w:rPr>
          <w:rFonts w:ascii="Calibri" w:hAnsi="Calibri"/>
          <w:b w:val="0"/>
          <w:i w:val="0"/>
          <w:color w:val="1A1A2E"/>
          <w:sz w:val="22"/>
        </w:rPr>
        <w:t>Oracle invests more than $6 billion annually in research and development, and that investment is delivered to every client through a quarterly release cycle. The City of St. Petersburg will never face a costly multi-year upgrade project or fall behind on a version no longer supported. When Oracle releases new artificial intelligence-assisted workflows, automated anomaly detection, or enhanced reporting capabilities — as it did across fiscal and workforce modules in recent quarterly releases — those capabilities appear in the City's environment automatically. [VERIFY RELEASE VERSION] Security patches are applied by Oracle, not by City IT staff. The City's team focuses on using the system, not maintaining it.</w:t>
      </w:r>
    </w:p>
    <w:p>
      <w:pPr>
        <w:pBdr>
          <w:bottom w:val="single" w:sz="8" w:space="4" w:color="F0530A"/>
        </w:pBdr>
        <w:spacing w:before="180" w:after="80"/>
      </w:pPr>
      <w:r>
        <w:rPr>
          <w:rFonts w:ascii="Calibri" w:hAnsi="Calibri"/>
          <w:b/>
          <w:i w:val="0"/>
          <w:color w:val="1A1A2E"/>
          <w:sz w:val="28"/>
        </w:rPr>
        <w:t>General Ledger and Financial Reporting</w:t>
      </w:r>
    </w:p>
    <w:p>
      <w:pPr>
        <w:spacing w:before="0" w:after="100" w:line="276" w:lineRule="auto"/>
        <w:jc w:val="left"/>
      </w:pPr>
      <w:r>
        <w:rPr>
          <w:rFonts w:ascii="Calibri" w:hAnsi="Calibri"/>
          <w:b w:val="0"/>
          <w:i w:val="0"/>
          <w:color w:val="1A1A2E"/>
          <w:sz w:val="22"/>
        </w:rPr>
        <w:t>Oracle Fusion Cloud General Ledger is the financial foundation on which every other module in this proposal rests. For the City of St. Petersburg, the GL is configured to support governmental fund accounting — the structural distinction between the General Fund, Special Revenue Funds, Debt Service Funds, Capital Project Funds, and Enterprise Funds that Florida municipalities are required to maintain. The chart of accounts is built within Oracle's configurable account structure, supporting the segment combinations — fund, department, program, grant, project — that governmental reporting requires. General Ledger connects directly to Oracle Budgetary Control, Accounts Payable, Accounts Receivable (AR), Fixed Assets, and Cash Management so that the City's financial position is visible in a single source of truth at any moment, without requiring reconciliation between separate systems.</w:t>
      </w:r>
    </w:p>
    <w:p>
      <w:pPr>
        <w:spacing w:before="0" w:after="100" w:line="276" w:lineRule="auto"/>
        <w:jc w:val="left"/>
      </w:pPr>
      <w:r>
        <w:rPr>
          <w:rFonts w:ascii="Calibri" w:hAnsi="Calibri"/>
          <w:b w:val="0"/>
          <w:i w:val="0"/>
          <w:color w:val="1A1A2E"/>
          <w:sz w:val="22"/>
        </w:rPr>
        <w:t>Oracle Financials is designed with Governmental Accounting Standards Board (GASB) compliance in mind. Financial statement formats, encumbrance accounting, and fund balance reporting are configured within standard Oracle functionality rather than requiring workarounds or external tools. The City's transition from Oracle E-Business Suite (EBS) R12.2 means that the underlying financial logic the City's team understands — fund segments, encumbrances, period-end close — carries forward into a modern interface with materially stronger reporting.</w:t>
      </w:r>
    </w:p>
    <w:p>
      <w:pPr>
        <w:spacing w:before="0" w:after="100" w:line="276" w:lineRule="auto"/>
        <w:jc w:val="left"/>
      </w:pPr>
      <w:r>
        <w:rPr>
          <w:rFonts w:ascii="Calibri" w:hAnsi="Calibri"/>
          <w:b/>
          <w:i w:val="0"/>
          <w:color w:val="1A1A2E"/>
          <w:sz w:val="22"/>
        </w:rPr>
        <w:t>Key Capabilities: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The configurable chart of accounts supports multi-segment governmental fund structures, enabling the City to track transactions by fund, department, program, grant, and project within a single account string — eliminating the need for spreadsheet-based fund allocation tracking.</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Oracle's Budgetary Control engine enforces spending authority at the fund and department level in real time, preventing over-expenditure before a transaction posts rather than identifying it after the fact.</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Financial Reporting Studio and Oracle Financial Reporting Web Studio allow the City's finance team to build and publish GASB-compliant financial statements — including the Statement of Net Position, Statement of Revenues, Expenditures, and Changes in Fund Balance — directly from live GL data without exporting to Excel.</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Intercompany and interfund accounting rules are configured within the GL so that transactions between funds — internal service fund charges, interfund loans, grant cost allocations — are balanced automatically, reducing month-end close effort.</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Oracle's Account Reconciliation module enables the City to assign, track, and certify account reconciliations with a documented audit trail, replacing manual binder-based reconciliation processes.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Drill-down capability allows any summary balance to be traced to the originating journal entry, AP invoice, payroll charge, or procurement transaction without leaving the GL workspace.</w:t>
      </w:r>
    </w:p>
    <w:p>
      <w:pPr>
        <w:spacing w:before="0" w:after="60"/>
      </w:pPr>
    </w:p>
    <w:p>
      <w:pPr>
        <w:pBdr>
          <w:bottom w:val="single" w:sz="8" w:space="4" w:color="F0530A"/>
        </w:pBdr>
        <w:spacing w:before="180" w:after="80"/>
      </w:pPr>
      <w:r>
        <w:rPr>
          <w:rFonts w:ascii="Calibri" w:hAnsi="Calibri"/>
          <w:b/>
          <w:i w:val="0"/>
          <w:color w:val="1A1A2E"/>
          <w:sz w:val="28"/>
        </w:rPr>
        <w:t>Budgeting</w:t>
      </w:r>
    </w:p>
    <w:p>
      <w:pPr>
        <w:spacing w:before="0" w:after="100" w:line="276" w:lineRule="auto"/>
        <w:jc w:val="left"/>
      </w:pPr>
      <w:r>
        <w:rPr>
          <w:rFonts w:ascii="Calibri" w:hAnsi="Calibri"/>
          <w:b w:val="0"/>
          <w:i w:val="0"/>
          <w:color w:val="1A1A2E"/>
          <w:sz w:val="22"/>
        </w:rPr>
        <w:t>Municipal budgeting is not a single event — it is a continuous process of preparation, approval, amendment, monitoring, and reporting that runs parallel to daily operations throughout the fiscal year. Oracle Enterprise Performance Management (EPM) Cloud, specifically Oracle Planning and Budgeting, provides the City of St. Petersburg with a purpose-built budgeting environment that is fully integrated with the Oracle Fusion GL and Procurement modules. Departments submit budget requests directly in Oracle EPM; finance reviews, consolidates, and publishes the adopted budget to Oracle Budgetary Control without any manual data re-entry. Budget amendments flow through a configured approval workflow and post to the ledger automatically once approved. This replaces the disconnected spreadsheet and email processes that are common in Oracle EBS environments and represent one of the most significant operational gaps for municipalities transitioning to cloud ERP.</w:t>
      </w:r>
    </w:p>
    <w:p>
      <w:pPr>
        <w:spacing w:before="0" w:after="100" w:line="276" w:lineRule="auto"/>
        <w:jc w:val="left"/>
      </w:pPr>
      <w:r>
        <w:rPr>
          <w:rFonts w:ascii="Calibri" w:hAnsi="Calibri"/>
          <w:b w:val="0"/>
          <w:i w:val="0"/>
          <w:color w:val="1A1A2E"/>
          <w:sz w:val="22"/>
        </w:rPr>
        <w:t>Oracle Budgetary Control, embedded within Oracle Fusion Cloud ERP, enforces the adopted budget in real time. Purchase requisitions, purchase orders, and AP invoices are validated against available budget before they are processed — not after. The City can define tolerance rules, control levels (fund, department, project), and override authorities within the system, providing the flexibility that department directors require while maintaining the controls that the Finance Department and City Council expect.</w:t>
      </w:r>
    </w:p>
    <w:p>
      <w:pPr>
        <w:spacing w:before="0" w:after="100" w:line="276" w:lineRule="auto"/>
        <w:jc w:val="left"/>
      </w:pPr>
      <w:r>
        <w:rPr>
          <w:rFonts w:ascii="Calibri" w:hAnsi="Calibri"/>
          <w:b/>
          <w:i w:val="0"/>
          <w:color w:val="1A1A2E"/>
          <w:sz w:val="22"/>
        </w:rPr>
        <w:t>Key Capabilities: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Oracle EPM Planning supports position-based budget development, allowing the City to build personnel cost budgets from actual position counts, salary grades, and benefit rates — directly connected to Oracle HCM data — rather than manually maintaining position lists in spreadsheets.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Multi-scenario modeling allows the Finance Department to prepare and compare multiple budget versions (for example, a baseline budget, a five-percent reduction scenario, and a capital investment scenario) without overwriting the working budget.</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Budget load rules transfer the adopted budget from Oracle EPM to Oracle GL Budgetary Control in a single automated process, eliminating the manual upload step that introduced errors in the City's prior EBS environment. [CLIENT-SPECIFIC — VERIFY]</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Grant budgets are tracked as separate budget segments within Oracle Project Management, enabling the City to monitor grant expenditures against award amounts in real time and generate grant-specific budget-to-actual reports required by federal and state grantors.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Oracle's budget amendment workflow routes change requests through a configured approval chain — department director, finance analyst, and budget office — with a full audit trail that supports public records requirements.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Carry-forward processing for encumbrances and unexpended appropriations at fiscal year-end is handled within Oracle's period-close process, maintaining continuity of outstanding commitments without manual journal entries.</w:t>
      </w:r>
    </w:p>
    <w:p>
      <w:pPr>
        <w:spacing w:before="0" w:after="60"/>
      </w:pPr>
    </w:p>
    <w:p>
      <w:pPr>
        <w:pBdr>
          <w:bottom w:val="single" w:sz="8" w:space="4" w:color="F0530A"/>
        </w:pBdr>
        <w:spacing w:before="180" w:after="80"/>
      </w:pPr>
      <w:r>
        <w:rPr>
          <w:rFonts w:ascii="Calibri" w:hAnsi="Calibri"/>
          <w:b/>
          <w:i w:val="0"/>
          <w:color w:val="1A1A2E"/>
          <w:sz w:val="28"/>
        </w:rPr>
        <w:t>Accounts Payable</w:t>
      </w:r>
    </w:p>
    <w:p>
      <w:pPr>
        <w:spacing w:before="0" w:after="100" w:line="276" w:lineRule="auto"/>
        <w:jc w:val="left"/>
      </w:pPr>
      <w:r>
        <w:rPr>
          <w:rFonts w:ascii="Calibri" w:hAnsi="Calibri"/>
          <w:b w:val="0"/>
          <w:i w:val="0"/>
          <w:color w:val="1A1A2E"/>
          <w:sz w:val="22"/>
        </w:rPr>
        <w:t>Oracle Fusion Cloud Accounts Payable manages the City's entire payable lifecycle — from invoice receipt through payment execution and GL posting — within a single, controlled environment. For a municipality of St. Petersburg's size, the volume and variety of vendor payments is substantial: utility invoices, construction draws, professional services, intergovernmental payments, and procurement-card reconciliations all require different handling. Oracle AP accommodates that variety through configurable invoice types, payment methods, and approval rules while maintaining a consistent audit trail that supports public accountability. AP connects directly to Oracle Procurement so that every purchase order-matched invoice carries the original encumbrance forward through payment, and to the GL so that liability, cash, and expense postings occur without manual journal entry.</w:t>
      </w:r>
    </w:p>
    <w:p>
      <w:pPr>
        <w:spacing w:before="0" w:after="100" w:line="276" w:lineRule="auto"/>
        <w:jc w:val="left"/>
      </w:pPr>
      <w:r>
        <w:rPr>
          <w:rFonts w:ascii="Calibri" w:hAnsi="Calibri"/>
          <w:b w:val="0"/>
          <w:i w:val="0"/>
          <w:color w:val="1A1A2E"/>
          <w:sz w:val="22"/>
        </w:rPr>
        <w:t>The City's current Oracle EBS environment requires manual steps at several points in the AP cycle — invoice logging, approval routing, and payment file generation — that Oracle Fusion Cloud eliminates through workflow automation and integrated bank connectivity. [CLIENT-SPECIFIC — VERIFY] The net result is a shorter invoice-to-payment cycle, fewer data entry errors, and a complete electronic audit trail for every disbursement.</w:t>
      </w:r>
    </w:p>
    <w:p>
      <w:pPr>
        <w:spacing w:before="0" w:after="100" w:line="276" w:lineRule="auto"/>
        <w:jc w:val="left"/>
      </w:pPr>
      <w:r>
        <w:rPr>
          <w:rFonts w:ascii="Calibri" w:hAnsi="Calibri"/>
          <w:b/>
          <w:i w:val="0"/>
          <w:color w:val="1A1A2E"/>
          <w:sz w:val="22"/>
        </w:rPr>
        <w:t>Key Capabilities: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Intelligent Document Recognition, Oracle's AI-assisted invoice capture capability, reads PDF and scanned invoices and populates invoice fields automatically, reducing manual keying and accelerating the invoice approval cycle. [VERIFY RELEASE VERSION]</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Three-way matching between purchase orders, receiving records, and AP invoices is enforced automatically, releasing payment only when all three documents are in agreement — a control that is essential for public fund expenditure compliance.</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Oracle's Supplier Portal allows vendors to submit invoices electronically, check payment status, and maintain their own banking and contact information, reducing the volume of inbound calls to the City's AP staff.</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Payment processing supports ACH, check, wire transfer, and virtual card payments; payment files are generated and transmitted directly from Oracle to the City's banking partner without manual file preparation.</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Positive Pay files are generated automatically for check runs and transmitted to the City's bank, supporting the fraud controls that the City's Treasury function requires.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AP aging, outstanding liability, and cash requirement reports are available in real time from within Oracle, replacing the batch reporting cycle that characterizes Oracle EBS.</w:t>
      </w:r>
    </w:p>
    <w:p>
      <w:pPr>
        <w:spacing w:before="0" w:after="60"/>
      </w:pPr>
    </w:p>
    <w:p>
      <w:pPr>
        <w:pBdr>
          <w:bottom w:val="single" w:sz="8" w:space="4" w:color="F0530A"/>
        </w:pBdr>
        <w:spacing w:before="180" w:after="80"/>
      </w:pPr>
      <w:r>
        <w:rPr>
          <w:rFonts w:ascii="Calibri" w:hAnsi="Calibri"/>
          <w:b/>
          <w:i w:val="0"/>
          <w:color w:val="1A1A2E"/>
          <w:sz w:val="28"/>
        </w:rPr>
        <w:t>Accounts Receivable</w:t>
      </w:r>
    </w:p>
    <w:p>
      <w:pPr>
        <w:spacing w:before="0" w:after="100" w:line="276" w:lineRule="auto"/>
        <w:jc w:val="left"/>
      </w:pPr>
      <w:r>
        <w:rPr>
          <w:rFonts w:ascii="Calibri" w:hAnsi="Calibri"/>
          <w:b w:val="0"/>
          <w:i w:val="0"/>
          <w:color w:val="1A1A2E"/>
          <w:sz w:val="22"/>
        </w:rPr>
        <w:t>Oracle Fusion Cloud Accounts Receivable manages the City's billing and collection functions — permits, licenses, intergovernmental receivables, grant reimbursement billings, and miscellaneous revenue — within the same financial platform that records the corresponding GL revenue. This matters because revenue recognition, fund assignment, and customer account management all occur at the time of billing, not as a downstream reconciliation step. AR connects to Cash Management for lockbox processing and bank deposits, to GL for revenue posting, and to Oracle Project Management for grant billing and revenue recognition against project expenditures.</w:t>
      </w:r>
    </w:p>
    <w:p>
      <w:pPr>
        <w:spacing w:before="0" w:after="100" w:line="276" w:lineRule="auto"/>
        <w:jc w:val="left"/>
      </w:pPr>
      <w:r>
        <w:rPr>
          <w:rFonts w:ascii="Calibri" w:hAnsi="Calibri"/>
          <w:b w:val="0"/>
          <w:i w:val="0"/>
          <w:color w:val="1A1A2E"/>
          <w:sz w:val="22"/>
        </w:rPr>
        <w:t>Municipal AR is more complex than commercial AR because the City bills many different revenue types under different legal authorities — some subject to Florida Statutes, some subject to grant agreement terms, some requiring public record documentation. Oracle's configurable transaction type and memo line structure allows the City to maintain distinct billing templates for each revenue category while keeping all receivables on a single aging and collection platform.</w:t>
      </w:r>
    </w:p>
    <w:p>
      <w:pPr>
        <w:spacing w:before="0" w:after="100" w:line="276" w:lineRule="auto"/>
        <w:jc w:val="left"/>
      </w:pPr>
      <w:r>
        <w:rPr>
          <w:rFonts w:ascii="Calibri" w:hAnsi="Calibri"/>
          <w:b/>
          <w:i w:val="0"/>
          <w:color w:val="1A1A2E"/>
          <w:sz w:val="22"/>
        </w:rPr>
        <w:t>Key Capabilities: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Transaction types are configured for each revenue category — permits, utility deposits, intergovernmental billings, grant reimbursement requests — with distinct GL account distributions, payment terms, and dunning rules assigned to each type.</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Oracle's Lockbox processing imports bank deposit files and automatically applies cash receipts to open invoices, reducing manual cash application effort for high-volume receivable categories.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Grant billing is managed through Oracle Project Management's contract billing engine, which generates invoices based on project expenditures, tracks cumulative billings against award amounts, and produces the billing documentation that federal and state agencies require.</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Customer account inquiry allows City staff to view a complete payment history, outstanding balance, and dispute status for any customer account in real time, without generating a separate report.</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Collections workbench provides a prioritized work queue for the City's collections staff, surfacing overdue accounts with aging detail, contact history, and recommended next action based on configurable collection rules.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Integration with the City's cashiering solution — we recommend CanAm Technologies for in-person payment processing — enables over-the-counter payments to post directly to Oracle AR without a manual reconciliation step. [CLIENT-SPECIFIC — VERIFY]</w:t>
      </w:r>
    </w:p>
    <w:p>
      <w:pPr>
        <w:spacing w:before="0" w:after="60"/>
      </w:pPr>
    </w:p>
    <w:p>
      <w:pPr>
        <w:pBdr>
          <w:bottom w:val="single" w:sz="8" w:space="4" w:color="F0530A"/>
        </w:pBdr>
        <w:spacing w:before="180" w:after="80"/>
      </w:pPr>
      <w:r>
        <w:rPr>
          <w:rFonts w:ascii="Calibri" w:hAnsi="Calibri"/>
          <w:b/>
          <w:i w:val="0"/>
          <w:color w:val="1A1A2E"/>
          <w:sz w:val="28"/>
        </w:rPr>
        <w:t>Purchasing and Procurement</w:t>
      </w:r>
    </w:p>
    <w:p>
      <w:pPr>
        <w:spacing w:before="0" w:after="100" w:line="276" w:lineRule="auto"/>
        <w:jc w:val="left"/>
      </w:pPr>
      <w:r>
        <w:rPr>
          <w:rFonts w:ascii="Calibri" w:hAnsi="Calibri"/>
          <w:b w:val="0"/>
          <w:i w:val="0"/>
          <w:color w:val="1A1A2E"/>
          <w:sz w:val="22"/>
        </w:rPr>
        <w:t>Oracle Fusion Cloud Procurement covers the full procure-to-pay cycle for the City of St. Petersburg: sourcing, requisitioning, purchase order management, supplier management, receiving, and payment — all within the integrated Oracle platform. Public procurement is not a simple buying process. Florida municipalities operate under Chapter 287, Florida Statutes, and local procurement ordinances that govern competitive bidding thresholds, sole-source justification, piggyback contract authority, and vendor registration. Oracle Procurement is configured to enforce those rules through approval workflow, sourcing method requirements, and contract linkage — not through manual review after the fact.</w:t>
      </w:r>
    </w:p>
    <w:p>
      <w:pPr>
        <w:spacing w:before="0" w:after="100" w:line="276" w:lineRule="auto"/>
        <w:jc w:val="left"/>
      </w:pPr>
      <w:r>
        <w:rPr>
          <w:rFonts w:ascii="Calibri" w:hAnsi="Calibri"/>
          <w:b w:val="0"/>
          <w:i w:val="0"/>
          <w:color w:val="1A1A2E"/>
          <w:sz w:val="22"/>
        </w:rPr>
        <w:t>Integration between Procurement and the GL's Budgetary Control module is direct and immediate. When a department creates a purchase requisition, Oracle checks available budget before the requisition routes for approval. When the purchase order is approved, the encumbrance posts to the GL automatically. When the invoice is received and matched, the encumbrance liquidates and the expenditure posts — with no manual journal entry required at any step. This is a material improvement over the manual encumbrance management process that many Oracle EBS clients maintain in spreadsheets alongside the system. [CLIENT-SPECIFIC — VERIFY]</w:t>
      </w:r>
    </w:p>
    <w:p>
      <w:pPr>
        <w:spacing w:before="0" w:after="100" w:line="276" w:lineRule="auto"/>
        <w:jc w:val="left"/>
      </w:pPr>
      <w:r>
        <w:rPr>
          <w:rFonts w:ascii="Calibri" w:hAnsi="Calibri"/>
          <w:b/>
          <w:i w:val="0"/>
          <w:color w:val="1A1A2E"/>
          <w:sz w:val="22"/>
        </w:rPr>
        <w:t>Key Capabilities: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Oracle Supplier Qualification Management allows the City to manage vendor registration, insurance certificate tracking, and debarment status within the procurement system, replacing standalone vendor registration databases.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Sourcing events — competitive bids, requests for proposal, and requests for information — are managed in Oracle Sourcing, where the City can publish solicitations, receive sealed responses, evaluate submissions, and award contracts, all within a documented electronic environment.</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Contract Management allows the City to create and manage master purchase agreements, blanket purchase orders, and piggyback contracts, with release orders drawing against contract amounts and alerting procurement staff when contract limits are approached.</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Oracle's Procurement Approval Workflow is configured to reflect the City's purchasing authority matrix — department-level approvals below threshold, procurement review above threshold, and City Council notification for items exceeding the formal bid limit — reducing approval cycle time while maintaining accountability.</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Supplier Portal gives registered vendors electronic access to purchase orders, advance shipment notifications, and payment status, reducing the administrative burden on the City's procurement staff.</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Receiving transactions in Oracle Procurement update inventory balances (where applicable), trigger the three-way match in AP, and post the accrual to the GL, closing the procure-to-pay loop without manual intervention.</w:t>
      </w:r>
    </w:p>
    <w:p>
      <w:pPr>
        <w:spacing w:before="0" w:after="60"/>
      </w:pPr>
    </w:p>
    <w:p>
      <w:pPr>
        <w:pBdr>
          <w:bottom w:val="single" w:sz="8" w:space="4" w:color="F0530A"/>
        </w:pBdr>
        <w:spacing w:before="180" w:after="80"/>
      </w:pPr>
      <w:r>
        <w:rPr>
          <w:rFonts w:ascii="Calibri" w:hAnsi="Calibri"/>
          <w:b/>
          <w:i w:val="0"/>
          <w:color w:val="1A1A2E"/>
          <w:sz w:val="28"/>
        </w:rPr>
        <w:t>Fixed Assets</w:t>
      </w:r>
    </w:p>
    <w:p>
      <w:pPr>
        <w:spacing w:before="0" w:after="100" w:line="276" w:lineRule="auto"/>
        <w:jc w:val="left"/>
      </w:pPr>
      <w:r>
        <w:rPr>
          <w:rFonts w:ascii="Calibri" w:hAnsi="Calibri"/>
          <w:b w:val="0"/>
          <w:i w:val="0"/>
          <w:color w:val="1A1A2E"/>
          <w:sz w:val="22"/>
        </w:rPr>
        <w:t>Oracle Fusion Cloud Fixed Assets manages the City's capital asset portfolio — infrastructure, buildings, vehicles, equipment, and technology — from acquisition through disposal, with full integration to the GL, AP, and Procurement modules. Government capital asset management carries specific GASB requirements: GASB Statement No. 34 requires municipalities to report infrastructure assets using the modified approach or straight-line depreciation, and GASB Statement No. 87 governs lease accounting for assets the City controls under lease arrangements. Oracle Fixed Assets supports both requirements within standard configuration, without external tools or manual spreadsheet overlays.</w:t>
      </w:r>
    </w:p>
    <w:p>
      <w:pPr>
        <w:spacing w:before="0" w:after="100" w:line="276" w:lineRule="auto"/>
        <w:jc w:val="left"/>
      </w:pPr>
      <w:r>
        <w:rPr>
          <w:rFonts w:ascii="Calibri" w:hAnsi="Calibri"/>
          <w:b w:val="0"/>
          <w:i w:val="0"/>
          <w:color w:val="1A1A2E"/>
          <w:sz w:val="22"/>
        </w:rPr>
        <w:t>For the City of St. Petersburg, which operates a diverse asset base across multiple departments and funds — including Enterprise Fund assets for utilities and transportation — Oracle's multi-fund depreciation capabilities allow each asset to be assigned to the correct fund, with depreciation posting to the appropriate fund's expense accounts automatically at period close. The connection to AP means that capital expenditures coded to an asset account in an approved invoice automatically create asset addition records, eliminating the separate capital project-to-asset transfer step that burdens many EBS-era close processes. [CLIENT-SPECIFIC — VERIFY]</w:t>
      </w:r>
    </w:p>
    <w:p>
      <w:pPr>
        <w:spacing w:before="0" w:after="100" w:line="276" w:lineRule="auto"/>
        <w:jc w:val="left"/>
      </w:pPr>
      <w:r>
        <w:rPr>
          <w:rFonts w:ascii="Calibri" w:hAnsi="Calibri"/>
          <w:b/>
          <w:i w:val="0"/>
          <w:color w:val="1A1A2E"/>
          <w:sz w:val="22"/>
        </w:rPr>
        <w:t>Key Capabilities: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Asset Books are configured to maintain Government-Wide and fund-level asset records simultaneously, supporting both the GASB Statement No. 34 government-wide financial statements and fund-level capital reporting without duplicate data entry.</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Oracle's Mass Additions process captures capital expenditures from AP and Project Management and converts them to asset additions automatically, reducing the manual effort of identifying and adding assets at period close.</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Depreciation methods — straight-line, units of production, and the declining-balance methods — are configured per asset category, with GASB-compliant defaults applied to infrastructure, building, vehicle, and equipment categories.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Asset impairment testing and recording is supported within Oracle Fixed Assets in accordance with GASB Statement No. 42, allowing the City to record and disclose impairment losses in its financial statements. [VERIFY RELEASE VERSION]</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Physical inventory reconciliation tools allow the City to record the results of its annual physical count against Oracle asset records, flagging discrepancies and initiating the retirement or transfer workflow for assets that cannot be located.</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Lease accounting for right-of-use assets is managed within Oracle Lease Management, which calculates lease liability and right-of-use asset balances, records amortization, and generates the GASB Statement No. 87 disclosure schedules automatically. [VERIFY RELEASE VERSION]</w:t>
      </w:r>
    </w:p>
    <w:p>
      <w:pPr>
        <w:spacing w:before="0" w:after="60"/>
      </w:pPr>
    </w:p>
    <w:p>
      <w:pPr>
        <w:pBdr>
          <w:bottom w:val="single" w:sz="8" w:space="4" w:color="F0530A"/>
        </w:pBdr>
        <w:spacing w:before="180" w:after="80"/>
      </w:pPr>
      <w:r>
        <w:rPr>
          <w:rFonts w:ascii="Calibri" w:hAnsi="Calibri"/>
          <w:b/>
          <w:i w:val="0"/>
          <w:color w:val="1A1A2E"/>
          <w:sz w:val="28"/>
        </w:rPr>
        <w:t>Cash Management</w:t>
      </w:r>
    </w:p>
    <w:p>
      <w:pPr>
        <w:spacing w:before="0" w:after="100" w:line="276" w:lineRule="auto"/>
        <w:jc w:val="left"/>
      </w:pPr>
      <w:r>
        <w:rPr>
          <w:rFonts w:ascii="Calibri" w:hAnsi="Calibri"/>
          <w:b w:val="0"/>
          <w:i w:val="0"/>
          <w:color w:val="1A1A2E"/>
          <w:sz w:val="22"/>
        </w:rPr>
        <w:t>Oracle Fusion Cloud Cash Management gives the City of St. Petersburg a real-time view of its cash position across all bank accounts, investment accounts, and fund balances — replacing the manually assembled spreadsheets that many municipalities use to bridge the gap between their banking portal and their ERP system. Cash Management connects to the GL, AP, and AR modules so that bank transactions are matched to system transactions continuously, not only at month-end. For a city that manages General Fund, Enterprise Fund, and trust fund cash positions separately, this visibility is operationally significant.</w:t>
      </w:r>
    </w:p>
    <w:p>
      <w:pPr>
        <w:spacing w:before="0" w:after="100" w:line="276" w:lineRule="auto"/>
        <w:jc w:val="left"/>
      </w:pPr>
      <w:r>
        <w:rPr>
          <w:rFonts w:ascii="Calibri" w:hAnsi="Calibri"/>
          <w:b w:val="0"/>
          <w:i w:val="0"/>
          <w:color w:val="1A1A2E"/>
          <w:sz w:val="22"/>
        </w:rPr>
        <w:t>Bank reconciliation in Oracle is driven by the electronic import of bank statement files. Oracle matches cleared transactions automatically, flags discrepancies, and presents unmatched items for review — a process that in Oracle EBS required manual matching or a third-party tool for many clients. [CLIENT-SPECIFIC — VERIFY] Integration with the City's investment management platform — we recommend Sympro for investment portfolio tracking and compliance reporting — provides a complete treasury picture within the Oracle environment through an Oracle Integration Cloud (OIC) interface.</w:t>
      </w:r>
    </w:p>
    <w:p>
      <w:pPr>
        <w:spacing w:before="0" w:after="100" w:line="276" w:lineRule="auto"/>
        <w:jc w:val="left"/>
      </w:pPr>
      <w:r>
        <w:rPr>
          <w:rFonts w:ascii="Calibri" w:hAnsi="Calibri"/>
          <w:b/>
          <w:i w:val="0"/>
          <w:color w:val="1A1A2E"/>
          <w:sz w:val="22"/>
        </w:rPr>
        <w:t>Key Capabilities: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Bank account management allows the City to maintain all bank accounts — operating, payroll, escrow, and trust — within Oracle Cash Management, with account-level controls on payment methods and authorization limits.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Automatic bank statement import and reconciliation matches AP payments, AR receipts, and payroll disbursements to bank-cleared transactions, reducing month-end close time materially compared to manual reconciliation.</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Cash Position reporting aggregates bank balances, outstanding payments, and expected receipts into a daily cash forecast, supporting the City's Treasury function in managing short-term liquidity across funds.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Sympro integration via OIC transmits investment transaction data, portfolio balances, and interest income to Oracle GL, eliminating the manual journal entry process for investment earnings and ensuring that investment balances reconcile to the GL without separate spreadsheet maintenance. [CLIENT-SPECIFIC —</w:t>
      </w:r>
    </w:p>
    <w:p>
      <w:pPr>
        <w:spacing w:before="0" w:after="60"/>
      </w:pPr>
    </w:p>
    <w:p>
      <w:r>
        <w:br w:type="page"/>
      </w:r>
    </w:p>
    <w:p>
      <w:pPr>
        <w:spacing w:before="0" w:after="0"/>
      </w:pPr>
      <w:r>
        <w:rPr>
          <w:rFonts w:ascii="Calibri" w:hAnsi="Calibri"/>
          <w:b/>
          <w:i w:val="0"/>
          <w:color w:val="F0530A"/>
          <w:sz w:val="80"/>
        </w:rPr>
        <w:t>04</w:t>
      </w:r>
    </w:p>
    <w:p>
      <w:pPr>
        <w:pBdr>
          <w:bottom w:val="single" w:sz="14" w:space="4" w:color="F0530A"/>
        </w:pBdr>
        <w:spacing w:before="0" w:after="80"/>
      </w:pPr>
      <w:r>
        <w:rPr>
          <w:rFonts w:ascii="Calibri" w:hAnsi="Calibri"/>
          <w:b/>
          <w:i w:val="0"/>
          <w:color w:val="1A1A2E"/>
          <w:sz w:val="40"/>
        </w:rPr>
        <w:t>Project Schedule</w:t>
      </w:r>
    </w:p>
    <w:p>
      <w:pPr>
        <w:spacing w:before="0" w:after="120"/>
      </w:pPr>
    </w:p>
    <w:p>
      <w:pPr>
        <w:spacing w:before="0" w:after="80"/>
      </w:pPr>
      <w:r>
        <w:t>Project Schedule</w:t>
      </w:r>
    </w:p>
    <w:p>
      <w:pPr>
        <w:pBdr>
          <w:bottom w:val="single" w:sz="8" w:space="4" w:color="F0530A"/>
        </w:pBdr>
        <w:spacing w:before="180" w:after="80"/>
      </w:pPr>
      <w:r>
        <w:rPr>
          <w:rFonts w:ascii="Calibri" w:hAnsi="Calibri"/>
          <w:b/>
          <w:i w:val="0"/>
          <w:color w:val="1A1A2E"/>
          <w:sz w:val="28"/>
        </w:rPr>
        <w:t>Project Schedule Overview</w:t>
      </w:r>
    </w:p>
    <w:p>
      <w:pPr>
        <w:spacing w:before="0" w:after="100" w:line="276" w:lineRule="auto"/>
        <w:jc w:val="left"/>
      </w:pPr>
      <w:r>
        <w:rPr>
          <w:rFonts w:ascii="Calibri" w:hAnsi="Calibri"/>
          <w:b w:val="0"/>
          <w:i w:val="0"/>
          <w:color w:val="1A1A2E"/>
          <w:sz w:val="22"/>
        </w:rPr>
        <w:t>iteria's proposed project schedule runs from July 2026 through April 2027 — a nine-month implementation that is deliberately structured, not compressed. The schedule reflects our direct experience re-baselining implementations that other firms delivered through template-questionnaire approaches, where foundational decisions about security design, integration scope, and data conversion strategy were deferred until mid-project and then required expensive rework. We do not repeat that pattern. Critical decisions are front-loaded into the first two months so that configuration, integration development, and testing proceed on a stable foundation.</w:t>
      </w:r>
    </w:p>
    <w:p>
      <w:pPr>
        <w:spacing w:before="0" w:after="100" w:line="276" w:lineRule="auto"/>
        <w:jc w:val="left"/>
      </w:pPr>
      <w:r>
        <w:rPr>
          <w:rFonts w:ascii="Calibri" w:hAnsi="Calibri"/>
          <w:b w:val="0"/>
          <w:i w:val="0"/>
          <w:color w:val="1A1A2E"/>
          <w:sz w:val="22"/>
        </w:rPr>
        <w:t>The schedule is phased across five stages: Discover and Design, Build and Conference Room Pilot (CRP), System Integration Testing (SIT), User Acceptance Testing (UAT), and Go-Live Cutover. Payroll go-live in April 2027 is a hard constraint. The schedule is built backward from that date, incorporating mandatory parallel testing across a minimum of one full pay cycle, with zero-discrepancy authorization required before production go-live is approved.</w:t>
      </w:r>
    </w:p>
    <w:p>
      <w:pPr>
        <w:pBdr>
          <w:bottom w:val="single" w:sz="8" w:space="4" w:color="F0530A"/>
        </w:pBdr>
        <w:spacing w:before="180" w:after="80"/>
      </w:pPr>
      <w:r>
        <w:rPr>
          <w:rFonts w:ascii="Calibri" w:hAnsi="Calibri"/>
          <w:b/>
          <w:i w:val="0"/>
          <w:color w:val="1A1A2E"/>
          <w:sz w:val="28"/>
        </w:rPr>
        <w:t>Phase 1 — Discover and Design (Months 1–2: July–August 2026)</w:t>
      </w:r>
    </w:p>
    <w:p>
      <w:pPr>
        <w:spacing w:before="0" w:after="100" w:line="276" w:lineRule="auto"/>
        <w:jc w:val="left"/>
      </w:pPr>
      <w:r>
        <w:rPr>
          <w:rFonts w:ascii="Calibri" w:hAnsi="Calibri"/>
          <w:b w:val="0"/>
          <w:i w:val="0"/>
          <w:color w:val="1A1A2E"/>
          <w:sz w:val="22"/>
        </w:rPr>
        <w:t>Phase 1 opens with a Boundary Confirmation session — a structured, in-person working meeting that finalizes project scope, establishes team structure and decision rights, and sets go/no-go criteria for each subsequent phase gate. We do not begin requirements gathering with spreadsheet questionnaires. iteria conducts face-to-face business requirements sessions for each in-scope module, including Human Capital Management (HCM), Oracle Fusion Payroll, and the UKG Time &amp; Attendance integration. Fit-gap analysis is conducted in these sessions, not after them.</w:t>
      </w:r>
    </w:p>
    <w:p>
      <w:pPr>
        <w:spacing w:before="0" w:after="100" w:line="276" w:lineRule="auto"/>
        <w:jc w:val="left"/>
      </w:pPr>
      <w:r>
        <w:rPr>
          <w:rFonts w:ascii="Calibri" w:hAnsi="Calibri"/>
          <w:b w:val="0"/>
          <w:i w:val="0"/>
          <w:color w:val="1A1A2E"/>
          <w:sz w:val="22"/>
        </w:rPr>
        <w:t>Phase 1 also produces the interface inventory — a definitive list of every integration touchpoint — and the data conversion strategy, which governs how the City of St. Petersburg's legacy employee, position, and payroll data will be extracted, transformed, and loaded. The instance strategy document, defining the development, test, and production environment plan, is finalized during this phase so that no configuration work occurs in an undocumented or ad-hoc environment. Deliverables: Business Requirements Documents, Interface Inventory, Data Conversion Strategy, and Instance Strategy document.</w:t>
      </w:r>
    </w:p>
    <w:p>
      <w:pPr>
        <w:pBdr>
          <w:bottom w:val="single" w:sz="8" w:space="4" w:color="F0530A"/>
        </w:pBdr>
        <w:spacing w:before="180" w:after="80"/>
      </w:pPr>
      <w:r>
        <w:rPr>
          <w:rFonts w:ascii="Calibri" w:hAnsi="Calibri"/>
          <w:b/>
          <w:i w:val="0"/>
          <w:color w:val="1A1A2E"/>
          <w:sz w:val="28"/>
        </w:rPr>
        <w:t>Phase 2 — Build and Conference Room Pilot (Months 2–4: September–November 2026)</w:t>
      </w:r>
    </w:p>
    <w:p>
      <w:pPr>
        <w:spacing w:before="0" w:after="100" w:line="276" w:lineRule="auto"/>
        <w:jc w:val="left"/>
      </w:pPr>
      <w:r>
        <w:rPr>
          <w:rFonts w:ascii="Calibri" w:hAnsi="Calibri"/>
          <w:b w:val="0"/>
          <w:i w:val="0"/>
          <w:color w:val="1A1A2E"/>
          <w:sz w:val="22"/>
        </w:rPr>
        <w:t>System configuration for all in-scope modules begins immediately following Phase 1 sign-off. Oracle Integration Cloud (OIC) integration development for the UKG interface proceeds in parallel with HCM and Payroll configuration. Sample data conversion loads validate the conversion templates against real City data before SIT begins.</w:t>
      </w:r>
    </w:p>
    <w:p>
      <w:pPr>
        <w:spacing w:before="0" w:after="100" w:line="276" w:lineRule="auto"/>
        <w:jc w:val="left"/>
      </w:pPr>
      <w:r>
        <w:rPr>
          <w:rFonts w:ascii="Calibri" w:hAnsi="Calibri"/>
          <w:b w:val="0"/>
          <w:i w:val="0"/>
          <w:color w:val="1A1A2E"/>
          <w:sz w:val="22"/>
        </w:rPr>
        <w:t>The CRP is the centerpiece of Phase 2. iteria leads each CRP session; City subject matter experts participate as active validators, not observers. Every core business process — hire-to-retire, position management, payroll calculation, time import from UKG — is walked through in the configured system. Processes that do not pass CRP are corrected before Phase 3 begins. Organizational Change Management (OCM) activities launch during Phase 2. iteria conducts stakeholder analysis, completes a change impact assessment across affected City departments, and develops the communication plan so that employees understand what is changing, when, and why — well before UAT begins. Deliverables: Configuration Cookbooks, Interface Specification Documents, CRP Test Scripts, Conversion Templates, Change Impact Assessment, and Stakeholder Communication Plan.</w:t>
      </w:r>
    </w:p>
    <w:p>
      <w:pPr>
        <w:pBdr>
          <w:bottom w:val="single" w:sz="8" w:space="4" w:color="F0530A"/>
        </w:pBdr>
        <w:spacing w:before="180" w:after="80"/>
      </w:pPr>
      <w:r>
        <w:rPr>
          <w:rFonts w:ascii="Calibri" w:hAnsi="Calibri"/>
          <w:b/>
          <w:i w:val="0"/>
          <w:color w:val="1A1A2E"/>
          <w:sz w:val="28"/>
        </w:rPr>
        <w:t>Phase 3 — System Integration Testing (Months 4–6: November 2026–January 2027)</w:t>
      </w:r>
    </w:p>
    <w:p>
      <w:pPr>
        <w:spacing w:before="0" w:after="100" w:line="276" w:lineRule="auto"/>
        <w:jc w:val="left"/>
      </w:pPr>
      <w:r>
        <w:rPr>
          <w:rFonts w:ascii="Calibri" w:hAnsi="Calibri"/>
          <w:b w:val="0"/>
          <w:i w:val="0"/>
          <w:color w:val="1A1A2E"/>
          <w:sz w:val="22"/>
        </w:rPr>
        <w:t>Phase 3 is where the full integrated solution is stress-tested. iteria configures the SIT environment using the approved configuration cookbooks from Phase 2, ensuring the SIT environment is a faithful replica of intended production state. We execute a minimum of two complete end-to-end test cycles, covering HCM, Payroll, and UKG integration together — not as isolated module tests.</w:t>
      </w:r>
    </w:p>
    <w:p>
      <w:pPr>
        <w:spacing w:before="0" w:after="100" w:line="276" w:lineRule="auto"/>
        <w:jc w:val="left"/>
      </w:pPr>
      <w:r>
        <w:rPr>
          <w:rFonts w:ascii="Calibri" w:hAnsi="Calibri"/>
          <w:b w:val="0"/>
          <w:i w:val="0"/>
          <w:color w:val="1A1A2E"/>
          <w:sz w:val="22"/>
        </w:rPr>
        <w:t>Interface and integration testing includes bidirectional data flows between OIC and UKG, validating that time and attendance data translates accurately into payroll inputs. Report development and validation occurs within Phase 3 so that reports are tested against real transaction data before UAT begins. iteria manages a live issue log with daily triage calls — issues are categorized, assigned, and resolved within documented SLAs, not allowed to accumulate. Deliverables: SIT Test Plan, executed test scripts, defect log, and report specifications.</w:t>
      </w:r>
    </w:p>
    <w:p>
      <w:pPr>
        <w:pBdr>
          <w:bottom w:val="single" w:sz="8" w:space="4" w:color="F0530A"/>
        </w:pBdr>
        <w:spacing w:before="180" w:after="80"/>
      </w:pPr>
      <w:r>
        <w:rPr>
          <w:rFonts w:ascii="Calibri" w:hAnsi="Calibri"/>
          <w:b/>
          <w:i w:val="0"/>
          <w:color w:val="1A1A2E"/>
          <w:sz w:val="28"/>
        </w:rPr>
        <w:t>Phase 4 — User Acceptance Testing (Months 6–8: January–March 2027)</w:t>
      </w:r>
    </w:p>
    <w:p>
      <w:pPr>
        <w:spacing w:before="0" w:after="100" w:line="276" w:lineRule="auto"/>
        <w:jc w:val="left"/>
      </w:pPr>
      <w:r>
        <w:rPr>
          <w:rFonts w:ascii="Calibri" w:hAnsi="Calibri"/>
          <w:b w:val="0"/>
          <w:i w:val="0"/>
          <w:color w:val="1A1A2E"/>
          <w:sz w:val="22"/>
        </w:rPr>
        <w:t>UAT is client-led. iteria configures the UAT environment, executes the data conversion load into UAT, and deploys integrations — then steps into a support role while City of St. Petersburg staff conduct testing. This is intentional. Staff who test the system in UAT are the same people who will operate it on Day 1, and their direct ownership of UAT is the most effective change management activity on the schedule.</w:t>
      </w:r>
    </w:p>
    <w:p>
      <w:pPr>
        <w:spacing w:before="0" w:after="100" w:line="276" w:lineRule="auto"/>
        <w:jc w:val="left"/>
      </w:pPr>
      <w:r>
        <w:rPr>
          <w:rFonts w:ascii="Calibri" w:hAnsi="Calibri"/>
          <w:b w:val="0"/>
          <w:i w:val="0"/>
          <w:color w:val="1A1A2E"/>
          <w:sz w:val="22"/>
        </w:rPr>
        <w:t>Payroll parallel testing is conducted during Phase 4 and must span a minimum of one full pay period. Payroll results from Oracle Fusion Payroll are compared against results from the City's current payroll system, line by line. Go-live authorization for Payroll is not issued until this parallel run completes with zero discrepancies. Train-the-Trainer sessions are conducted during Phase 4. iteria provides all training materials, job aids, and facilitation guides; the City's designated trainers deliver end-user training to their colleagues with iteria coaching support available throughout. Deliverables: UAT Test Completion Sign-off, Training Materials, and Training Completion Report.</w:t>
      </w:r>
    </w:p>
    <w:p>
      <w:pPr>
        <w:pBdr>
          <w:bottom w:val="single" w:sz="8" w:space="4" w:color="F0530A"/>
        </w:pBdr>
        <w:spacing w:before="180" w:after="80"/>
      </w:pPr>
      <w:r>
        <w:rPr>
          <w:rFonts w:ascii="Calibri" w:hAnsi="Calibri"/>
          <w:b/>
          <w:i w:val="0"/>
          <w:color w:val="1A1A2E"/>
          <w:sz w:val="28"/>
        </w:rPr>
        <w:t>Phase 5 — Go-Live Cutover (Month 9: April 2027)</w:t>
      </w:r>
    </w:p>
    <w:p>
      <w:pPr>
        <w:spacing w:before="0" w:after="100" w:line="276" w:lineRule="auto"/>
        <w:jc w:val="left"/>
      </w:pPr>
      <w:r>
        <w:rPr>
          <w:rFonts w:ascii="Calibri" w:hAnsi="Calibri"/>
          <w:b w:val="0"/>
          <w:i w:val="0"/>
          <w:color w:val="1A1A2E"/>
          <w:sz w:val="22"/>
        </w:rPr>
        <w:t>Cutover begins with a formal go/no-go review against pre-established criteria. If all criteria are met — zero open Severity 1 or Severity 2 defects, payroll parallel complete, UAT sign-off received, data conversion validated, integrations certified — the Cutover Plan is executed. The final data conversion load populates production. Integrations are deployed to the production environment. The City of St. Petersburg goes live on Oracle Fusion Cloud HCM and Oracle Fusion Payroll aligned to a pay cycle boundary, eliminating any risk of a mid-period payroll disruption. iteria's full project team is on-site for Day 1. Deliverables: Cutover Plan, Go-Live Authorization, and Production Confirmation.</w:t>
      </w:r>
    </w:p>
    <w:p>
      <w:pPr>
        <w:pBdr>
          <w:bottom w:val="single" w:sz="8" w:space="4" w:color="F0530A"/>
        </w:pBdr>
        <w:spacing w:before="180" w:after="80"/>
      </w:pPr>
      <w:r>
        <w:rPr>
          <w:rFonts w:ascii="Calibri" w:hAnsi="Calibri"/>
          <w:b/>
          <w:i w:val="0"/>
          <w:color w:val="1A1A2E"/>
          <w:sz w:val="28"/>
        </w:rPr>
        <w:t>Post-Implementation Support</w:t>
      </w:r>
    </w:p>
    <w:p>
      <w:pPr>
        <w:spacing w:before="0" w:after="100" w:line="276" w:lineRule="auto"/>
        <w:jc w:val="left"/>
      </w:pPr>
      <w:r>
        <w:rPr>
          <w:rFonts w:ascii="Calibri" w:hAnsi="Calibri"/>
          <w:b w:val="0"/>
          <w:i w:val="0"/>
          <w:color w:val="1A1A2E"/>
          <w:sz w:val="22"/>
        </w:rPr>
        <w:t>Four weeks of dedicated hypercare support follow go-live immediately. iteria staff are on-site for the first two weeks, present during payroll processing and available for same-day issue resolution. Weeks three and four transition to structured remote support, with daily check-in calls and a live issue triage log. Our service level agreement (SLA) during hypercare is: Severity 1 — one hour, Severity 2 — four hours, Severity 3 — eight hours, Severity 4 — 16 hours. At the conclusion of the hypercare period, the City may transition to iteria Managed Services for ongoing Oracle support, optimization, and future release readiness.</w:t>
      </w:r>
    </w:p>
    <w:p>
      <w:r>
        <w:br w:type="page"/>
      </w:r>
    </w:p>
    <w:p>
      <w:pPr>
        <w:spacing w:before="0" w:after="0"/>
      </w:pPr>
      <w:r>
        <w:rPr>
          <w:rFonts w:ascii="Calibri" w:hAnsi="Calibri"/>
          <w:b/>
          <w:i w:val="0"/>
          <w:color w:val="F0530A"/>
          <w:sz w:val="80"/>
        </w:rPr>
        <w:t>05</w:t>
      </w:r>
    </w:p>
    <w:p>
      <w:pPr>
        <w:pBdr>
          <w:bottom w:val="single" w:sz="14" w:space="4" w:color="F0530A"/>
        </w:pBdr>
        <w:spacing w:before="0" w:after="80"/>
      </w:pPr>
      <w:r>
        <w:rPr>
          <w:rFonts w:ascii="Calibri" w:hAnsi="Calibri"/>
          <w:b/>
          <w:i w:val="0"/>
          <w:color w:val="1A1A2E"/>
          <w:sz w:val="40"/>
        </w:rPr>
        <w:t>Key Personnel</w:t>
      </w:r>
    </w:p>
    <w:p>
      <w:pPr>
        <w:spacing w:before="0" w:after="120"/>
      </w:pPr>
    </w:p>
    <w:p>
      <w:pPr>
        <w:spacing w:before="0" w:after="80"/>
      </w:pPr>
      <w:r>
        <w:t>Key Personnel</w:t>
      </w:r>
    </w:p>
    <w:p>
      <w:pPr>
        <w:pBdr>
          <w:bottom w:val="single" w:sz="8" w:space="4" w:color="F0530A"/>
        </w:pBdr>
        <w:spacing w:before="180" w:after="80"/>
      </w:pPr>
      <w:r>
        <w:rPr>
          <w:rFonts w:ascii="Calibri" w:hAnsi="Calibri"/>
          <w:b/>
          <w:i w:val="0"/>
          <w:color w:val="1A1A2E"/>
          <w:sz w:val="28"/>
        </w:rPr>
        <w:t>Team Philosophy and Staffing Approach</w:t>
      </w:r>
    </w:p>
    <w:p>
      <w:pPr>
        <w:spacing w:before="0" w:after="100" w:line="276" w:lineRule="auto"/>
        <w:jc w:val="left"/>
      </w:pPr>
      <w:r>
        <w:rPr>
          <w:rFonts w:ascii="Calibri" w:hAnsi="Calibri"/>
          <w:b w:val="0"/>
          <w:i w:val="0"/>
          <w:color w:val="1A1A2E"/>
          <w:sz w:val="22"/>
        </w:rPr>
        <w:t>iteria does not maintain a bench. Every consultant assigned to the City of St. Petersburg is selected specifically for this engagement based on three criteria: demonstrated Oracle Fusion Cloud module expertise, relevant government sector experience, and cultural fit with the client organization. This is a deliberate staffing model, not a marketing position. When a competitor draws from available resources, the client absorbs the cost of that mismatch — through slower ramp-up, missed requirements, and handoff friction. We propose the opposite: a team built around this project before work begins.</w:t>
      </w:r>
    </w:p>
    <w:p>
      <w:pPr>
        <w:spacing w:before="0" w:after="100" w:line="276" w:lineRule="auto"/>
        <w:jc w:val="left"/>
      </w:pPr>
      <w:r>
        <w:rPr>
          <w:rFonts w:ascii="Calibri" w:hAnsi="Calibri"/>
          <w:b w:val="0"/>
          <w:i w:val="0"/>
          <w:color w:val="1A1A2E"/>
          <w:sz w:val="22"/>
        </w:rPr>
        <w:t>Cross-training is the structural advantage that makes this model work in practice. Every iteria consultant is proficient in a minimum of three Oracle modules spanning upstream and downstream functions from their primary specialization. Our Human Capital Management (HCM) lead understands how position data flows into Payroll. Our Payroll lead understands the downstream impact on General Ledger (GL). This means that when an issue surfaces at a module boundary — and it will — the consultant who encounters it can diagnose it without waiting for a handoff. Fewer handoffs mean faster resolution and fewer risks to the project schedule.</w:t>
      </w:r>
    </w:p>
    <w:p>
      <w:pPr>
        <w:pBdr>
          <w:bottom w:val="single" w:sz="8" w:space="4" w:color="F0530A"/>
        </w:pBdr>
        <w:spacing w:before="180" w:after="80"/>
      </w:pPr>
      <w:r>
        <w:rPr>
          <w:rFonts w:ascii="Calibri" w:hAnsi="Calibri"/>
          <w:b/>
          <w:i w:val="0"/>
          <w:color w:val="1A1A2E"/>
          <w:sz w:val="28"/>
        </w:rPr>
        <w:t>Project Manager Profile</w:t>
      </w:r>
    </w:p>
    <w:p>
      <w:pPr>
        <w:spacing w:before="0" w:after="100" w:line="276" w:lineRule="auto"/>
        <w:jc w:val="left"/>
      </w:pPr>
      <w:r>
        <w:rPr>
          <w:rFonts w:ascii="Calibri" w:hAnsi="Calibri"/>
          <w:b w:val="0"/>
          <w:i w:val="0"/>
          <w:color w:val="1A1A2E"/>
          <w:sz w:val="22"/>
        </w:rPr>
        <w:t>iteria's Project Manager for this engagement will hold a minimum of three full-cycle Oracle Fusion Cloud implementations, at least two of which must include government sector clients with HCM and Payroll in scope. Government implementations carry requirements that commercial projects do not: fund accounting constraints, public procurement timelines, civil service rules that affect Payroll configuration, and phased go-live strategies that accommodate budget cycles and elected-body approvals. Our PMs are selected because they have navigated these constraints before, not because they are available.</w:t>
      </w:r>
    </w:p>
    <w:p>
      <w:pPr>
        <w:spacing w:before="0" w:after="100" w:line="276" w:lineRule="auto"/>
        <w:jc w:val="left"/>
      </w:pPr>
      <w:r>
        <w:rPr>
          <w:rFonts w:ascii="Calibri" w:hAnsi="Calibri"/>
          <w:b w:val="0"/>
          <w:i w:val="0"/>
          <w:color w:val="1A1A2E"/>
          <w:sz w:val="22"/>
        </w:rPr>
        <w:t>As a reference point for the caliber of project management iteria brings to government engagements, our team recently led the Oracle implementation for Fond du Lac County, Wisconsin — a nine-module deployment serving a 1,050-employee county government with a December 2024 go-live. The St. Petersburg engagement, spanning HCM and Payroll across a multi-phase timeline of 12–24 months, falls squarely within the scope profile our Project Managers are built to manage. The named Project Manager for this engagement will be confirmed and submitted with full credentials upon contract award.</w:t>
      </w:r>
    </w:p>
    <w:p>
      <w:pPr>
        <w:pBdr>
          <w:bottom w:val="single" w:sz="8" w:space="4" w:color="F0530A"/>
        </w:pBdr>
        <w:spacing w:before="180" w:after="80"/>
      </w:pPr>
      <w:r>
        <w:rPr>
          <w:rFonts w:ascii="Calibri" w:hAnsi="Calibri"/>
          <w:b/>
          <w:i w:val="0"/>
          <w:color w:val="1A1A2E"/>
          <w:sz w:val="28"/>
        </w:rPr>
        <w:t>Team Structure</w:t>
      </w:r>
    </w:p>
    <w:p>
      <w:pPr>
        <w:spacing w:before="0" w:after="100" w:line="276" w:lineRule="auto"/>
        <w:jc w:val="left"/>
      </w:pPr>
      <w:r>
        <w:rPr>
          <w:rFonts w:ascii="Calibri" w:hAnsi="Calibri"/>
          <w:b w:val="0"/>
          <w:i w:val="0"/>
          <w:color w:val="1A1A2E"/>
          <w:sz w:val="22"/>
        </w:rPr>
        <w:t>The core iteria implementation team consists of a Project Manager, Functional Leads assigned one per major module area (HCM and Payroll for this engagement), a Technical Lead responsible for integrations, data conversion, and Oracle's VALIDATE data quality tool, and a Training Lead who also serves as the Organizational Change Management (OCM) Coordinator. Offshore development support — handling configuration builds, report development, and testing automation — extends team capacity without inflating on-site cost.</w:t>
      </w:r>
    </w:p>
    <w:p>
      <w:pPr>
        <w:spacing w:before="0" w:after="100" w:line="276" w:lineRule="auto"/>
        <w:jc w:val="left"/>
      </w:pPr>
      <w:r>
        <w:rPr>
          <w:rFonts w:ascii="Calibri" w:hAnsi="Calibri"/>
          <w:b w:val="0"/>
          <w:i w:val="0"/>
          <w:color w:val="1A1A2E"/>
          <w:sz w:val="22"/>
        </w:rPr>
        <w:t>Staffing scales deliberately across project phases. Requirements gathering and Conference Room Pilot (CRP) sessions demand the heaviest on-site presence: Functional Leads, the Project Manager, and the OCM Coordinator are all active and co-located with City staff during these phases. Remote configuration phases operate with a leaner on-site footprint, with Functional Leads available for targeted working sessions while offshore support carries the build workload. System Integration Testing (SIT), User Acceptance Testing (UAT), and go-live preparation return to full team engagement.</w:t>
      </w:r>
    </w:p>
    <w:p>
      <w:pPr>
        <w:pBdr>
          <w:bottom w:val="single" w:sz="8" w:space="4" w:color="F0530A"/>
        </w:pBdr>
        <w:spacing w:before="180" w:after="80"/>
      </w:pPr>
      <w:r>
        <w:rPr>
          <w:rFonts w:ascii="Calibri" w:hAnsi="Calibri"/>
          <w:b/>
          <w:i w:val="0"/>
          <w:color w:val="1A1A2E"/>
          <w:sz w:val="28"/>
        </w:rPr>
        <w:t>Named Team Members</w:t>
      </w:r>
    </w:p>
    <w:p>
      <w:pPr>
        <w:spacing w:before="0" w:after="100" w:line="276" w:lineRule="auto"/>
        <w:jc w:val="left"/>
      </w:pPr>
      <w:r>
        <w:rPr>
          <w:rFonts w:ascii="Calibri" w:hAnsi="Calibri"/>
          <w:b w:val="0"/>
          <w:i w:val="0"/>
          <w:color w:val="1A1A2E"/>
          <w:sz w:val="22"/>
        </w:rPr>
        <w:t>Detailed resumes and confirmed resource assignments will be provided under separate cover once the engagement timeline is finalized and specific resource availability is verified. iteria does not assign personnel speculatively. The team presented at contract award will be the team that executes the project.</w:t>
      </w:r>
    </w:p>
    <w:p>
      <w:pPr>
        <w:pBdr>
          <w:bottom w:val="single" w:sz="8" w:space="4" w:color="F0530A"/>
        </w:pBdr>
        <w:spacing w:before="180" w:after="80"/>
      </w:pPr>
      <w:r>
        <w:rPr>
          <w:rFonts w:ascii="Calibri" w:hAnsi="Calibri"/>
          <w:b/>
          <w:i w:val="0"/>
          <w:color w:val="1A1A2E"/>
          <w:sz w:val="28"/>
        </w:rPr>
        <w:t>Escalation and Support Model</w:t>
      </w:r>
    </w:p>
    <w:p>
      <w:pPr>
        <w:spacing w:before="0" w:after="100" w:line="276" w:lineRule="auto"/>
        <w:jc w:val="left"/>
      </w:pPr>
      <w:r>
        <w:rPr>
          <w:rFonts w:ascii="Calibri" w:hAnsi="Calibri"/>
          <w:b w:val="0"/>
          <w:i w:val="0"/>
          <w:color w:val="1A1A2E"/>
          <w:sz w:val="22"/>
        </w:rPr>
        <w:t>iteria's escalation path runs from Functional Lead to Project Manager to iteria Practice Director to Brian Schell, Chief Executive Officer — four levels, each reachable by direct contact. Post go-live support follows defined response-time commitments: Severity 1 issues receive a response within one hour, Severity 2 within four hours, Severity 3 within eight hours, and Severity 4 within 16 hours. iteria provides on-site hypercare support during the first two weeks following go-live, transitioning to remote support for weeks three and four before the City assumes steady-state operations.</w:t>
      </w:r>
    </w:p>
    <w:p>
      <w:r>
        <w:br w:type="page"/>
      </w:r>
    </w:p>
    <w:p>
      <w:pPr>
        <w:spacing w:before="0" w:after="0"/>
      </w:pPr>
      <w:r>
        <w:rPr>
          <w:rFonts w:ascii="Calibri" w:hAnsi="Calibri"/>
          <w:b/>
          <w:i w:val="0"/>
          <w:color w:val="F0530A"/>
          <w:sz w:val="80"/>
        </w:rPr>
        <w:t>06</w:t>
      </w:r>
    </w:p>
    <w:p>
      <w:pPr>
        <w:pBdr>
          <w:bottom w:val="single" w:sz="14" w:space="4" w:color="F0530A"/>
        </w:pBdr>
        <w:spacing w:before="0" w:after="80"/>
      </w:pPr>
      <w:r>
        <w:rPr>
          <w:rFonts w:ascii="Calibri" w:hAnsi="Calibri"/>
          <w:b/>
          <w:i w:val="0"/>
          <w:color w:val="1A1A2E"/>
          <w:sz w:val="40"/>
        </w:rPr>
        <w:t>Architecture &amp; Security</w:t>
      </w:r>
    </w:p>
    <w:p>
      <w:pPr>
        <w:spacing w:before="0" w:after="120"/>
      </w:pPr>
    </w:p>
    <w:p>
      <w:pPr>
        <w:pBdr>
          <w:bottom w:val="single" w:sz="8" w:space="4" w:color="F0530A"/>
        </w:pBdr>
        <w:spacing w:before="180" w:after="80"/>
      </w:pPr>
      <w:r>
        <w:rPr>
          <w:rFonts w:ascii="Calibri" w:hAnsi="Calibri"/>
          <w:b/>
          <w:i w:val="0"/>
          <w:color w:val="1A1A2E"/>
          <w:sz w:val="28"/>
        </w:rPr>
        <w:t>System Architecture Overview</w:t>
      </w:r>
    </w:p>
    <w:p>
      <w:pPr>
        <w:spacing w:before="0" w:after="100" w:line="276" w:lineRule="auto"/>
        <w:jc w:val="left"/>
      </w:pPr>
      <w:r>
        <w:rPr>
          <w:rFonts w:ascii="Calibri" w:hAnsi="Calibri"/>
          <w:b w:val="0"/>
          <w:i w:val="0"/>
          <w:color w:val="1A1A2E"/>
          <w:sz w:val="22"/>
        </w:rPr>
        <w:t>Oracle Fusion Cloud is a multi-tenant Software as a Service (SaaS) platform. The City of St. Petersburg requires no on-premise servers, no local database administration staff, and no hardware procurement. Oracle manages the full technology stack — compute, storage, networking, database, and application layers — so the City's internal IT resources are not burdened with infrastructure support.</w:t>
      </w:r>
    </w:p>
    <w:p>
      <w:pPr>
        <w:spacing w:before="0" w:after="100" w:line="276" w:lineRule="auto"/>
        <w:jc w:val="left"/>
      </w:pPr>
      <w:r>
        <w:rPr>
          <w:rFonts w:ascii="Calibri" w:hAnsi="Calibri"/>
          <w:b w:val="0"/>
          <w:i w:val="0"/>
          <w:color w:val="1A1A2E"/>
          <w:sz w:val="22"/>
        </w:rPr>
        <w:t>The proposed solution spans Oracle Fusion Cloud ERP (Financials), Oracle Fusion Cloud HCM, Oracle Fusion Payroll, Oracle Fusion Procurement, Oracle Enterprise Performance Management (EPM), and Oracle Integration Cloud (OIC). All modules run on a single shared technology platform. Users across Finance, HR, Payroll, and Procurement work within a consistent browser-based interface — no module-specific clients or plug-ins are required.</w:t>
      </w:r>
    </w:p>
    <w:p>
      <w:pPr>
        <w:spacing w:before="0" w:after="100" w:line="276" w:lineRule="auto"/>
        <w:jc w:val="left"/>
      </w:pPr>
      <w:r>
        <w:rPr>
          <w:rFonts w:ascii="Calibri" w:hAnsi="Calibri"/>
          <w:b w:val="0"/>
          <w:i w:val="0"/>
          <w:color w:val="1A1A2E"/>
          <w:sz w:val="22"/>
        </w:rPr>
        <w:t>OIC serves as the middleware layer for all integrations, including the UKG Time &amp; Attendance interface. OIC provides pre-built adapters, REST and SOAP API support, and real-time or scheduled data exchange. Where the City requires application extensions beyond standard Oracle configuration, Oracle Application Express (APEX) supports lightweight web application development and data warehouse extensions within the Oracle environment. Oracle Visual Builder Cloud Service (VBCS) supports user interface extensions where additional front-end capability is needed, all within Oracle's standard toolset.</w:t>
      </w:r>
    </w:p>
    <w:p>
      <w:pPr>
        <w:spacing w:before="0" w:after="100" w:line="276" w:lineRule="auto"/>
        <w:jc w:val="left"/>
      </w:pPr>
      <w:r>
        <w:rPr>
          <w:rFonts w:ascii="Calibri" w:hAnsi="Calibri"/>
          <w:b w:val="0"/>
          <w:i w:val="0"/>
          <w:color w:val="1A1A2E"/>
          <w:sz w:val="22"/>
        </w:rPr>
        <w:t>We propose three environments: Development (DEV), Test (TEST), and Production (PROD). This structure supports configuration build, testing, and controlled promotion of changes without risk to live City operations. Oracle issues quarterly patches to all SaaS tenants. Our standard patch management process applies each patch to DEV and TEST first. iteria then conducts regression testing within the two-week validation window using VALIDATE, our proprietary automated testing platform. Once regression testing is complete and any issues are resolved, the patch is promoted to PROD. VALIDATE identified issues in Fond du Lac County's HCM Benefits module — achieving an 84% health score on its first automated run — that would otherwise have required days of manual discovery. VALIDATE is included in every iteria managed services engagement at no additional charge.</w:t>
      </w:r>
    </w:p>
    <w:p>
      <w:pPr>
        <w:spacing w:before="0" w:after="100" w:line="276" w:lineRule="auto"/>
        <w:jc w:val="left"/>
      </w:pPr>
      <w:r>
        <w:rPr>
          <w:rFonts w:ascii="Calibri" w:hAnsi="Calibri"/>
          <w:b w:val="0"/>
          <w:i w:val="0"/>
          <w:color w:val="1A1A2E"/>
          <w:sz w:val="22"/>
        </w:rPr>
        <w:t>Supported browsers are current versions of Google Chrome, Microsoft Edge, and Mozilla Firefox. No additional desktop software is required for end-user access.</w:t>
      </w:r>
    </w:p>
    <w:p>
      <w:pPr>
        <w:pBdr>
          <w:bottom w:val="single" w:sz="8" w:space="4" w:color="F0530A"/>
        </w:pBdr>
        <w:spacing w:before="180" w:after="80"/>
      </w:pPr>
      <w:r>
        <w:rPr>
          <w:rFonts w:ascii="Calibri" w:hAnsi="Calibri"/>
          <w:b/>
          <w:i w:val="0"/>
          <w:color w:val="1A1A2E"/>
          <w:sz w:val="28"/>
        </w:rPr>
        <w:t>Security Architecture</w:t>
      </w:r>
    </w:p>
    <w:p>
      <w:pPr>
        <w:spacing w:before="0" w:after="100" w:line="276" w:lineRule="auto"/>
        <w:jc w:val="left"/>
      </w:pPr>
      <w:r>
        <w:rPr>
          <w:rFonts w:ascii="Calibri" w:hAnsi="Calibri"/>
          <w:b w:val="0"/>
          <w:i w:val="0"/>
          <w:color w:val="1A1A2E"/>
          <w:sz w:val="22"/>
        </w:rPr>
        <w:t>Oracle Fusion Cloud uses Role-Based Access Control (RBAC). Every user is assigned one or more roles, and each role carries both action-level permissions (what a user can do) and data-level permissions (what data a user can see). Roles are configured within standard Oracle functionality and can be scoped to specific business units, cost centers, legal entities, or data sets. This means a Finance Analyst in one City department cannot view payroll data or General Ledger (GL) transactions belonging to another department's data set unless explicitly granted access.</w:t>
      </w:r>
    </w:p>
    <w:p>
      <w:pPr>
        <w:spacing w:before="0" w:after="100" w:line="276" w:lineRule="auto"/>
        <w:jc w:val="left"/>
      </w:pPr>
      <w:r>
        <w:rPr>
          <w:rFonts w:ascii="Calibri" w:hAnsi="Calibri"/>
          <w:b w:val="0"/>
          <w:i w:val="0"/>
          <w:color w:val="1A1A2E"/>
          <w:sz w:val="22"/>
        </w:rPr>
        <w:t>Single Sign-On (SSO) is configured using SAML 2.0, fully compatible with the City of St. Petersburg's Microsoft Active Directory and Azure Active Directory (Azure AD) identity platform. City employees authenticate using their existing network credentials. No separate Oracle password is issued or maintained. This eliminates a separate credential management burden and ensures that account terminations or access changes made in Azure AD propagate immediately to Oracle access.</w:t>
      </w:r>
    </w:p>
    <w:p>
      <w:pPr>
        <w:spacing w:before="0" w:after="100" w:line="276" w:lineRule="auto"/>
        <w:jc w:val="left"/>
      </w:pPr>
      <w:r>
        <w:rPr>
          <w:rFonts w:ascii="Calibri" w:hAnsi="Calibri"/>
          <w:b w:val="0"/>
          <w:i w:val="0"/>
          <w:color w:val="1A1A2E"/>
          <w:sz w:val="22"/>
        </w:rPr>
        <w:t>Data in transit is encrypted using Transport Layer Security (TLS) 1.2 or higher on all connections. Data at rest is encrypted using AES-256. The City's data is logically and physically isolated from other Oracle tenants — no shared data tables, no co-mingled storage.</w:t>
      </w:r>
    </w:p>
    <w:p>
      <w:pPr>
        <w:spacing w:before="0" w:after="100" w:line="276" w:lineRule="auto"/>
        <w:jc w:val="left"/>
      </w:pPr>
      <w:r>
        <w:rPr>
          <w:rFonts w:ascii="Calibri" w:hAnsi="Calibri"/>
          <w:b w:val="0"/>
          <w:i w:val="0"/>
          <w:color w:val="1A1A2E"/>
          <w:sz w:val="22"/>
        </w:rPr>
        <w:t>Password complexity rules, account lockout thresholds, and session timeout policies are all configurable within Oracle Identity Management to align with the City's existing security standards.</w:t>
      </w:r>
    </w:p>
    <w:p>
      <w:pPr>
        <w:spacing w:before="0" w:after="100" w:line="276" w:lineRule="auto"/>
        <w:jc w:val="left"/>
      </w:pPr>
      <w:r>
        <w:rPr>
          <w:rFonts w:ascii="Calibri" w:hAnsi="Calibri"/>
          <w:b w:val="0"/>
          <w:i w:val="0"/>
          <w:color w:val="1A1A2E"/>
          <w:sz w:val="22"/>
        </w:rPr>
        <w:t>Remote access for iteria project team members is limited to the shared project repository and the project ticketing system. iteria does not require — and does not request — direct network access to the City's PROD environment.</w:t>
      </w:r>
    </w:p>
    <w:p>
      <w:pPr>
        <w:pBdr>
          <w:bottom w:val="single" w:sz="8" w:space="4" w:color="F0530A"/>
        </w:pBdr>
        <w:spacing w:before="180" w:after="80"/>
      </w:pPr>
      <w:r>
        <w:rPr>
          <w:rFonts w:ascii="Calibri" w:hAnsi="Calibri"/>
          <w:b/>
          <w:i w:val="0"/>
          <w:color w:val="1A1A2E"/>
          <w:sz w:val="28"/>
        </w:rPr>
        <w:t>Security Certifications and Compliance</w:t>
      </w:r>
    </w:p>
    <w:p>
      <w:pPr>
        <w:spacing w:before="0" w:after="100" w:line="276" w:lineRule="auto"/>
        <w:jc w:val="left"/>
      </w:pPr>
      <w:r>
        <w:rPr>
          <w:rFonts w:ascii="Calibri" w:hAnsi="Calibri"/>
          <w:b w:val="0"/>
          <w:i w:val="0"/>
          <w:color w:val="1A1A2E"/>
          <w:sz w:val="22"/>
        </w:rPr>
        <w:t>Oracle holds the following certifications directly relevant to government clients: SOC 1 Type II, SOC 2 Type II, ISO 27001, and FISMA authorization. Oracle's infrastructure and controls are mapped to NIST SP 800-53 and NIST SP 800-171 control frameworks. While FedRAMP authorization has not been identified as a mandatory requirement for this engagement, Oracle's alignment with NIST 800-53 provides the City with a recognized federal security baseline.</w:t>
      </w:r>
    </w:p>
    <w:p>
      <w:pPr>
        <w:spacing w:before="0" w:after="100" w:line="276" w:lineRule="auto"/>
        <w:jc w:val="left"/>
      </w:pPr>
      <w:r>
        <w:rPr>
          <w:rFonts w:ascii="Calibri" w:hAnsi="Calibri"/>
          <w:b w:val="0"/>
          <w:i w:val="0"/>
          <w:color w:val="1A1A2E"/>
          <w:sz w:val="22"/>
        </w:rPr>
        <w:t>Oracle's Security Operations Center monitors network intrusion detection systems (nIDS) 24 hours per day, seven days per week, 365 days per year. Penetration testing and vulnerability scanning are conducted on a regular basis. Detailed security documentation, audit reports, and third-party attestations are available from Oracle Corporation under a non-disclosure agreement upon the City's request.</w:t>
      </w:r>
    </w:p>
    <w:p>
      <w:pPr>
        <w:pBdr>
          <w:bottom w:val="single" w:sz="8" w:space="4" w:color="F0530A"/>
        </w:pBdr>
        <w:spacing w:before="180" w:after="80"/>
      </w:pPr>
      <w:r>
        <w:rPr>
          <w:rFonts w:ascii="Calibri" w:hAnsi="Calibri"/>
          <w:b/>
          <w:i w:val="0"/>
          <w:color w:val="1A1A2E"/>
          <w:sz w:val="28"/>
        </w:rPr>
        <w:t>Hosting and Data Centers</w:t>
      </w:r>
    </w:p>
    <w:p>
      <w:pPr>
        <w:spacing w:before="0" w:after="100" w:line="276" w:lineRule="auto"/>
        <w:jc w:val="left"/>
      </w:pPr>
      <w:r>
        <w:rPr>
          <w:rFonts w:ascii="Calibri" w:hAnsi="Calibri"/>
          <w:b w:val="0"/>
          <w:i w:val="0"/>
          <w:color w:val="1A1A2E"/>
          <w:sz w:val="22"/>
        </w:rPr>
        <w:t>Oracle Cloud Services for this engagement are hosted in US data centers located in Ashburn, Virginia and Phoenix, Arizona. Both facilities meet Tier 3/4 standards under the TIA ANSI/TIA-942-A certification framework. Oracle maintains N+1 redundancy across all critical infrastructure components, including power, cooling, and networking.</w:t>
      </w:r>
    </w:p>
    <w:p>
      <w:pPr>
        <w:spacing w:before="0" w:after="100" w:line="276" w:lineRule="auto"/>
        <w:jc w:val="left"/>
      </w:pPr>
      <w:r>
        <w:rPr>
          <w:rFonts w:ascii="Calibri" w:hAnsi="Calibri"/>
          <w:b w:val="0"/>
          <w:i w:val="0"/>
          <w:color w:val="1A1A2E"/>
          <w:sz w:val="22"/>
        </w:rPr>
        <w:t>All City of St. Petersburg data is stored within the continental United States. No City data is routed to or stored in international data centers.</w:t>
      </w:r>
    </w:p>
    <w:p>
      <w:pPr>
        <w:spacing w:before="0" w:after="100" w:line="276" w:lineRule="auto"/>
        <w:jc w:val="left"/>
      </w:pPr>
      <w:r>
        <w:rPr>
          <w:rFonts w:ascii="Calibri" w:hAnsi="Calibri"/>
          <w:b w:val="0"/>
          <w:i w:val="0"/>
          <w:color w:val="1A1A2E"/>
          <w:sz w:val="22"/>
        </w:rPr>
        <w:t>Oracle's SaaS Service Level Agreement (SLA) targets 99.5% uptime. Application response time targets are under two seconds for 90% of HTTP requests under standard load conditions. [CLIENT-SPECIFIC — VERIFY] Confirm whether the City's RFP or IT security policy specifies additional uptime or response time thresholds beyond Oracle's standard SLA that would require contractual negotiation with Oracle.</w:t>
      </w:r>
    </w:p>
    <w:p>
      <w:pPr>
        <w:pBdr>
          <w:bottom w:val="single" w:sz="8" w:space="4" w:color="F0530A"/>
        </w:pBdr>
        <w:spacing w:before="180" w:after="80"/>
      </w:pPr>
      <w:r>
        <w:rPr>
          <w:rFonts w:ascii="Calibri" w:hAnsi="Calibri"/>
          <w:b/>
          <w:i w:val="0"/>
          <w:color w:val="1A1A2E"/>
          <w:sz w:val="28"/>
        </w:rPr>
        <w:t>Disaster Recovery and Business Continuity</w:t>
      </w:r>
    </w:p>
    <w:p>
      <w:pPr>
        <w:spacing w:before="0" w:after="100" w:line="276" w:lineRule="auto"/>
        <w:jc w:val="left"/>
      </w:pPr>
      <w:r>
        <w:rPr>
          <w:rFonts w:ascii="Calibri" w:hAnsi="Calibri"/>
          <w:b w:val="0"/>
          <w:i w:val="0"/>
          <w:color w:val="1A1A2E"/>
          <w:sz w:val="22"/>
        </w:rPr>
        <w:t>Oracle maintains redundant infrastructure across its Ashburn and Phoenix data center pair. In the event of a primary data center failure, DNS failover routes traffic to the secondary facility. Recovery Time Objective (RTO) and Recovery Point Objective (RPO) targets are defined in Oracle's standard SaaS agreement. [CLIENT-SPECIFIC — VERIFY] If the City's business continuity policy requires RTO/RPO targets more stringent than Oracle's published standards, this should be reviewed and documented during contract negotiation.</w:t>
      </w:r>
    </w:p>
    <w:p>
      <w:pPr>
        <w:spacing w:before="0" w:after="100" w:line="276" w:lineRule="auto"/>
        <w:jc w:val="left"/>
      </w:pPr>
      <w:r>
        <w:rPr>
          <w:rFonts w:ascii="Calibri" w:hAnsi="Calibri"/>
          <w:b w:val="0"/>
          <w:i w:val="0"/>
          <w:color w:val="1A1A2E"/>
          <w:sz w:val="22"/>
        </w:rPr>
        <w:t>Oracle's standard backup process includes daily incremental backups and weekly full backups, all managed by Oracle. The City is not responsible for database backup operations. Quarterly patch rollback is not a standard Oracle SaaS offering. This is a material point: once a quarterly patch is promoted to PROD, it cannot be reversed. This is precisely why iteria treats the two-week regression testing window before each PROD patch promotion as a non-negotiable project discipline, not a best effort. VALIDATE automates this regression testing, reducing the time and manual effort required to confirm that the City's configured workflows, integrations, and reports function correctly after each patch.</w:t>
      </w:r>
    </w:p>
    <w:p>
      <w:r>
        <w:br w:type="page"/>
      </w:r>
    </w:p>
    <w:p>
      <w:pPr>
        <w:spacing w:before="0" w:after="0"/>
      </w:pPr>
      <w:r>
        <w:rPr>
          <w:rFonts w:ascii="Calibri" w:hAnsi="Calibri"/>
          <w:b/>
          <w:i w:val="0"/>
          <w:color w:val="F0530A"/>
          <w:sz w:val="80"/>
        </w:rPr>
        <w:t>07</w:t>
      </w:r>
    </w:p>
    <w:p>
      <w:pPr>
        <w:pBdr>
          <w:bottom w:val="single" w:sz="14" w:space="4" w:color="F0530A"/>
        </w:pBdr>
        <w:spacing w:before="0" w:after="80"/>
      </w:pPr>
      <w:r>
        <w:rPr>
          <w:rFonts w:ascii="Calibri" w:hAnsi="Calibri"/>
          <w:b/>
          <w:i w:val="0"/>
          <w:color w:val="1A1A2E"/>
          <w:sz w:val="40"/>
        </w:rPr>
        <w:t>Data Conversion</w:t>
      </w:r>
    </w:p>
    <w:p>
      <w:pPr>
        <w:spacing w:before="0" w:after="120"/>
      </w:pPr>
    </w:p>
    <w:p>
      <w:pPr>
        <w:spacing w:before="0" w:after="80"/>
      </w:pPr>
      <w:r>
        <w:t>Tab 7 — Data Conversion Plan</w:t>
      </w:r>
    </w:p>
    <w:p>
      <w:pPr>
        <w:pBdr>
          <w:bottom w:val="single" w:sz="8" w:space="4" w:color="F0530A"/>
        </w:pBdr>
        <w:spacing w:before="180" w:after="80"/>
      </w:pPr>
      <w:r>
        <w:rPr>
          <w:rFonts w:ascii="Calibri" w:hAnsi="Calibri"/>
          <w:b/>
          <w:i w:val="0"/>
          <w:color w:val="1A1A2E"/>
          <w:sz w:val="28"/>
        </w:rPr>
        <w:t>Data Conversion Approach</w:t>
      </w:r>
    </w:p>
    <w:p>
      <w:pPr>
        <w:spacing w:before="0" w:after="100" w:line="276" w:lineRule="auto"/>
        <w:jc w:val="left"/>
      </w:pPr>
      <w:r>
        <w:rPr>
          <w:rFonts w:ascii="Calibri" w:hAnsi="Calibri"/>
          <w:b w:val="0"/>
          <w:i w:val="0"/>
          <w:color w:val="1A1A2E"/>
          <w:sz w:val="22"/>
        </w:rPr>
        <w:t>iteria approaches data conversion as a structured, multi-pass discipline — not a one-time data migration event. Oracle Fusion Cloud's open API architecture supports programmatic data loading through validated conversion programs, which means data integrity is enforced at every stage rather than discovered after the fact.</w:t>
      </w:r>
    </w:p>
    <w:p>
      <w:pPr>
        <w:spacing w:before="0" w:after="100" w:line="276" w:lineRule="auto"/>
        <w:jc w:val="left"/>
      </w:pPr>
      <w:r>
        <w:rPr>
          <w:rFonts w:ascii="Calibri" w:hAnsi="Calibri"/>
          <w:b w:val="0"/>
          <w:i w:val="0"/>
          <w:color w:val="1A1A2E"/>
          <w:sz w:val="22"/>
        </w:rPr>
        <w:t>Our conversion methodology follows five sequential phases:</w:t>
      </w:r>
    </w:p>
    <w:p>
      <w:pPr>
        <w:spacing w:before="0" w:after="100" w:line="276" w:lineRule="auto"/>
        <w:jc w:val="left"/>
      </w:pPr>
      <w:r>
        <w:rPr>
          <w:rFonts w:ascii="Calibri" w:hAnsi="Calibri"/>
          <w:b/>
          <w:i w:val="0"/>
          <w:color w:val="1A1A2E"/>
          <w:sz w:val="22"/>
        </w:rPr>
        <w:t>Extraction.</w:t>
      </w:r>
      <w:r>
        <w:rPr>
          <w:rFonts w:ascii="Calibri" w:hAnsi="Calibri"/>
          <w:b w:val="0"/>
          <w:i w:val="0"/>
          <w:color w:val="1A1A2E"/>
          <w:sz w:val="22"/>
        </w:rPr>
        <w:t xml:space="preserve"> iteria develops extraction routines tailored to the City's legacy source systems, which will be formally identified during the Boundary Confirmation session. These routines pull data in a structured format suitable for cleansing and mapping — not ad hoc spreadsheet exports.</w:t>
      </w:r>
    </w:p>
    <w:p>
      <w:pPr>
        <w:spacing w:before="0" w:after="100" w:line="276" w:lineRule="auto"/>
        <w:jc w:val="left"/>
      </w:pPr>
      <w:r>
        <w:rPr>
          <w:rFonts w:ascii="Calibri" w:hAnsi="Calibri"/>
          <w:b/>
          <w:i w:val="0"/>
          <w:color w:val="1A1A2E"/>
          <w:sz w:val="22"/>
        </w:rPr>
        <w:t>Cleansing.</w:t>
      </w:r>
      <w:r>
        <w:rPr>
          <w:rFonts w:ascii="Calibri" w:hAnsi="Calibri"/>
          <w:b w:val="0"/>
          <w:i w:val="0"/>
          <w:color w:val="1A1A2E"/>
          <w:sz w:val="22"/>
        </w:rPr>
        <w:t xml:space="preserve"> iteria and City of St. Petersburg staff work jointly to make decisions about data quality, retention cutoff dates, and record-level exceptions. This phase requires active client participation. No vendor can independently determine whether an employee record is active, whether a balance is correct, or whether a historical transaction is complete.</w:t>
      </w:r>
    </w:p>
    <w:p>
      <w:pPr>
        <w:spacing w:before="0" w:after="100" w:line="276" w:lineRule="auto"/>
        <w:jc w:val="left"/>
      </w:pPr>
      <w:r>
        <w:rPr>
          <w:rFonts w:ascii="Calibri" w:hAnsi="Calibri"/>
          <w:b/>
          <w:i w:val="0"/>
          <w:color w:val="1A1A2E"/>
          <w:sz w:val="22"/>
        </w:rPr>
        <w:t>Translation.</w:t>
      </w:r>
      <w:r>
        <w:rPr>
          <w:rFonts w:ascii="Calibri" w:hAnsi="Calibri"/>
          <w:b w:val="0"/>
          <w:i w:val="0"/>
          <w:color w:val="1A1A2E"/>
          <w:sz w:val="22"/>
        </w:rPr>
        <w:t xml:space="preserve"> iteria builds mapping routines that convert legacy values to the corresponding Oracle structures — old HR element names to new Oracle element definitions, legacy job codes to Oracle job classifications, and legacy pay codes to Oracle Payroll elements. Every crosswalk is documented and approved by the City before loading begins.</w:t>
      </w:r>
    </w:p>
    <w:p>
      <w:pPr>
        <w:spacing w:before="0" w:after="100" w:line="276" w:lineRule="auto"/>
        <w:jc w:val="left"/>
      </w:pPr>
      <w:r>
        <w:rPr>
          <w:rFonts w:ascii="Calibri" w:hAnsi="Calibri"/>
          <w:b/>
          <w:i w:val="0"/>
          <w:color w:val="1A1A2E"/>
          <w:sz w:val="22"/>
        </w:rPr>
        <w:t>Loading.</w:t>
      </w:r>
      <w:r>
        <w:rPr>
          <w:rFonts w:ascii="Calibri" w:hAnsi="Calibri"/>
          <w:b w:val="0"/>
          <w:i w:val="0"/>
          <w:color w:val="1A1A2E"/>
          <w:sz w:val="22"/>
        </w:rPr>
        <w:t xml:space="preserve"> Data is loaded into Oracle HCM Cloud and Oracle Payroll via validated conversion programs. Each object has defined acceptance criteria.</w:t>
      </w:r>
    </w:p>
    <w:p>
      <w:pPr>
        <w:spacing w:before="0" w:after="100" w:line="276" w:lineRule="auto"/>
        <w:jc w:val="left"/>
      </w:pPr>
      <w:r>
        <w:rPr>
          <w:rFonts w:ascii="Calibri" w:hAnsi="Calibri"/>
          <w:b/>
          <w:i w:val="0"/>
          <w:color w:val="1A1A2E"/>
          <w:sz w:val="22"/>
        </w:rPr>
        <w:t>Validation.</w:t>
      </w:r>
      <w:r>
        <w:rPr>
          <w:rFonts w:ascii="Calibri" w:hAnsi="Calibri"/>
          <w:b w:val="0"/>
          <w:i w:val="0"/>
          <w:color w:val="1A1A2E"/>
          <w:sz w:val="22"/>
        </w:rPr>
        <w:t xml:space="preserve"> The City confirms that loaded data matches source records and signs off before any environment is promoted. This is not a courtesy step — it is a formal gate.</w:t>
      </w:r>
    </w:p>
    <w:p>
      <w:pPr>
        <w:spacing w:before="0" w:after="100" w:line="276" w:lineRule="auto"/>
        <w:jc w:val="left"/>
      </w:pPr>
      <w:r>
        <w:rPr>
          <w:rFonts w:ascii="Calibri" w:hAnsi="Calibri"/>
          <w:b w:val="0"/>
          <w:i w:val="0"/>
          <w:color w:val="1A1A2E"/>
          <w:sz w:val="22"/>
        </w:rPr>
        <w:t>This process is iterative. Mock conversion runs execute in the TEST environment before any data is loaded to production. The City should plan for a minimum of two mock conversion runs: one early enough to surface systemic data quality issues, and one final run that mirrors the production load sequence exactly.</w:t>
      </w:r>
    </w:p>
    <w:p>
      <w:pPr>
        <w:pBdr>
          <w:bottom w:val="single" w:sz="8" w:space="4" w:color="F0530A"/>
        </w:pBdr>
        <w:spacing w:before="180" w:after="80"/>
      </w:pPr>
      <w:r>
        <w:rPr>
          <w:rFonts w:ascii="Calibri" w:hAnsi="Calibri"/>
          <w:b/>
          <w:i w:val="0"/>
          <w:color w:val="1A1A2E"/>
          <w:sz w:val="28"/>
        </w:rPr>
        <w:t>Data Cleansing and Client Responsibilities</w:t>
      </w:r>
    </w:p>
    <w:p>
      <w:pPr>
        <w:spacing w:before="0" w:after="100" w:line="276" w:lineRule="auto"/>
        <w:jc w:val="left"/>
      </w:pPr>
      <w:r>
        <w:rPr>
          <w:rFonts w:ascii="Calibri" w:hAnsi="Calibri"/>
          <w:b w:val="0"/>
          <w:i w:val="0"/>
          <w:color w:val="1A1A2E"/>
          <w:sz w:val="22"/>
        </w:rPr>
        <w:t>Data cleansing is consistently one of the most underestimated activities in any Oracle implementation. The City of St. Petersburg's staff must own this work. iteria provides templates, format specifications, and exception reports — but decisions about which records to retain, correct, or retire belong to the client.</w:t>
      </w:r>
    </w:p>
    <w:p>
      <w:pPr>
        <w:spacing w:before="0" w:after="100" w:line="276" w:lineRule="auto"/>
        <w:jc w:val="left"/>
      </w:pPr>
      <w:r>
        <w:rPr>
          <w:rFonts w:ascii="Calibri" w:hAnsi="Calibri"/>
          <w:b w:val="0"/>
          <w:i w:val="0"/>
          <w:color w:val="1A1A2E"/>
          <w:sz w:val="22"/>
        </w:rPr>
        <w:t>For Oracle HCM Cloud, this means validating employee master records, job and position hierarchies, benefit enrollments, and assignment histories. For Oracle Payroll, the stakes are higher. Year-to-date and quarter-to-date balance data must be validated element by element against the legacy system before any parallel payroll run is authorized. A payroll parallel run with incorrect opening balances produces unreliable results — and unreliable results cannot be used to authorize go-live.</w:t>
      </w:r>
    </w:p>
    <w:p>
      <w:pPr>
        <w:spacing w:before="0" w:after="100" w:line="276" w:lineRule="auto"/>
        <w:jc w:val="left"/>
      </w:pPr>
      <w:r>
        <w:rPr>
          <w:rFonts w:ascii="Calibri" w:hAnsi="Calibri"/>
          <w:b w:val="0"/>
          <w:i w:val="0"/>
          <w:color w:val="1A1A2E"/>
          <w:sz w:val="22"/>
        </w:rPr>
        <w:t>The City's legacy source systems will be formally inventoried during the Discover and Design phase [CLIENT-SPECIFIC — VERIFY]. Known data quality concerns have not been specified at this stage; iteria will conduct a structured data quality assessment during Boundary Confirmation to identify gaps before conversion development begins. Target historical retention is seven years, consistent with standard government records retention requirements.</w:t>
      </w:r>
    </w:p>
    <w:p>
      <w:pPr>
        <w:pBdr>
          <w:bottom w:val="single" w:sz="8" w:space="4" w:color="F0530A"/>
        </w:pBdr>
        <w:spacing w:before="180" w:after="80"/>
      </w:pPr>
      <w:r>
        <w:rPr>
          <w:rFonts w:ascii="Calibri" w:hAnsi="Calibri"/>
          <w:b/>
          <w:i w:val="0"/>
          <w:color w:val="1A1A2E"/>
          <w:sz w:val="28"/>
        </w:rPr>
        <w:t>Legacy Data Retention</w:t>
      </w:r>
    </w:p>
    <w:p>
      <w:pPr>
        <w:spacing w:before="0" w:after="100" w:line="276" w:lineRule="auto"/>
        <w:jc w:val="left"/>
      </w:pPr>
      <w:r>
        <w:rPr>
          <w:rFonts w:ascii="Calibri" w:hAnsi="Calibri"/>
          <w:b w:val="0"/>
          <w:i w:val="0"/>
          <w:color w:val="1A1A2E"/>
          <w:sz w:val="22"/>
        </w:rPr>
        <w:t>iteria will convert seven years of historical data into Oracle, consistent with the City's retention requirement. For any records that fall outside the production Oracle environment scope, iteria can develop a historical data archive using Oracle APEX or Oracle Analytics Cloud (OAC) under a separate statement of work. This approach gives authorized City staff continued read access to pre-conversion records without introducing legacy data volumes into the active production environment.</w:t>
      </w:r>
    </w:p>
    <w:p>
      <w:pPr>
        <w:pBdr>
          <w:bottom w:val="single" w:sz="8" w:space="4" w:color="F0530A"/>
        </w:pBdr>
        <w:spacing w:before="180" w:after="80"/>
      </w:pPr>
      <w:r>
        <w:rPr>
          <w:rFonts w:ascii="Calibri" w:hAnsi="Calibri"/>
          <w:b/>
          <w:i w:val="0"/>
          <w:color w:val="1A1A2E"/>
          <w:sz w:val="28"/>
        </w:rPr>
        <w:t>Roles and Responsibilities Matrix</w:t>
      </w:r>
    </w:p>
    <w:p>
      <w:pPr>
        <w:spacing w:before="0" w:after="100" w:line="276" w:lineRule="auto"/>
        <w:jc w:val="left"/>
      </w:pPr>
      <w:r>
        <w:rPr>
          <w:rFonts w:ascii="Calibri" w:hAnsi="Calibri"/>
          <w:b w:val="0"/>
          <w:i w:val="0"/>
          <w:color w:val="1A1A2E"/>
          <w:sz w:val="22"/>
        </w:rPr>
        <w:t xml:space="preserve">The following table defines accountability for each data conversion activity. </w:t>
      </w:r>
      <w:r>
        <w:rPr>
          <w:rFonts w:ascii="Calibri" w:hAnsi="Calibri"/>
          <w:b/>
          <w:i w:val="0"/>
          <w:color w:val="1A1A2E"/>
          <w:sz w:val="22"/>
        </w:rPr>
        <w:t>Lead</w:t>
      </w:r>
      <w:r>
        <w:rPr>
          <w:rFonts w:ascii="Calibri" w:hAnsi="Calibri"/>
          <w:b w:val="0"/>
          <w:i w:val="0"/>
          <w:color w:val="1A1A2E"/>
          <w:sz w:val="22"/>
        </w:rPr>
        <w:t xml:space="preserve"> = primary owner; </w:t>
      </w:r>
      <w:r>
        <w:rPr>
          <w:rFonts w:ascii="Calibri" w:hAnsi="Calibri"/>
          <w:b/>
          <w:i w:val="0"/>
          <w:color w:val="1A1A2E"/>
          <w:sz w:val="22"/>
        </w:rPr>
        <w:t>Participate</w:t>
      </w:r>
      <w:r>
        <w:rPr>
          <w:rFonts w:ascii="Calibri" w:hAnsi="Calibri"/>
          <w:b w:val="0"/>
          <w:i w:val="0"/>
          <w:color w:val="1A1A2E"/>
          <w:sz w:val="22"/>
        </w:rPr>
        <w:t xml:space="preserve"> = active contributor; </w:t>
      </w:r>
      <w:r>
        <w:rPr>
          <w:rFonts w:ascii="Calibri" w:hAnsi="Calibri"/>
          <w:b/>
          <w:i w:val="0"/>
          <w:color w:val="1A1A2E"/>
          <w:sz w:val="22"/>
        </w:rPr>
        <w:t>Assist</w:t>
      </w:r>
      <w:r>
        <w:rPr>
          <w:rFonts w:ascii="Calibri" w:hAnsi="Calibri"/>
          <w:b w:val="0"/>
          <w:i w:val="0"/>
          <w:color w:val="1A1A2E"/>
          <w:sz w:val="22"/>
        </w:rPr>
        <w:t xml:space="preserve"> = provides input as needed; </w:t>
      </w:r>
      <w:r>
        <w:rPr>
          <w:rFonts w:ascii="Calibri" w:hAnsi="Calibri"/>
          <w:b/>
          <w:i w:val="0"/>
          <w:color w:val="1A1A2E"/>
          <w:sz w:val="22"/>
        </w:rPr>
        <w:t>Share</w:t>
      </w:r>
      <w:r>
        <w:rPr>
          <w:rFonts w:ascii="Calibri" w:hAnsi="Calibri"/>
          <w:b w:val="0"/>
          <w:i w:val="0"/>
          <w:color w:val="1A1A2E"/>
          <w:sz w:val="22"/>
        </w:rPr>
        <w:t xml:space="preserve"> = joint accountability; </w:t>
      </w:r>
      <w:r>
        <w:rPr>
          <w:rFonts w:ascii="Calibri" w:hAnsi="Calibri"/>
          <w:b/>
          <w:i w:val="0"/>
          <w:color w:val="1A1A2E"/>
          <w:sz w:val="22"/>
        </w:rPr>
        <w:t>None</w:t>
      </w:r>
      <w:r>
        <w:rPr>
          <w:rFonts w:ascii="Calibri" w:hAnsi="Calibri"/>
          <w:b w:val="0"/>
          <w:i w:val="0"/>
          <w:color w:val="1A1A2E"/>
          <w:sz w:val="22"/>
        </w:rPr>
        <w:t xml:space="preserve"> = not responsible.</w:t>
      </w:r>
    </w:p>
    <w:tbl>
      <w:tblPr>
        <w:tblW w:type="dxa" w:w="936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Row="1" w:firstColumn="1" w:lastRow="0" w:lastColumn="0" w:noHBand="0" w:noVBand="1" w:val="04A0"/>
      </w:tblPr>
      <w:tblGrid>
        <w:gridCol w:w="400"/>
        <w:gridCol w:w="4560"/>
        <w:gridCol w:w="1200"/>
        <w:gridCol w:w="3200"/>
      </w:tblGrid>
      <w:tr>
        <w:tc>
          <w:tcPr>
            <w:tcW w:w="400" w:type="dxa"/>
            <w:shd w:val="clear" w:color="auto" w:fill="1A1A2E"/>
            <w:tcMar>
              <w:top w:w="80" w:type="dxa"/>
              <w:start w:w="100" w:type="dxa"/>
              <w:bottom w:w="80" w:type="dxa"/>
              <w:end w:w="100" w:type="dxa"/>
            </w:tcMar>
          </w:tcPr>
          <w:p>
            <w:pPr>
              <w:spacing w:before="0" w:after="40"/>
            </w:pPr>
            <w:r>
              <w:rPr>
                <w:rFonts w:ascii="Calibri" w:hAnsi="Calibri"/>
                <w:b/>
                <w:color w:val="FFFFFF"/>
                <w:sz w:val="20"/>
              </w:rPr>
              <w:t xml:space="preserve">#</w:t>
            </w:r>
          </w:p>
        </w:tc>
        <w:tc>
          <w:tcPr>
            <w:tcW w:w="4560" w:type="dxa"/>
            <w:shd w:val="clear" w:color="auto" w:fill="1A1A2E"/>
            <w:tcMar>
              <w:top w:w="80" w:type="dxa"/>
              <w:start w:w="100" w:type="dxa"/>
              <w:bottom w:w="80" w:type="dxa"/>
              <w:end w:w="100" w:type="dxa"/>
            </w:tcMar>
          </w:tcPr>
          <w:p>
            <w:pPr>
              <w:spacing w:before="0" w:after="40"/>
            </w:pPr>
            <w:r>
              <w:rPr>
                <w:rFonts w:ascii="Calibri" w:hAnsi="Calibri"/>
                <w:b/>
                <w:color w:val="FFFFFF"/>
                <w:sz w:val="20"/>
              </w:rPr>
              <w:t xml:space="preserve">Data Conversion Activity</w:t>
            </w:r>
          </w:p>
        </w:tc>
        <w:tc>
          <w:tcPr>
            <w:tcW w:w="1200" w:type="dxa"/>
            <w:shd w:val="clear" w:color="auto" w:fill="1A1A2E"/>
            <w:tcMar>
              <w:top w:w="80" w:type="dxa"/>
              <w:start w:w="100" w:type="dxa"/>
              <w:bottom w:w="80" w:type="dxa"/>
              <w:end w:w="100" w:type="dxa"/>
            </w:tcMar>
          </w:tcPr>
          <w:p>
            <w:pPr>
              <w:spacing w:before="0" w:after="40"/>
            </w:pPr>
            <w:r>
              <w:rPr>
                <w:rFonts w:ascii="Calibri" w:hAnsi="Calibri"/>
                <w:b/>
                <w:color w:val="FFFFFF"/>
                <w:sz w:val="20"/>
              </w:rPr>
              <w:t xml:space="preserve">iteria</w:t>
            </w:r>
          </w:p>
        </w:tc>
        <w:tc>
          <w:tcPr>
            <w:tcW w:w="3200" w:type="dxa"/>
            <w:shd w:val="clear" w:color="auto" w:fill="1A1A2E"/>
            <w:tcMar>
              <w:top w:w="80" w:type="dxa"/>
              <w:start w:w="100" w:type="dxa"/>
              <w:bottom w:w="80" w:type="dxa"/>
              <w:end w:w="100" w:type="dxa"/>
            </w:tcMar>
          </w:tcPr>
          <w:p>
            <w:pPr>
              <w:spacing w:before="0" w:after="40"/>
            </w:pPr>
            <w:r>
              <w:rPr>
                <w:rFonts w:ascii="Calibri" w:hAnsi="Calibri"/>
                <w:b/>
                <w:color w:val="FFFFFF"/>
                <w:sz w:val="20"/>
              </w:rPr>
              <w:t xml:space="preserve">City of St. Petersburg, FL</w:t>
            </w:r>
          </w:p>
        </w:tc>
      </w:tr>
      <w:tr>
        <w:tc>
          <w:tcPr>
            <w:tcW w:w="4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1</w:t>
            </w:r>
          </w:p>
        </w:tc>
        <w:tc>
          <w:tcPr>
            <w:tcW w:w="456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Conversion analysis of existing legacy data</w:t>
            </w:r>
          </w:p>
        </w:tc>
        <w:tc>
          <w:tcPr>
            <w:tcW w:w="1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Lead</w:t>
            </w:r>
          </w:p>
        </w:tc>
        <w:tc>
          <w:tcPr>
            <w:tcW w:w="3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Participate</w:t>
            </w:r>
          </w:p>
        </w:tc>
      </w:tr>
      <w:tr>
        <w:tc>
          <w:tcPr>
            <w:tcW w:w="4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2</w:t>
            </w:r>
          </w:p>
        </w:tc>
        <w:tc>
          <w:tcPr>
            <w:tcW w:w="456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Crosswalk development — legacy values to new Oracle structures</w:t>
            </w:r>
          </w:p>
        </w:tc>
        <w:tc>
          <w:tcPr>
            <w:tcW w:w="1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Lead</w:t>
            </w:r>
          </w:p>
        </w:tc>
        <w:tc>
          <w:tcPr>
            <w:tcW w:w="3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Participate</w:t>
            </w:r>
          </w:p>
        </w:tc>
      </w:tr>
      <w:tr>
        <w:tc>
          <w:tcPr>
            <w:tcW w:w="4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3</w:t>
            </w:r>
          </w:p>
        </w:tc>
        <w:tc>
          <w:tcPr>
            <w:tcW w:w="456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Provide source conversion data</w:t>
            </w:r>
          </w:p>
        </w:tc>
        <w:tc>
          <w:tcPr>
            <w:tcW w:w="1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None</w:t>
            </w:r>
          </w:p>
        </w:tc>
        <w:tc>
          <w:tcPr>
            <w:tcW w:w="3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Lead</w:t>
            </w:r>
          </w:p>
        </w:tc>
      </w:tr>
      <w:tr>
        <w:tc>
          <w:tcPr>
            <w:tcW w:w="4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4</w:t>
            </w:r>
          </w:p>
        </w:tc>
        <w:tc>
          <w:tcPr>
            <w:tcW w:w="456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Provide file layouts and data maps of existing systems</w:t>
            </w:r>
          </w:p>
        </w:tc>
        <w:tc>
          <w:tcPr>
            <w:tcW w:w="1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None</w:t>
            </w:r>
          </w:p>
        </w:tc>
        <w:tc>
          <w:tcPr>
            <w:tcW w:w="3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Lead</w:t>
            </w:r>
          </w:p>
        </w:tc>
      </w:tr>
      <w:tr>
        <w:tc>
          <w:tcPr>
            <w:tcW w:w="4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5</w:t>
            </w:r>
          </w:p>
        </w:tc>
        <w:tc>
          <w:tcPr>
            <w:tcW w:w="456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Proof and validate source data</w:t>
            </w:r>
          </w:p>
        </w:tc>
        <w:tc>
          <w:tcPr>
            <w:tcW w:w="1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Assist</w:t>
            </w:r>
          </w:p>
        </w:tc>
        <w:tc>
          <w:tcPr>
            <w:tcW w:w="3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Lead</w:t>
            </w:r>
          </w:p>
        </w:tc>
      </w:tr>
      <w:tr>
        <w:tc>
          <w:tcPr>
            <w:tcW w:w="4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6</w:t>
            </w:r>
          </w:p>
        </w:tc>
        <w:tc>
          <w:tcPr>
            <w:tcW w:w="456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Analysis of data to be converted</w:t>
            </w:r>
          </w:p>
        </w:tc>
        <w:tc>
          <w:tcPr>
            <w:tcW w:w="1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Lead</w:t>
            </w:r>
          </w:p>
        </w:tc>
        <w:tc>
          <w:tcPr>
            <w:tcW w:w="3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Assist</w:t>
            </w:r>
          </w:p>
        </w:tc>
      </w:tr>
      <w:tr>
        <w:tc>
          <w:tcPr>
            <w:tcW w:w="4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7</w:t>
            </w:r>
          </w:p>
        </w:tc>
        <w:tc>
          <w:tcPr>
            <w:tcW w:w="456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Develop and test conversion programs</w:t>
            </w:r>
          </w:p>
        </w:tc>
        <w:tc>
          <w:tcPr>
            <w:tcW w:w="1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Lead</w:t>
            </w:r>
          </w:p>
        </w:tc>
        <w:tc>
          <w:tcPr>
            <w:tcW w:w="3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None</w:t>
            </w:r>
          </w:p>
        </w:tc>
      </w:tr>
      <w:tr>
        <w:tc>
          <w:tcPr>
            <w:tcW w:w="4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8</w:t>
            </w:r>
          </w:p>
        </w:tc>
        <w:tc>
          <w:tcPr>
            <w:tcW w:w="456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Review and correct load errors</w:t>
            </w:r>
          </w:p>
        </w:tc>
        <w:tc>
          <w:tcPr>
            <w:tcW w:w="1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Share</w:t>
            </w:r>
          </w:p>
        </w:tc>
        <w:tc>
          <w:tcPr>
            <w:tcW w:w="3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Share</w:t>
            </w:r>
          </w:p>
        </w:tc>
      </w:tr>
      <w:tr>
        <w:tc>
          <w:tcPr>
            <w:tcW w:w="4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9</w:t>
            </w:r>
          </w:p>
        </w:tc>
        <w:tc>
          <w:tcPr>
            <w:tcW w:w="456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Load converted data into training/test database</w:t>
            </w:r>
          </w:p>
        </w:tc>
        <w:tc>
          <w:tcPr>
            <w:tcW w:w="1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Lead</w:t>
            </w:r>
          </w:p>
        </w:tc>
        <w:tc>
          <w:tcPr>
            <w:tcW w:w="3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Participate</w:t>
            </w:r>
          </w:p>
        </w:tc>
      </w:tr>
      <w:tr>
        <w:tc>
          <w:tcPr>
            <w:tcW w:w="4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10</w:t>
            </w:r>
          </w:p>
        </w:tc>
        <w:tc>
          <w:tcPr>
            <w:tcW w:w="456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Confirm converted data in training/test database</w:t>
            </w:r>
          </w:p>
        </w:tc>
        <w:tc>
          <w:tcPr>
            <w:tcW w:w="1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None</w:t>
            </w:r>
          </w:p>
        </w:tc>
        <w:tc>
          <w:tcPr>
            <w:tcW w:w="3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Lead</w:t>
            </w:r>
          </w:p>
        </w:tc>
      </w:tr>
      <w:tr>
        <w:tc>
          <w:tcPr>
            <w:tcW w:w="4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11</w:t>
            </w:r>
          </w:p>
        </w:tc>
        <w:tc>
          <w:tcPr>
            <w:tcW w:w="456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Sign off on converted data in training/test database</w:t>
            </w:r>
          </w:p>
        </w:tc>
        <w:tc>
          <w:tcPr>
            <w:tcW w:w="1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None</w:t>
            </w:r>
          </w:p>
        </w:tc>
        <w:tc>
          <w:tcPr>
            <w:tcW w:w="3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Lead</w:t>
            </w:r>
          </w:p>
        </w:tc>
      </w:tr>
      <w:tr>
        <w:tc>
          <w:tcPr>
            <w:tcW w:w="4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12</w:t>
            </w:r>
          </w:p>
        </w:tc>
        <w:tc>
          <w:tcPr>
            <w:tcW w:w="456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Load converted data into production</w:t>
            </w:r>
          </w:p>
        </w:tc>
        <w:tc>
          <w:tcPr>
            <w:tcW w:w="1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Lead</w:t>
            </w:r>
          </w:p>
        </w:tc>
        <w:tc>
          <w:tcPr>
            <w:tcW w:w="3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Participate</w:t>
            </w:r>
          </w:p>
        </w:tc>
      </w:tr>
      <w:tr>
        <w:tc>
          <w:tcPr>
            <w:tcW w:w="4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13</w:t>
            </w:r>
          </w:p>
        </w:tc>
        <w:tc>
          <w:tcPr>
            <w:tcW w:w="456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Confirm converted data in production</w:t>
            </w:r>
          </w:p>
        </w:tc>
        <w:tc>
          <w:tcPr>
            <w:tcW w:w="1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None</w:t>
            </w:r>
          </w:p>
        </w:tc>
        <w:tc>
          <w:tcPr>
            <w:tcW w:w="3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Lead</w:t>
            </w:r>
          </w:p>
        </w:tc>
      </w:tr>
      <w:tr>
        <w:tc>
          <w:tcPr>
            <w:tcW w:w="4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14</w:t>
            </w:r>
          </w:p>
        </w:tc>
        <w:tc>
          <w:tcPr>
            <w:tcW w:w="456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Sign off on converted data in production</w:t>
            </w:r>
          </w:p>
        </w:tc>
        <w:tc>
          <w:tcPr>
            <w:tcW w:w="1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None</w:t>
            </w:r>
          </w:p>
        </w:tc>
        <w:tc>
          <w:tcPr>
            <w:tcW w:w="3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Lead</w:t>
            </w:r>
          </w:p>
        </w:tc>
      </w:tr>
    </w:tbl>
    <w:p/>
    <w:p>
      <w:pPr>
        <w:pBdr>
          <w:bottom w:val="single" w:sz="8" w:space="4" w:color="F0530A"/>
        </w:pBdr>
        <w:spacing w:before="180" w:after="80"/>
      </w:pPr>
      <w:r>
        <w:rPr>
          <w:rFonts w:ascii="Calibri" w:hAnsi="Calibri"/>
          <w:b/>
          <w:i w:val="0"/>
          <w:color w:val="1A1A2E"/>
          <w:sz w:val="28"/>
        </w:rPr>
        <w:t>Assumptions</w:t>
      </w:r>
    </w:p>
    <w:p>
      <w:pPr>
        <w:spacing w:before="0" w:after="100" w:line="276" w:lineRule="auto"/>
        <w:jc w:val="left"/>
      </w:pPr>
      <w:r>
        <w:rPr>
          <w:rFonts w:ascii="Calibri" w:hAnsi="Calibri"/>
          <w:b w:val="0"/>
          <w:i w:val="0"/>
          <w:color w:val="1A1A2E"/>
          <w:sz w:val="22"/>
        </w:rPr>
        <w:t>The following assumptions govern this data conversion plan. Variances discovered during the project will be addressed through the formal change control process.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The City of St. Petersburg will provide source data extracts in a timely manner consistent with the agreed project schedule.</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iteria will provide file templates and format specifications for each conversion object prior to the City's data extraction effort.</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Data cleansing is a client-led activity. iteria provides guidance, tooling, and exception reporting — the City makes all record-level decisions.</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Final conversion object counts, data volumes, and historical retention depth will be confirmed during the Discover and Design phase.</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A minimum of two mock conversion runs will be completed in the TEST environment before any production data load is initiated.</w:t>
      </w:r>
    </w:p>
    <w:p>
      <w:pPr>
        <w:spacing w:before="0" w:after="60"/>
        <w:ind w:left="600" w:hanging="240"/>
      </w:pPr>
      <w:r>
        <w:rPr>
          <w:rFonts w:ascii="Calibri" w:hAnsi="Calibri"/>
          <w:b/>
          <w:i w:val="0"/>
          <w:color w:val="F0530A"/>
          <w:sz w:val="22"/>
        </w:rPr>
        <w:t xml:space="preserve">• </w:t>
      </w:r>
      <w:r>
        <w:rPr>
          <w:rFonts w:ascii="Calibri" w:hAnsi="Calibri"/>
          <w:b w:val="0"/>
          <w:i w:val="0"/>
          <w:color w:val="1A1A2E"/>
          <w:sz w:val="22"/>
        </w:rPr>
        <w:t>Payroll parallel runs require validated opening balances. Go-live authorization will not proceed until at least one full pay period parallel run has been completed and the City's Payroll team has confirmed results.</w:t>
      </w:r>
    </w:p>
    <w:p>
      <w:pPr>
        <w:spacing w:before="0" w:after="60"/>
      </w:pPr>
    </w:p>
    <w:p>
      <w:r>
        <w:br w:type="page"/>
      </w:r>
    </w:p>
    <w:p>
      <w:pPr>
        <w:spacing w:before="0" w:after="0"/>
      </w:pPr>
      <w:r>
        <w:rPr>
          <w:rFonts w:ascii="Calibri" w:hAnsi="Calibri"/>
          <w:b/>
          <w:i w:val="0"/>
          <w:color w:val="F0530A"/>
          <w:sz w:val="80"/>
        </w:rPr>
        <w:t>08</w:t>
      </w:r>
    </w:p>
    <w:p>
      <w:pPr>
        <w:pBdr>
          <w:bottom w:val="single" w:sz="14" w:space="4" w:color="F0530A"/>
        </w:pBdr>
        <w:spacing w:before="0" w:after="80"/>
      </w:pPr>
      <w:r>
        <w:rPr>
          <w:rFonts w:ascii="Calibri" w:hAnsi="Calibri"/>
          <w:b/>
          <w:i w:val="0"/>
          <w:color w:val="1A1A2E"/>
          <w:sz w:val="40"/>
        </w:rPr>
        <w:t>Testing &amp; QA</w:t>
      </w:r>
    </w:p>
    <w:p>
      <w:pPr>
        <w:spacing w:before="0" w:after="120"/>
      </w:pPr>
    </w:p>
    <w:p>
      <w:pPr>
        <w:pBdr>
          <w:bottom w:val="single" w:sz="8" w:space="4" w:color="F0530A"/>
        </w:pBdr>
        <w:spacing w:before="180" w:after="80"/>
      </w:pPr>
      <w:r>
        <w:rPr>
          <w:rFonts w:ascii="Calibri" w:hAnsi="Calibri"/>
          <w:b/>
          <w:i w:val="0"/>
          <w:color w:val="1A1A2E"/>
          <w:sz w:val="28"/>
        </w:rPr>
        <w:t>Testing Philosophy</w:t>
      </w:r>
    </w:p>
    <w:p>
      <w:pPr>
        <w:spacing w:before="0" w:after="100" w:line="276" w:lineRule="auto"/>
        <w:jc w:val="left"/>
      </w:pPr>
      <w:r>
        <w:rPr>
          <w:rFonts w:ascii="Calibri" w:hAnsi="Calibri"/>
          <w:b w:val="0"/>
          <w:i w:val="0"/>
          <w:color w:val="1A1A2E"/>
          <w:sz w:val="22"/>
        </w:rPr>
        <w:t>iteria's approach to testing is straightforward: test early, test often, and never compress User Acceptance Testing (UAT) to recover schedule. Testing is not a phase that gets squeezed when the project falls behind — it is a non-negotiable quality gate between configuration and production. Every business process the City of St. Petersburg will run on go-live day must be validated before that day arrives. Defects found during testing cost a fraction of what they cost to diagnose, fix, and re-reconcile once users are working in a live payroll or Human Capital Management (HCM) environment. For a municipality running public-sector payroll with pension obligations, DROP/PROP payments, and Wisconsin Retirement System-equivalent [CLIENT-SPECIFIC — VERIFY] reporting complexity, that principle is not a preference — it is a project requirement.</w:t>
      </w:r>
    </w:p>
    <w:p>
      <w:pPr>
        <w:pBdr>
          <w:bottom w:val="single" w:sz="8" w:space="4" w:color="F0530A"/>
        </w:pBdr>
        <w:spacing w:before="180" w:after="80"/>
      </w:pPr>
      <w:r>
        <w:rPr>
          <w:rFonts w:ascii="Calibri" w:hAnsi="Calibri"/>
          <w:b/>
          <w:i w:val="0"/>
          <w:color w:val="1A1A2E"/>
          <w:sz w:val="28"/>
        </w:rPr>
        <w:t>Testing Phases</w:t>
      </w:r>
    </w:p>
    <w:p>
      <w:pPr>
        <w:spacing w:before="120" w:after="60"/>
      </w:pPr>
      <w:r>
        <w:rPr>
          <w:rFonts w:ascii="Calibri" w:hAnsi="Calibri"/>
          <w:b/>
          <w:i w:val="0"/>
          <w:color w:val="1A1A2E"/>
          <w:sz w:val="24"/>
        </w:rPr>
        <w:t>Conference Room Pilot (CRP)</w:t>
      </w:r>
    </w:p>
    <w:p>
      <w:pPr>
        <w:spacing w:before="0" w:after="100" w:line="276" w:lineRule="auto"/>
        <w:jc w:val="left"/>
      </w:pPr>
      <w:r>
        <w:rPr>
          <w:rFonts w:ascii="Calibri" w:hAnsi="Calibri"/>
          <w:b w:val="0"/>
          <w:i w:val="0"/>
          <w:color w:val="1A1A2E"/>
          <w:sz w:val="22"/>
        </w:rPr>
        <w:t>The Conference Room Pilot is a script-based, working walkthrough of core business processes executed in the configured Oracle Fusion Cloud environment. iteria leads each session; City of St. Petersburg subject matter experts participate as active testers — not observers. CRP is not a demonstration. It is a two-week structured exercise, conducted on-site, where real City scenarios are executed against the actual system configuration. The purpose is to confirm that what iteria has configured reflects how the City's departments actually operate before full-scale testing begins. Issues identified during Conference Room Pilot are resolved before System Integration Testing (SIT) opens, preventing known defects from compounding across test cycles.</w:t>
      </w:r>
    </w:p>
    <w:p>
      <w:pPr>
        <w:spacing w:before="120" w:after="60"/>
      </w:pPr>
      <w:r>
        <w:rPr>
          <w:rFonts w:ascii="Calibri" w:hAnsi="Calibri"/>
          <w:b/>
          <w:i w:val="0"/>
          <w:color w:val="1A1A2E"/>
          <w:sz w:val="24"/>
        </w:rPr>
        <w:t>System Integration Testing (SIT)</w:t>
      </w:r>
    </w:p>
    <w:p>
      <w:pPr>
        <w:spacing w:before="0" w:after="100" w:line="276" w:lineRule="auto"/>
        <w:jc w:val="left"/>
      </w:pPr>
      <w:r>
        <w:rPr>
          <w:rFonts w:ascii="Calibri" w:hAnsi="Calibri"/>
          <w:b w:val="0"/>
          <w:i w:val="0"/>
          <w:color w:val="1A1A2E"/>
          <w:sz w:val="22"/>
        </w:rPr>
        <w:t xml:space="preserve">SIT executes a minimum of two full end-to-end iterations across all in-scope modules and integrations. Cross-module data flow is tested at every handoff point — time data from UKG into Oracle HCM Cloud Payroll, payroll results into General Ledger (GL) journal entries, and pension contribution files to the City's third-party pension administrator. All interfaces built in Oracle Integration Cloud (OIC) are validated for data accuracy, error handling, and retry logic. iteria leads test execution; the City's technical team participates in interface and data validation. Daily defect triage meetings classify every open issue by severity and drive each defect to a documented resolution or approved workaround. </w:t>
      </w:r>
      <w:r>
        <w:rPr>
          <w:rFonts w:ascii="Calibri" w:hAnsi="Calibri"/>
          <w:b/>
          <w:i w:val="0"/>
          <w:color w:val="1A1A2E"/>
          <w:sz w:val="22"/>
        </w:rPr>
        <w:t>Exit criteria:</w:t>
      </w:r>
      <w:r>
        <w:rPr>
          <w:rFonts w:ascii="Calibri" w:hAnsi="Calibri"/>
          <w:b w:val="0"/>
          <w:i w:val="0"/>
          <w:color w:val="1A1A2E"/>
          <w:sz w:val="22"/>
        </w:rPr>
        <w:t xml:space="preserve"> zero Severity 1 defects open at SIT close; all Severity 2 defects resolved or carrying a City-approved workaround.</w:t>
      </w:r>
    </w:p>
    <w:p>
      <w:pPr>
        <w:spacing w:before="120" w:after="60"/>
      </w:pPr>
      <w:r>
        <w:rPr>
          <w:rFonts w:ascii="Calibri" w:hAnsi="Calibri"/>
          <w:b/>
          <w:i w:val="0"/>
          <w:color w:val="1A1A2E"/>
          <w:sz w:val="24"/>
        </w:rPr>
        <w:t>User Acceptance Testing (UAT)</w:t>
      </w:r>
    </w:p>
    <w:p>
      <w:pPr>
        <w:spacing w:before="0" w:after="100" w:line="276" w:lineRule="auto"/>
        <w:jc w:val="left"/>
      </w:pPr>
      <w:r>
        <w:rPr>
          <w:rFonts w:ascii="Calibri" w:hAnsi="Calibri"/>
          <w:b w:val="0"/>
          <w:i w:val="0"/>
          <w:color w:val="1A1A2E"/>
          <w:sz w:val="22"/>
        </w:rPr>
        <w:t>UAT is City-led. The staff members who will use the system daily — not IT proxies — execute test scripts against critical business processes. iteria provides the test scripts, manages the defect tracking platform, and runs daily triage support, but the City owns this phase. Test scenarios are drawn directly from SIT, filtered to the critical business path. Every department lead provides formal written sign-off before UAT closes. That sign-off is a go/no-go gate. Cutover does not begin until each department has confirmed their processes work as required.</w:t>
      </w:r>
    </w:p>
    <w:p>
      <w:pPr>
        <w:spacing w:before="120" w:after="60"/>
      </w:pPr>
      <w:r>
        <w:rPr>
          <w:rFonts w:ascii="Calibri" w:hAnsi="Calibri"/>
          <w:b/>
          <w:i w:val="0"/>
          <w:color w:val="1A1A2E"/>
          <w:sz w:val="24"/>
        </w:rPr>
        <w:t>Payroll Parallel Testing</w:t>
      </w:r>
    </w:p>
    <w:p>
      <w:pPr>
        <w:spacing w:before="0" w:after="100" w:line="276" w:lineRule="auto"/>
        <w:jc w:val="left"/>
      </w:pPr>
      <w:r>
        <w:rPr>
          <w:rFonts w:ascii="Calibri" w:hAnsi="Calibri"/>
          <w:b w:val="0"/>
          <w:i w:val="0"/>
          <w:color w:val="1A1A2E"/>
          <w:sz w:val="22"/>
        </w:rPr>
        <w:t>For a minimum of one full pay period, the City runs payroll simultaneously in legacy Oracle E-Business Suite (EBS) and Oracle Fusion Cloud Payroll. iteria compares outputs line by line — gross pay, net pay, tax withholdings, benefit deductions, pension contributions, DROP/PROP payments, and 1099-R tax file generation. Every discrepancy is documented, root-caused, and resolved before the next parallel cycle. Parallel testing must conclude with zero material discrepancies before the City's payroll leadership authorizes production cutover. The City's payroll team executes each cycle; iteria provides the comparison methodology and resolves any configuration differences identified.</w:t>
      </w:r>
    </w:p>
    <w:p>
      <w:pPr>
        <w:spacing w:before="120" w:after="60"/>
      </w:pPr>
      <w:r>
        <w:rPr>
          <w:rFonts w:ascii="Calibri" w:hAnsi="Calibri"/>
          <w:b/>
          <w:i w:val="0"/>
          <w:color w:val="1A1A2E"/>
          <w:sz w:val="24"/>
        </w:rPr>
        <w:t>Regression Testing (VALIDATE)</w:t>
      </w:r>
    </w:p>
    <w:p>
      <w:pPr>
        <w:spacing w:before="0" w:after="100" w:line="276" w:lineRule="auto"/>
        <w:jc w:val="left"/>
      </w:pPr>
      <w:r>
        <w:rPr>
          <w:rFonts w:ascii="Calibri" w:hAnsi="Calibri"/>
          <w:b w:val="0"/>
          <w:i w:val="0"/>
          <w:color w:val="1A1A2E"/>
          <w:sz w:val="22"/>
        </w:rPr>
        <w:t>iteria's proprietary VALIDATE platform automates regression testing following each Oracle quarterly patch. VALIDATE scripts are built during SIT and maintained through hypercare and post-go-live support, creating a living test library that grows with the City's configuration. In practice, VALIDATE identified issues on Fond du Lac County's HCM Benefits module — achieving an 84% health score on its first automated run — that would have required days of manual testing to surface. VALIDATE is included for the City of St. Petersburg at no additional charge.</w:t>
      </w:r>
    </w:p>
    <w:p>
      <w:pPr>
        <w:pBdr>
          <w:bottom w:val="single" w:sz="8" w:space="4" w:color="F0530A"/>
        </w:pBdr>
        <w:spacing w:before="180" w:after="80"/>
      </w:pPr>
      <w:r>
        <w:rPr>
          <w:rFonts w:ascii="Calibri" w:hAnsi="Calibri"/>
          <w:b/>
          <w:i w:val="0"/>
          <w:color w:val="1A1A2E"/>
          <w:sz w:val="28"/>
        </w:rPr>
        <w:t>Defect Management</w:t>
      </w:r>
    </w:p>
    <w:p>
      <w:pPr>
        <w:spacing w:before="0" w:after="100" w:line="276" w:lineRule="auto"/>
        <w:jc w:val="left"/>
      </w:pPr>
      <w:r>
        <w:rPr>
          <w:rFonts w:ascii="Calibri" w:hAnsi="Calibri"/>
          <w:b w:val="0"/>
          <w:i w:val="0"/>
          <w:color w:val="1A1A2E"/>
          <w:sz w:val="22"/>
        </w:rPr>
        <w:t>Every defect follows a consistent lifecycle: identification → severity classification → assignment to owner → resolution → retest → closure. Severity definitions are applied consistently across all test phases:</w:t>
      </w:r>
    </w:p>
    <w:p>
      <w:pPr>
        <w:spacing w:before="0" w:after="60"/>
        <w:ind w:left="600" w:hanging="240"/>
      </w:pPr>
      <w:r>
        <w:rPr>
          <w:rFonts w:ascii="Calibri" w:hAnsi="Calibri"/>
          <w:b/>
          <w:i w:val="0"/>
          <w:color w:val="F0530A"/>
          <w:sz w:val="22"/>
        </w:rPr>
        <w:t xml:space="preserve">• </w:t>
      </w:r>
      <w:r>
        <w:rPr>
          <w:rFonts w:ascii="Calibri" w:hAnsi="Calibri"/>
          <w:b/>
          <w:i w:val="0"/>
          <w:color w:val="1A1A2E"/>
          <w:sz w:val="22"/>
        </w:rPr>
        <w:t>Severity 1:</w:t>
      </w:r>
      <w:r>
        <w:rPr>
          <w:rFonts w:ascii="Calibri" w:hAnsi="Calibri"/>
          <w:b w:val="0"/>
          <w:i w:val="0"/>
          <w:color w:val="1A1A2E"/>
          <w:sz w:val="22"/>
        </w:rPr>
        <w:t xml:space="preserve"> System unavailable or critical business process completely blocked — no workaround exists.</w:t>
      </w:r>
    </w:p>
    <w:p>
      <w:pPr>
        <w:spacing w:before="0" w:after="60"/>
        <w:ind w:left="600" w:hanging="240"/>
      </w:pPr>
      <w:r>
        <w:rPr>
          <w:rFonts w:ascii="Calibri" w:hAnsi="Calibri"/>
          <w:b/>
          <w:i w:val="0"/>
          <w:color w:val="F0530A"/>
          <w:sz w:val="22"/>
        </w:rPr>
        <w:t xml:space="preserve">• </w:t>
      </w:r>
      <w:r>
        <w:rPr>
          <w:rFonts w:ascii="Calibri" w:hAnsi="Calibri"/>
          <w:b/>
          <w:i w:val="0"/>
          <w:color w:val="1A1A2E"/>
          <w:sz w:val="22"/>
        </w:rPr>
        <w:t>Severity 2:</w:t>
      </w:r>
      <w:r>
        <w:rPr>
          <w:rFonts w:ascii="Calibri" w:hAnsi="Calibri"/>
          <w:b w:val="0"/>
          <w:i w:val="0"/>
          <w:color w:val="1A1A2E"/>
          <w:sz w:val="22"/>
        </w:rPr>
        <w:t xml:space="preserve"> Major functionality impaired; no viable workaround available.</w:t>
      </w:r>
    </w:p>
    <w:p>
      <w:pPr>
        <w:spacing w:before="0" w:after="60"/>
        <w:ind w:left="600" w:hanging="240"/>
      </w:pPr>
      <w:r>
        <w:rPr>
          <w:rFonts w:ascii="Calibri" w:hAnsi="Calibri"/>
          <w:b/>
          <w:i w:val="0"/>
          <w:color w:val="F0530A"/>
          <w:sz w:val="22"/>
        </w:rPr>
        <w:t xml:space="preserve">• </w:t>
      </w:r>
      <w:r>
        <w:rPr>
          <w:rFonts w:ascii="Calibri" w:hAnsi="Calibri"/>
          <w:b/>
          <w:i w:val="0"/>
          <w:color w:val="1A1A2E"/>
          <w:sz w:val="22"/>
        </w:rPr>
        <w:t>Severity 3:</w:t>
      </w:r>
      <w:r>
        <w:rPr>
          <w:rFonts w:ascii="Calibri" w:hAnsi="Calibri"/>
          <w:b w:val="0"/>
          <w:i w:val="0"/>
          <w:color w:val="1A1A2E"/>
          <w:sz w:val="22"/>
        </w:rPr>
        <w:t xml:space="preserve"> Functionality impaired; an approved workaround exists and is documented.</w:t>
      </w:r>
    </w:p>
    <w:p>
      <w:pPr>
        <w:spacing w:before="0" w:after="60"/>
        <w:ind w:left="600" w:hanging="240"/>
      </w:pPr>
      <w:r>
        <w:rPr>
          <w:rFonts w:ascii="Calibri" w:hAnsi="Calibri"/>
          <w:b/>
          <w:i w:val="0"/>
          <w:color w:val="F0530A"/>
          <w:sz w:val="22"/>
        </w:rPr>
        <w:t xml:space="preserve">• </w:t>
      </w:r>
      <w:r>
        <w:rPr>
          <w:rFonts w:ascii="Calibri" w:hAnsi="Calibri"/>
          <w:b/>
          <w:i w:val="0"/>
          <w:color w:val="1A1A2E"/>
          <w:sz w:val="22"/>
        </w:rPr>
        <w:t>Severity 4:</w:t>
      </w:r>
      <w:r>
        <w:rPr>
          <w:rFonts w:ascii="Calibri" w:hAnsi="Calibri"/>
          <w:b w:val="0"/>
          <w:i w:val="0"/>
          <w:color w:val="1A1A2E"/>
          <w:sz w:val="22"/>
        </w:rPr>
        <w:t xml:space="preserve"> Cosmetic issue or minor enhancement request with no operational impact.</w:t>
      </w:r>
    </w:p>
    <w:p>
      <w:pPr>
        <w:spacing w:before="0" w:after="60"/>
      </w:pPr>
    </w:p>
    <w:p>
      <w:pPr>
        <w:spacing w:before="0" w:after="100" w:line="276" w:lineRule="auto"/>
        <w:jc w:val="left"/>
      </w:pPr>
      <w:r>
        <w:rPr>
          <w:rFonts w:ascii="Calibri" w:hAnsi="Calibri"/>
          <w:b w:val="0"/>
          <w:i w:val="0"/>
          <w:color w:val="1A1A2E"/>
          <w:sz w:val="22"/>
        </w:rPr>
        <w:t>Daily triage meetings during SIT and UAT review every open defect, confirm ownership, and drive resolution timelines. No defect is left without an assigned owner and a target resolution date. The defect tracking system serves as the authoritative record — all issues, resolutions, and retest confirmations are logged, and the City has full visibility throughout.</w:t>
      </w:r>
    </w:p>
    <w:p>
      <w:pPr>
        <w:pBdr>
          <w:bottom w:val="single" w:sz="8" w:space="4" w:color="F0530A"/>
        </w:pBdr>
        <w:spacing w:before="180" w:after="80"/>
      </w:pPr>
      <w:r>
        <w:rPr>
          <w:rFonts w:ascii="Calibri" w:hAnsi="Calibri"/>
          <w:b/>
          <w:i w:val="0"/>
          <w:color w:val="1A1A2E"/>
          <w:sz w:val="28"/>
        </w:rPr>
        <w:t>Test Environment Strategy</w:t>
      </w:r>
    </w:p>
    <w:p>
      <w:pPr>
        <w:spacing w:before="0" w:after="100" w:line="276" w:lineRule="auto"/>
        <w:jc w:val="left"/>
      </w:pPr>
      <w:r>
        <w:rPr>
          <w:rFonts w:ascii="Calibri" w:hAnsi="Calibri"/>
          <w:b w:val="0"/>
          <w:i w:val="0"/>
          <w:color w:val="1A1A2E"/>
          <w:sz w:val="22"/>
        </w:rPr>
        <w:t>iteria manages three environments throughout the project: Development (DEV), Test (TEST), and Production (PROD). All testing — CRP, SIT, UAT, and parallel payroll runs — occurs in the TEST environment. Before each major test cycle opens, TEST receives a masked data refresh drawn from the most current production-equivalent dataset. This ensures test results reflect real data volumes and structures, not synthetic placeholders. iteria is responsible for environment provisioning, refresh scheduling, and stability throughout the testing lifecycle. The City's team is never responsible for environment management during the project.</w:t>
      </w:r>
    </w:p>
    <w:p>
      <w:r>
        <w:br w:type="page"/>
      </w:r>
    </w:p>
    <w:p>
      <w:pPr>
        <w:spacing w:before="0" w:after="0"/>
      </w:pPr>
      <w:r>
        <w:rPr>
          <w:rFonts w:ascii="Calibri" w:hAnsi="Calibri"/>
          <w:b/>
          <w:i w:val="0"/>
          <w:color w:val="F0530A"/>
          <w:sz w:val="80"/>
        </w:rPr>
        <w:t>09</w:t>
      </w:r>
    </w:p>
    <w:p>
      <w:pPr>
        <w:pBdr>
          <w:bottom w:val="single" w:sz="14" w:space="4" w:color="F0530A"/>
        </w:pBdr>
        <w:spacing w:before="0" w:after="80"/>
      </w:pPr>
      <w:r>
        <w:rPr>
          <w:rFonts w:ascii="Calibri" w:hAnsi="Calibri"/>
          <w:b/>
          <w:i w:val="0"/>
          <w:color w:val="1A1A2E"/>
          <w:sz w:val="40"/>
        </w:rPr>
        <w:t>Training Plan</w:t>
      </w:r>
    </w:p>
    <w:p>
      <w:pPr>
        <w:spacing w:before="0" w:after="120"/>
      </w:pPr>
    </w:p>
    <w:p>
      <w:pPr>
        <w:pBdr>
          <w:bottom w:val="single" w:sz="8" w:space="4" w:color="F0530A"/>
        </w:pBdr>
        <w:spacing w:before="180" w:after="80"/>
      </w:pPr>
      <w:r>
        <w:rPr>
          <w:rFonts w:ascii="Calibri" w:hAnsi="Calibri"/>
          <w:b/>
          <w:i w:val="0"/>
          <w:color w:val="1A1A2E"/>
          <w:sz w:val="28"/>
        </w:rPr>
        <w:t>Training Philosophy</w:t>
      </w:r>
    </w:p>
    <w:p>
      <w:pPr>
        <w:spacing w:before="0" w:after="100" w:line="276" w:lineRule="auto"/>
        <w:jc w:val="left"/>
      </w:pPr>
      <w:r>
        <w:rPr>
          <w:rFonts w:ascii="Calibri" w:hAnsi="Calibri"/>
          <w:b w:val="0"/>
          <w:i w:val="0"/>
          <w:color w:val="1A1A2E"/>
          <w:sz w:val="22"/>
        </w:rPr>
        <w:t>Training is not an afterthought at iteria. It is a core implementation discipline that begins during requirements gathering and continues through hypercare. We build the training program in parallel with configuration — not after it.</w:t>
      </w:r>
    </w:p>
    <w:p>
      <w:pPr>
        <w:spacing w:before="0" w:after="100" w:line="276" w:lineRule="auto"/>
        <w:jc w:val="left"/>
      </w:pPr>
      <w:r>
        <w:rPr>
          <w:rFonts w:ascii="Calibri" w:hAnsi="Calibri"/>
          <w:b w:val="0"/>
          <w:i w:val="0"/>
          <w:color w:val="1A1A2E"/>
          <w:sz w:val="22"/>
        </w:rPr>
        <w:t>The measure of success is not hours of instruction delivered. It is whether a City of St. Petersburg employee can complete their daily work on Day 1 without calling the help desk. To meet that standard, every training session uses screenshots, workflows, and process scenarios drawn directly from the City's own configured Oracle HCM Cloud and Oracle Payroll environment. No generic Oracle screenshots from another client ever appear in a training material we deliver to St. Petersburg.</w:t>
      </w:r>
    </w:p>
    <w:p>
      <w:pPr>
        <w:spacing w:before="0" w:after="100" w:line="276" w:lineRule="auto"/>
        <w:jc w:val="left"/>
      </w:pPr>
      <w:r>
        <w:rPr>
          <w:rFonts w:ascii="Calibri" w:hAnsi="Calibri"/>
          <w:b w:val="0"/>
          <w:i w:val="0"/>
          <w:color w:val="1A1A2E"/>
          <w:sz w:val="22"/>
        </w:rPr>
        <w:t>We conduct a formal training assessment early in the project — before training design is finalized. That assessment documents staff capability levels, preferred learning methods, available training facilities, and departmental scheduling constraints. What we learn shapes how we design and sequence every session.</w:t>
      </w:r>
    </w:p>
    <w:p>
      <w:pPr>
        <w:pBdr>
          <w:bottom w:val="single" w:sz="8" w:space="4" w:color="F0530A"/>
        </w:pBdr>
        <w:spacing w:before="180" w:after="80"/>
      </w:pPr>
      <w:r>
        <w:rPr>
          <w:rFonts w:ascii="Calibri" w:hAnsi="Calibri"/>
          <w:b/>
          <w:i w:val="0"/>
          <w:color w:val="1A1A2E"/>
          <w:sz w:val="28"/>
        </w:rPr>
        <w:t>Train-the-Trainer Model</w:t>
      </w:r>
    </w:p>
    <w:p>
      <w:pPr>
        <w:spacing w:before="0" w:after="100" w:line="276" w:lineRule="auto"/>
        <w:jc w:val="left"/>
      </w:pPr>
      <w:r>
        <w:rPr>
          <w:rFonts w:ascii="Calibri" w:hAnsi="Calibri"/>
          <w:b w:val="0"/>
          <w:i w:val="0"/>
          <w:color w:val="1A1A2E"/>
          <w:sz w:val="22"/>
        </w:rPr>
        <w:t>iteria's standard approach is train-the-trainer. We train a core group of City power users — typically two to three per functional area — who then deliver end-user training to their departments. We do not bypass this step or treat it as optional.</w:t>
      </w:r>
    </w:p>
    <w:p>
      <w:pPr>
        <w:spacing w:before="0" w:after="100" w:line="276" w:lineRule="auto"/>
        <w:jc w:val="left"/>
      </w:pPr>
      <w:r>
        <w:rPr>
          <w:rFonts w:ascii="Calibri" w:hAnsi="Calibri"/>
          <w:b w:val="0"/>
          <w:i w:val="0"/>
          <w:color w:val="1A1A2E"/>
          <w:sz w:val="22"/>
        </w:rPr>
        <w:t>This model delivers three specific benefits. First, end users receive training from people they already know and trust, which improves engagement and retention. Second, the City retains full training capability internally when iteria's engagement concludes — there is no vendor dependency to maintain. Third, training materials remain in the City's hands in editable formats, so St. Petersburg staff can update them when Oracle releases quarterly updates or when City processes change.</w:t>
      </w:r>
    </w:p>
    <w:p>
      <w:pPr>
        <w:spacing w:before="0" w:after="100" w:line="276" w:lineRule="auto"/>
        <w:jc w:val="left"/>
      </w:pPr>
      <w:r>
        <w:rPr>
          <w:rFonts w:ascii="Calibri" w:hAnsi="Calibri"/>
          <w:b w:val="0"/>
          <w:i w:val="0"/>
          <w:color w:val="1A1A2E"/>
          <w:sz w:val="22"/>
        </w:rPr>
        <w:t>For Oracle HCM Cloud and Payroll, we typically designate power users within Human Resources, Benefits, and Payroll operations. [CLIENT-SPECIFIC — VERIFY] iteria trains these individuals intensively, coaches them through their first live delivery, and observes sessions to provide structured feedback before they train independently.</w:t>
      </w:r>
    </w:p>
    <w:p>
      <w:pPr>
        <w:pBdr>
          <w:bottom w:val="single" w:sz="8" w:space="4" w:color="F0530A"/>
        </w:pBdr>
        <w:spacing w:before="180" w:after="80"/>
      </w:pPr>
      <w:r>
        <w:rPr>
          <w:rFonts w:ascii="Calibri" w:hAnsi="Calibri"/>
          <w:b/>
          <w:i w:val="0"/>
          <w:color w:val="1A1A2E"/>
          <w:sz w:val="28"/>
        </w:rPr>
        <w:t>Training Schedule</w:t>
      </w:r>
    </w:p>
    <w:p>
      <w:pPr>
        <w:spacing w:before="0" w:after="100" w:line="276" w:lineRule="auto"/>
        <w:jc w:val="left"/>
      </w:pPr>
      <w:r>
        <w:rPr>
          <w:rFonts w:ascii="Calibri" w:hAnsi="Calibri"/>
          <w:b w:val="0"/>
          <w:i w:val="0"/>
          <w:color w:val="1A1A2E"/>
          <w:sz w:val="22"/>
        </w:rPr>
        <w:t>Training delivery is structured in three phases aligned to the project timeline.</w:t>
      </w:r>
    </w:p>
    <w:p>
      <w:pPr>
        <w:spacing w:before="0" w:after="100" w:line="276" w:lineRule="auto"/>
        <w:jc w:val="left"/>
      </w:pPr>
      <w:r>
        <w:rPr>
          <w:rFonts w:ascii="Calibri" w:hAnsi="Calibri"/>
          <w:b/>
          <w:i w:val="0"/>
          <w:color w:val="1A1A2E"/>
          <w:sz w:val="22"/>
        </w:rPr>
        <w:t>Phase 1 — Train-the-Trainer (During UAT):</w:t>
      </w:r>
      <w:r>
        <w:rPr>
          <w:rFonts w:ascii="Calibri" w:hAnsi="Calibri"/>
          <w:b w:val="0"/>
          <w:i w:val="0"/>
          <w:color w:val="1A1A2E"/>
          <w:sz w:val="22"/>
        </w:rPr>
        <w:t xml:space="preserve"> iteria delivers module-by-module, on-site training to designated power users. Sessions are conducted in the City's configured environment so power users are working in the actual system they will support. This phase typically spans two to three weeks depending on module count and runs concurrently with User Acceptance Testing (UAT) so power users reinforce learning through hands-on test script execution.</w:t>
      </w:r>
    </w:p>
    <w:p>
      <w:pPr>
        <w:spacing w:before="0" w:after="100" w:line="276" w:lineRule="auto"/>
        <w:jc w:val="left"/>
      </w:pPr>
      <w:r>
        <w:rPr>
          <w:rFonts w:ascii="Calibri" w:hAnsi="Calibri"/>
          <w:b/>
          <w:i w:val="0"/>
          <w:color w:val="1A1A2E"/>
          <w:sz w:val="22"/>
        </w:rPr>
        <w:t>Phase 2 — End-User Training (Four to Six Weeks Pre Go-Live):</w:t>
      </w:r>
      <w:r>
        <w:rPr>
          <w:rFonts w:ascii="Calibri" w:hAnsi="Calibri"/>
          <w:b w:val="0"/>
          <w:i w:val="0"/>
          <w:color w:val="1A1A2E"/>
          <w:sz w:val="22"/>
        </w:rPr>
        <w:t xml:space="preserve"> Power users deliver role-based training to their departments with iteria coaching support available throughout. Sessions are scheduled to accommodate department staffing and operational hours. [CLIENT-SPECIFIC — VERIFY] iteria provides session observation and real-time coaching for trainers during this phase.</w:t>
      </w:r>
    </w:p>
    <w:p>
      <w:pPr>
        <w:spacing w:before="0" w:after="100" w:line="276" w:lineRule="auto"/>
        <w:jc w:val="left"/>
      </w:pPr>
      <w:r>
        <w:rPr>
          <w:rFonts w:ascii="Calibri" w:hAnsi="Calibri"/>
          <w:b/>
          <w:i w:val="0"/>
          <w:color w:val="1A1A2E"/>
          <w:sz w:val="22"/>
        </w:rPr>
        <w:t>Phase 3 — Hypercare Support (Post Go-Live):</w:t>
      </w:r>
      <w:r>
        <w:rPr>
          <w:rFonts w:ascii="Calibri" w:hAnsi="Calibri"/>
          <w:b w:val="0"/>
          <w:i w:val="0"/>
          <w:color w:val="1A1A2E"/>
          <w:sz w:val="22"/>
        </w:rPr>
        <w:t xml:space="preserve"> iteria remains on-site for the first two weeks after go-live to answer questions in real time. Refresher sessions are scheduled for populations that need additional reinforcement. Oracle Guided Learning (OGL) is embedded directly in the application to provide on-demand, in-context guidance for any task a user encounters after formal training concludes.</w:t>
      </w:r>
    </w:p>
    <w:p>
      <w:pPr>
        <w:pBdr>
          <w:bottom w:val="single" w:sz="8" w:space="4" w:color="F0530A"/>
        </w:pBdr>
        <w:spacing w:before="180" w:after="80"/>
      </w:pPr>
      <w:r>
        <w:rPr>
          <w:rFonts w:ascii="Calibri" w:hAnsi="Calibri"/>
          <w:b/>
          <w:i w:val="0"/>
          <w:color w:val="1A1A2E"/>
          <w:sz w:val="28"/>
        </w:rPr>
        <w:t>Training Materials</w:t>
      </w:r>
    </w:p>
    <w:p>
      <w:pPr>
        <w:spacing w:before="0" w:after="100" w:line="276" w:lineRule="auto"/>
        <w:jc w:val="left"/>
      </w:pPr>
      <w:r>
        <w:rPr>
          <w:rFonts w:ascii="Calibri" w:hAnsi="Calibri"/>
          <w:b w:val="0"/>
          <w:i w:val="0"/>
          <w:color w:val="1A1A2E"/>
          <w:sz w:val="22"/>
        </w:rPr>
        <w:t>iteria produces a complete set of custom materials for every engagement. Quick Reference Guides (QRGs) are one to two pages per task, built with screenshots from St. Petersburg's configured system. Process flow documents map end-to-end Oracle workflows for each functional area. Training workbooks support classroom exercises with realistic, City-specific scenarios. Where the City prefers it, we record key processes as short videos for on-demand reference. All materials are delivered in editable Word and PowerPoint formats so City staff can maintain them without iteria's involvement.</w:t>
      </w:r>
    </w:p>
    <w:p>
      <w:pPr>
        <w:pBdr>
          <w:bottom w:val="single" w:sz="8" w:space="4" w:color="F0530A"/>
        </w:pBdr>
        <w:spacing w:before="180" w:after="80"/>
      </w:pPr>
      <w:r>
        <w:rPr>
          <w:rFonts w:ascii="Calibri" w:hAnsi="Calibri"/>
          <w:b/>
          <w:i w:val="0"/>
          <w:color w:val="1A1A2E"/>
          <w:sz w:val="28"/>
        </w:rPr>
        <w:t>Role-Based Training Tracks</w:t>
      </w:r>
    </w:p>
    <w:p>
      <w:pPr>
        <w:spacing w:before="0" w:after="100" w:line="276" w:lineRule="auto"/>
        <w:jc w:val="left"/>
      </w:pPr>
      <w:r>
        <w:rPr>
          <w:rFonts w:ascii="Calibri" w:hAnsi="Calibri"/>
          <w:b w:val="0"/>
          <w:i w:val="0"/>
          <w:color w:val="1A1A2E"/>
          <w:sz w:val="22"/>
        </w:rPr>
        <w:t>Training is organized by role, not by module. A Payroll clerk does not need Benefits administration training, and a department director needs a different view than a data entry user. We structure four standard tracks: Executive and Department Head (dashboards, approvals, and reporting); Power Users (full module process management and troubleshooting); End Users (daily transactions, self-service tasks, and report execution); and IT and System Administrators (security administration, integration monitoring, and environment management).</w:t>
      </w:r>
    </w:p>
    <w:p>
      <w:pPr>
        <w:pBdr>
          <w:bottom w:val="single" w:sz="8" w:space="4" w:color="F0530A"/>
        </w:pBdr>
        <w:spacing w:before="180" w:after="80"/>
      </w:pPr>
      <w:r>
        <w:rPr>
          <w:rFonts w:ascii="Calibri" w:hAnsi="Calibri"/>
          <w:b/>
          <w:i w:val="0"/>
          <w:color w:val="1A1A2E"/>
          <w:sz w:val="28"/>
        </w:rPr>
        <w:t>Organizational Change Management</w:t>
      </w:r>
    </w:p>
    <w:p>
      <w:pPr>
        <w:spacing w:before="0" w:after="100" w:line="276" w:lineRule="auto"/>
        <w:jc w:val="left"/>
      </w:pPr>
      <w:r>
        <w:rPr>
          <w:rFonts w:ascii="Calibri" w:hAnsi="Calibri"/>
          <w:b w:val="0"/>
          <w:i w:val="0"/>
          <w:color w:val="1A1A2E"/>
          <w:sz w:val="22"/>
        </w:rPr>
        <w:t>Training is one component of iteria's Organizational Change Management (OCM) approach — not the whole of it. OCM at iteria includes stakeholder analysis that identifies who is impacted and in what way, a change impact assessment that maps every significant difference between the City's current state and the Oracle future state, a communication plan that keeps all user populations informed throughout the project, and leadership alignment activities that keep executive sponsors visibly engaged. These are standard disciplines on every iteria engagement. The City of St. Petersburg will not receive a watered-down OCM effort. A system the City's employees do not trust or understand does not deliver value, regardless of how well it is configured.</w:t>
      </w:r>
    </w:p>
    <w:p>
      <w:r>
        <w:br w:type="page"/>
      </w:r>
    </w:p>
    <w:p>
      <w:pPr>
        <w:spacing w:before="0" w:after="0"/>
      </w:pPr>
      <w:r>
        <w:rPr>
          <w:rFonts w:ascii="Calibri" w:hAnsi="Calibri"/>
          <w:b/>
          <w:i w:val="0"/>
          <w:color w:val="F0530A"/>
          <w:sz w:val="80"/>
        </w:rPr>
        <w:t>10</w:t>
      </w:r>
    </w:p>
    <w:p>
      <w:pPr>
        <w:pBdr>
          <w:bottom w:val="single" w:sz="14" w:space="4" w:color="F0530A"/>
        </w:pBdr>
        <w:spacing w:before="0" w:after="80"/>
      </w:pPr>
      <w:r>
        <w:rPr>
          <w:rFonts w:ascii="Calibri" w:hAnsi="Calibri"/>
          <w:b/>
          <w:i w:val="0"/>
          <w:color w:val="1A1A2E"/>
          <w:sz w:val="40"/>
        </w:rPr>
        <w:t>Qualifications &amp; References</w:t>
      </w:r>
    </w:p>
    <w:p>
      <w:pPr>
        <w:spacing w:before="0" w:after="120"/>
      </w:pPr>
    </w:p>
    <w:p>
      <w:pPr>
        <w:spacing w:before="0" w:after="80"/>
      </w:pPr>
      <w:r>
        <w:t>Tab 1: Company Qualifications</w:t>
      </w:r>
    </w:p>
    <w:p>
      <w:pPr>
        <w:pBdr>
          <w:bottom w:val="single" w:sz="8" w:space="4" w:color="F0530A"/>
        </w:pBdr>
        <w:spacing w:before="180" w:after="80"/>
      </w:pPr>
      <w:r>
        <w:rPr>
          <w:rFonts w:ascii="Calibri" w:hAnsi="Calibri"/>
          <w:b/>
          <w:i w:val="0"/>
          <w:color w:val="1A1A2E"/>
          <w:sz w:val="28"/>
        </w:rPr>
        <w:t>Firm Background and Qualifications</w:t>
      </w:r>
    </w:p>
    <w:p>
      <w:pPr>
        <w:spacing w:before="0" w:after="100" w:line="276" w:lineRule="auto"/>
        <w:jc w:val="left"/>
      </w:pPr>
      <w:r>
        <w:rPr>
          <w:rFonts w:ascii="Calibri" w:hAnsi="Calibri"/>
          <w:b w:val="0"/>
          <w:i w:val="0"/>
          <w:color w:val="1A1A2E"/>
          <w:sz w:val="22"/>
        </w:rPr>
        <w:t>iteria was founded in 2015 as an S Corporation headquartered in Cheyenne, Wyoming, with satellite offices in Wisconsin, Illinois, Texas, and development centers in Bangalore and Hyderabad, India. We are a certified Oracle partner and work exclusively with the Oracle Suite of Applications. Our 125 employees are 100% Oracle-focused — not divided across competing platforms. That is not a marketing statement. It is an operational fact that shapes every engagement we take on.</w:t>
      </w:r>
    </w:p>
    <w:p>
      <w:pPr>
        <w:spacing w:before="0" w:after="100" w:line="276" w:lineRule="auto"/>
        <w:jc w:val="left"/>
      </w:pPr>
      <w:r>
        <w:rPr>
          <w:rFonts w:ascii="Calibri" w:hAnsi="Calibri"/>
          <w:b w:val="0"/>
          <w:i w:val="0"/>
          <w:color w:val="1A1A2E"/>
          <w:sz w:val="22"/>
        </w:rPr>
        <w:t>Our founding leadership carries more than 30 years of combined Oracle experience, spanning Oracle E-Business Suite (EBS) and, for the past 10 years, Oracle Fusion Cloud. We have completed more than five EBS-to-Fusion migrations. We understand how legacy Oracle configurations translate — and where they do not translate — into the Cloud architecture. That institutional knowledge is not something a firm can develop quickly, and it is not something we take for granted.</w:t>
      </w:r>
    </w:p>
    <w:p>
      <w:pPr>
        <w:spacing w:before="0" w:after="100" w:line="276" w:lineRule="auto"/>
        <w:jc w:val="left"/>
      </w:pPr>
      <w:r>
        <w:rPr>
          <w:rFonts w:ascii="Calibri" w:hAnsi="Calibri"/>
          <w:b w:val="0"/>
          <w:i w:val="0"/>
          <w:color w:val="1A1A2E"/>
          <w:sz w:val="22"/>
        </w:rPr>
        <w:t>Our Wisconsin and Illinois offices are not regional marketing addresses. They are staffed offices with consultants who are geographically proximate to public sector clients in the upper Midwest. For a Wisconsin county government, that means requirements sessions conducted in person, go-live support delivered on-site, and post-go-live managed service support from consultants who understand the Wisconsin Retirement System (WRS), fund accounting, Government Accounting Standards Board (GASB) compliance, and the grant management constraints that govern county finance operations. Our clients are not working with resources who flew in the night before and will fly out the morning after.</w:t>
      </w:r>
    </w:p>
    <w:p>
      <w:pPr>
        <w:pBdr>
          <w:bottom w:val="single" w:sz="8" w:space="4" w:color="F0530A"/>
        </w:pBdr>
        <w:spacing w:before="180" w:after="80"/>
      </w:pPr>
      <w:r>
        <w:rPr>
          <w:rFonts w:ascii="Calibri" w:hAnsi="Calibri"/>
          <w:b/>
          <w:i w:val="0"/>
          <w:color w:val="1A1A2E"/>
          <w:sz w:val="28"/>
        </w:rPr>
        <w:t>Our Approach: Why iteria Is Different</w:t>
      </w:r>
    </w:p>
    <w:p>
      <w:pPr>
        <w:spacing w:before="0" w:after="100" w:line="276" w:lineRule="auto"/>
        <w:jc w:val="left"/>
      </w:pPr>
      <w:r>
        <w:rPr>
          <w:rFonts w:ascii="Calibri" w:hAnsi="Calibri"/>
          <w:b w:val="0"/>
          <w:i w:val="0"/>
          <w:color w:val="1A1A2E"/>
          <w:sz w:val="22"/>
        </w:rPr>
        <w:t>Many Oracle implementation firms begin requirements gathering by sending a spreadsheet. The spreadsheet contains hundreds of rows with column headers like "Current State" and "Desired State." The client is expected to fill it out, return it, and trust that the consultant read it carefully. In practice, that approach produces a design built on incomplete information — because the people filling out spreadsheets are rarely the same people who understand the downstream consequences of the answers they are giving.</w:t>
      </w:r>
    </w:p>
    <w:p>
      <w:pPr>
        <w:spacing w:before="0" w:after="100" w:line="276" w:lineRule="auto"/>
        <w:jc w:val="left"/>
      </w:pPr>
      <w:r>
        <w:rPr>
          <w:rFonts w:ascii="Calibri" w:hAnsi="Calibri"/>
          <w:b w:val="0"/>
          <w:i w:val="0"/>
          <w:color w:val="1A1A2E"/>
          <w:sz w:val="22"/>
        </w:rPr>
        <w:t>iteria does not conduct requirements gathering that way. We conduct face-to-face working sessions with the client's subject matter experts, functional leads, and department heads. We ask questions in real time. We identify upstream and downstream impacts during those conversations — not weeks later during configuration review, when redesigning is expensive and demoralizing. Our consultants are cross-trained across at least three modules upstream and three downstream of their primary specialty, which means they recognize process dependencies that a narrowly focused consultant would miss entirely.</w:t>
      </w:r>
    </w:p>
    <w:p>
      <w:pPr>
        <w:spacing w:before="0" w:after="100" w:line="276" w:lineRule="auto"/>
        <w:jc w:val="left"/>
      </w:pPr>
      <w:r>
        <w:rPr>
          <w:rFonts w:ascii="Calibri" w:hAnsi="Calibri"/>
          <w:b w:val="0"/>
          <w:i w:val="0"/>
          <w:color w:val="1A1A2E"/>
          <w:sz w:val="22"/>
        </w:rPr>
        <w:t>This approach is not theoretical. In Wisconsin, iteria was selected to re-baseline a county government Oracle Fusion Cloud implementation that a prior firm had been unable to complete. The original design was broken, the Chart of Accounts required redesign mid-stream, and the project timeline was already compressed when iteria was brought in. We rescoped the engagement, rebuilt the design, and delivered Fond du Lac County's full Oracle Fusion Cloud suite — Financials and Human Capital Management (HCM) — on time and on budget, with a go-live date of December 22, 2024. That outcome reflects what face-to-face requirements methodology and upstream/downstream impact analysis actually produce. It also reflects what is at stake when a firm without that discipline leads an implementation.</w:t>
      </w:r>
    </w:p>
    <w:p>
      <w:pPr>
        <w:pBdr>
          <w:bottom w:val="single" w:sz="8" w:space="4" w:color="F0530A"/>
        </w:pBdr>
        <w:spacing w:before="180" w:after="80"/>
      </w:pPr>
      <w:r>
        <w:rPr>
          <w:rFonts w:ascii="Calibri" w:hAnsi="Calibri"/>
          <w:b/>
          <w:i w:val="0"/>
          <w:color w:val="1A1A2E"/>
          <w:sz w:val="28"/>
        </w:rPr>
        <w:t>Client References</w:t>
      </w:r>
    </w:p>
    <w:p>
      <w:pPr>
        <w:spacing w:before="0" w:after="100" w:line="276" w:lineRule="auto"/>
        <w:jc w:val="left"/>
      </w:pPr>
      <w:r>
        <w:rPr>
          <w:rFonts w:ascii="Calibri" w:hAnsi="Calibri"/>
          <w:b/>
          <w:i w:val="0"/>
          <w:color w:val="1A1A2E"/>
          <w:sz w:val="22"/>
        </w:rPr>
        <w:t>Fond du Lac County, Wisconsin</w:t>
      </w:r>
      <w:r>
        <w:rPr>
          <w:rFonts w:ascii="Calibri" w:hAnsi="Calibri"/>
          <w:b w:val="0"/>
          <w:i w:val="0"/>
          <w:color w:val="1A1A2E"/>
          <w:sz w:val="22"/>
        </w:rPr>
        <w:t xml:space="preserve"> Contact: Tammy Pinno-Supple, Finance Director | (920) 906-4771 | tammy.pinno@fdlco.wi.gov | 160 S Macy St, Fond du Lac, WI 54935 Engagement Term: March 2024 – December 2024 | Go-Live: December 22, 2024 | Platform Version: 24D [VERIFY RELEASE VERSION]</w:t>
      </w:r>
    </w:p>
    <w:p>
      <w:pPr>
        <w:spacing w:before="0" w:after="100" w:line="276" w:lineRule="auto"/>
        <w:jc w:val="left"/>
      </w:pPr>
      <w:r>
        <w:rPr>
          <w:rFonts w:ascii="Calibri" w:hAnsi="Calibri"/>
          <w:b w:val="0"/>
          <w:i w:val="0"/>
          <w:color w:val="1A1A2E"/>
          <w:sz w:val="22"/>
        </w:rPr>
        <w:t>iteria was engaged to re-baseline and complete a full Oracle Fusion Cloud implementation that a prior implementation partner had been unable to deliver. The scope included General Ledger (GL), Accounts Payable (AP), Accounts Receivable (AR), Purchasing, Contract Management, Work Orders, Treasury, Project and Grant Accounting, Asset Management, Budgeting, Solicitation Management, Inventory, and Point of Sale on the Financials side, and HR, Recruitment, Scheduling (Basic and Advanced), Leave, Benefits, Time Entry, Payroll, and Employee Reimbursement on the HCM side. iteria inherited a broken design, executed a full Chart of Accounts redesign mid-stream, and maintained the compressed nine-month timeline without scope reduction. The engagement closed on time and on budget.</w:t>
      </w:r>
    </w:p>
    <w:p>
      <w:pPr>
        <w:spacing w:before="0" w:after="100" w:line="276" w:lineRule="auto"/>
        <w:jc w:val="left"/>
      </w:pPr>
      <w:r>
        <w:rPr>
          <w:rFonts w:ascii="Calibri" w:hAnsi="Calibri"/>
          <w:b/>
          <w:i w:val="0"/>
          <w:color w:val="1A1A2E"/>
          <w:sz w:val="22"/>
        </w:rPr>
        <w:t>Outagamie County, Wisconsin</w:t>
      </w:r>
      <w:r>
        <w:rPr>
          <w:rFonts w:ascii="Calibri" w:hAnsi="Calibri"/>
          <w:b w:val="0"/>
          <w:i w:val="0"/>
          <w:color w:val="1A1A2E"/>
          <w:sz w:val="22"/>
        </w:rPr>
        <w:t xml:space="preserve"> Contact: Michelle L. Uitenbroek, Finance Director | (920) 832-1674 | michelle.uitenbroek@outagamie.org | 320 S Walnut St, Appleton, WI 54911 Engagement Term: In Progress | Projected Go-Live: December 27, 2026 | Platform Version: Oracle Fusion 26A [VERIFY RELEASE VERSION]</w:t>
      </w:r>
    </w:p>
    <w:p>
      <w:pPr>
        <w:spacing w:before="0" w:after="100" w:line="276" w:lineRule="auto"/>
        <w:jc w:val="left"/>
      </w:pPr>
      <w:r>
        <w:rPr>
          <w:rFonts w:ascii="Calibri" w:hAnsi="Calibri"/>
          <w:b w:val="0"/>
          <w:i w:val="0"/>
          <w:color w:val="1A1A2E"/>
          <w:sz w:val="22"/>
        </w:rPr>
        <w:t>iteria is currently implementing the full Oracle Fusion Cloud suite for Outagamie County, including GL, AP, AR, Purchasing, Contract Management, Treasury, Project and Grant Accounting, Asset Management, Budgeting, Enterprise Asset Management (EAM), HR, Recruitment, Benefits, Time Entry, Payroll, Employee Reimbursement, and Projects/Project Portfolio Management (PPM). The engagement is deployed as a Software as a Service (SaaS) hosted and managed service model. The project is on track to its December 2026 go-live milestone. [CLIENT-SPECIFIC — VERIFY current project status at time of submission]</w:t>
      </w:r>
    </w:p>
    <w:p>
      <w:pPr>
        <w:spacing w:before="0" w:after="100" w:line="276" w:lineRule="auto"/>
        <w:jc w:val="left"/>
      </w:pPr>
      <w:r>
        <w:rPr>
          <w:rFonts w:ascii="Calibri" w:hAnsi="Calibri"/>
          <w:b/>
          <w:i w:val="0"/>
          <w:color w:val="1A1A2E"/>
          <w:sz w:val="22"/>
        </w:rPr>
        <w:t>Industries for the Blind and Visually Impaired (IBVI)</w:t>
      </w:r>
      <w:r>
        <w:rPr>
          <w:rFonts w:ascii="Calibri" w:hAnsi="Calibri"/>
          <w:b w:val="0"/>
          <w:i w:val="0"/>
          <w:color w:val="1A1A2E"/>
          <w:sz w:val="22"/>
        </w:rPr>
        <w:t xml:space="preserve"> Contact: Nicole Christman, Business Analyst | (414) 778-3057 | nicole.christman@ibvi.org | 445 Curtis Rd, West Allis, WI 53214 Engagement Term: September 2017 – April 2020 | Go-Live: October 2018 | Platform Version: 24D [VERIFY RELEASE VERSION]</w:t>
      </w:r>
    </w:p>
    <w:p>
      <w:pPr>
        <w:spacing w:before="0" w:after="100" w:line="276" w:lineRule="auto"/>
        <w:jc w:val="left"/>
      </w:pPr>
      <w:r>
        <w:rPr>
          <w:rFonts w:ascii="Calibri" w:hAnsi="Calibri"/>
          <w:b w:val="0"/>
          <w:i w:val="0"/>
          <w:color w:val="1A1A2E"/>
          <w:sz w:val="22"/>
        </w:rPr>
        <w:t>iteria implemented Oracle Fusion Cloud for IBVI, replacing a legacy custom system with a fully integrated suite that included GL, AP, Purchasing, Contract Management, Asset Management, Treasury, Project and Grant Accounting, Budgeting, Inventory, Order Management (OMS), HR, Recruitment, Benefits, Time Entry, and Employee Reimbursement. This engagement was notable for its accessibility requirements — IBVI's workforce includes employees who are blind or visually impaired, and every configured workflow and user interface had to meet those access standards within Oracle's native functionality. The phased go-live was completed on schedule across both Financials and HCM modules.</w:t>
      </w:r>
    </w:p>
    <w:p>
      <w:pPr>
        <w:pBdr>
          <w:bottom w:val="single" w:sz="8" w:space="4" w:color="F0530A"/>
        </w:pBdr>
        <w:spacing w:before="180" w:after="80"/>
      </w:pPr>
      <w:r>
        <w:rPr>
          <w:rFonts w:ascii="Calibri" w:hAnsi="Calibri"/>
          <w:b/>
          <w:i w:val="0"/>
          <w:color w:val="1A1A2E"/>
          <w:sz w:val="28"/>
        </w:rPr>
        <w:t>Key Personnel Philosophy</w:t>
      </w:r>
    </w:p>
    <w:p>
      <w:pPr>
        <w:spacing w:before="0" w:after="100" w:line="276" w:lineRule="auto"/>
        <w:jc w:val="left"/>
      </w:pPr>
      <w:r>
        <w:rPr>
          <w:rFonts w:ascii="Calibri" w:hAnsi="Calibri"/>
          <w:b w:val="0"/>
          <w:i w:val="0"/>
          <w:color w:val="1A1A2E"/>
          <w:sz w:val="22"/>
        </w:rPr>
        <w:t>iteria does not maintain a consultant bench. When we staff an engagement, we assign personnel based on three criteria: demonstrated module expertise relevant to the client's scope, geographic proximity to the client's location, and the working culture fit between our team and the client's internal project team. Every consultant assigned to this engagement is a direct iteria employee. We do not source resources from staffing firms or place subcontractors in client-facing roles. Resumes for proposed key personnel will be provided under separate cover once the engagement timeline is confirmed and the team composition is finalized for this specific scope.</w:t>
      </w:r>
    </w:p>
    <w:p>
      <w:pPr>
        <w:pBdr>
          <w:bottom w:val="single" w:sz="8" w:space="4" w:color="F0530A"/>
        </w:pBdr>
        <w:spacing w:before="180" w:after="80"/>
      </w:pPr>
      <w:r>
        <w:rPr>
          <w:rFonts w:ascii="Calibri" w:hAnsi="Calibri"/>
          <w:b/>
          <w:i w:val="0"/>
          <w:color w:val="1A1A2E"/>
          <w:sz w:val="28"/>
        </w:rPr>
        <w:t>Exceptions</w:t>
      </w:r>
    </w:p>
    <w:p>
      <w:pPr>
        <w:spacing w:before="0" w:after="100" w:line="276" w:lineRule="auto"/>
        <w:jc w:val="left"/>
      </w:pPr>
      <w:r>
        <w:rPr>
          <w:rFonts w:ascii="Calibri" w:hAnsi="Calibri"/>
          <w:b/>
          <w:i w:val="0"/>
          <w:color w:val="1A1A2E"/>
          <w:sz w:val="22"/>
        </w:rPr>
        <w:t>Historical Data Retention.</w:t>
      </w:r>
      <w:r>
        <w:rPr>
          <w:rFonts w:ascii="Calibri" w:hAnsi="Calibri"/>
          <w:b w:val="0"/>
          <w:i w:val="0"/>
          <w:color w:val="1A1A2E"/>
          <w:sz w:val="22"/>
        </w:rPr>
        <w:t xml:space="preserve"> iteria recommends retaining historical data beyond seven years through a dedicated data warehouse rather than within the Oracle Fusion Cloud application. This approach protects application performance, aligns with Oracle's architecture, and ensures data is accessible without degrading the production environment. Data warehouse scoping and implementation are available under a separate statement of work.</w:t>
      </w:r>
    </w:p>
    <w:p>
      <w:pPr>
        <w:spacing w:before="0" w:after="100" w:line="276" w:lineRule="auto"/>
        <w:jc w:val="left"/>
      </w:pPr>
      <w:r>
        <w:rPr>
          <w:rFonts w:ascii="Calibri" w:hAnsi="Calibri"/>
          <w:b/>
          <w:i w:val="0"/>
          <w:color w:val="1A1A2E"/>
          <w:sz w:val="22"/>
        </w:rPr>
        <w:t>Pension Management.</w:t>
      </w:r>
      <w:r>
        <w:rPr>
          <w:rFonts w:ascii="Calibri" w:hAnsi="Calibri"/>
          <w:b w:val="0"/>
          <w:i w:val="0"/>
          <w:color w:val="1A1A2E"/>
          <w:sz w:val="22"/>
        </w:rPr>
        <w:t xml:space="preserve"> The scope of any Pension Management module, including Deferred Retirement Option Program (DROP) and Pension Reserve Option Program (PROP) functionality, will be confirmed during the requirements phase. Depending on requirements, the solution may be addressed through native Oracle functionality or through integration with a third-party administrator (TPA). Pension Management is priced separately from the base implementation scope.</w:t>
      </w:r>
    </w:p>
    <w:p>
      <w:pPr>
        <w:spacing w:before="0" w:after="100" w:line="276" w:lineRule="auto"/>
        <w:jc w:val="left"/>
      </w:pPr>
      <w:r>
        <w:rPr>
          <w:rFonts w:ascii="Calibri" w:hAnsi="Calibri"/>
          <w:b/>
          <w:i w:val="0"/>
          <w:color w:val="1A1A2E"/>
          <w:sz w:val="22"/>
        </w:rPr>
        <w:t>Base Agreement Terms.</w:t>
      </w:r>
      <w:r>
        <w:rPr>
          <w:rFonts w:ascii="Calibri" w:hAnsi="Calibri"/>
          <w:b w:val="0"/>
          <w:i w:val="0"/>
          <w:color w:val="1A1A2E"/>
          <w:sz w:val="22"/>
        </w:rPr>
        <w:t xml:space="preserve"> iteria will conduct a legal review of the client's Base Agreement prior to final proposal submission. Any exceptions identified during that review will be documented and submitted in the Exceptions table as required by the RFP instructions.</w:t>
      </w:r>
    </w:p>
    <w:p>
      <w:r>
        <w:br w:type="page"/>
      </w:r>
    </w:p>
    <w:p>
      <w:pPr>
        <w:spacing w:before="0" w:after="0"/>
      </w:pPr>
      <w:r>
        <w:rPr>
          <w:rFonts w:ascii="Calibri" w:hAnsi="Calibri"/>
          <w:b/>
          <w:i w:val="0"/>
          <w:color w:val="F0530A"/>
          <w:sz w:val="80"/>
        </w:rPr>
        <w:t>11</w:t>
      </w:r>
    </w:p>
    <w:p>
      <w:pPr>
        <w:pBdr>
          <w:bottom w:val="single" w:sz="14" w:space="4" w:color="F0530A"/>
        </w:pBdr>
        <w:spacing w:before="0" w:after="80"/>
      </w:pPr>
      <w:r>
        <w:rPr>
          <w:rFonts w:ascii="Calibri" w:hAnsi="Calibri"/>
          <w:b/>
          <w:i w:val="0"/>
          <w:color w:val="1A1A2E"/>
          <w:sz w:val="40"/>
        </w:rPr>
        <w:t>Pricing Narrative</w:t>
      </w:r>
    </w:p>
    <w:p>
      <w:pPr>
        <w:spacing w:before="0" w:after="120"/>
      </w:pPr>
    </w:p>
    <w:p>
      <w:pPr>
        <w:pBdr>
          <w:bottom w:val="single" w:sz="8" w:space="4" w:color="F0530A"/>
        </w:pBdr>
        <w:spacing w:before="180" w:after="80"/>
      </w:pPr>
      <w:r>
        <w:rPr>
          <w:rFonts w:ascii="Calibri" w:hAnsi="Calibri"/>
          <w:b/>
          <w:i w:val="0"/>
          <w:color w:val="1A1A2E"/>
          <w:sz w:val="28"/>
        </w:rPr>
        <w:t>Pricing Narrative</w:t>
      </w:r>
    </w:p>
    <w:p>
      <w:pPr>
        <w:pBdr>
          <w:bottom w:val="single" w:sz="8" w:space="4" w:color="F0530A"/>
        </w:pBdr>
        <w:spacing w:before="180" w:after="80"/>
      </w:pPr>
      <w:r>
        <w:rPr>
          <w:rFonts w:ascii="Calibri" w:hAnsi="Calibri"/>
          <w:b/>
          <w:i w:val="0"/>
          <w:color w:val="1A1A2E"/>
          <w:sz w:val="28"/>
        </w:rPr>
        <w:t>Pricing Philosophy</w:t>
      </w:r>
    </w:p>
    <w:p>
      <w:pPr>
        <w:spacing w:before="0" w:after="100" w:line="276" w:lineRule="auto"/>
        <w:jc w:val="left"/>
      </w:pPr>
      <w:r>
        <w:rPr>
          <w:rFonts w:ascii="Calibri" w:hAnsi="Calibri"/>
          <w:b w:val="0"/>
          <w:i w:val="0"/>
          <w:color w:val="1A1A2E"/>
          <w:sz w:val="22"/>
        </w:rPr>
        <w:t>iteria prices engagements to align our success with the City of St. Petersburg's success. Our implementation services are structured as a fixed-fee, milestone-based engagement — not an open-ended time-and-materials arrangement where the City absorbs the risk of scope drift or slow execution. The City pays for completed, accepted work. That structure gives St. Petersburg's project team and finance leadership a predictable budget from day one, and it gives iteria a direct incentive to deliver on schedule. There are no hidden fees, and scope items that belong in a full Oracle Human Capital Management (HCM) and Payroll implementation are included — not added back through change orders after contract signature.</w:t>
      </w:r>
    </w:p>
    <w:p>
      <w:pPr>
        <w:pBdr>
          <w:bottom w:val="single" w:sz="8" w:space="4" w:color="F0530A"/>
        </w:pBdr>
        <w:spacing w:before="180" w:after="80"/>
      </w:pPr>
      <w:r>
        <w:rPr>
          <w:rFonts w:ascii="Calibri" w:hAnsi="Calibri"/>
          <w:b/>
          <w:i w:val="0"/>
          <w:color w:val="1A1A2E"/>
          <w:sz w:val="28"/>
        </w:rPr>
        <w:t>Cost Components</w:t>
      </w:r>
    </w:p>
    <w:p>
      <w:pPr>
        <w:spacing w:before="0" w:after="100" w:line="276" w:lineRule="auto"/>
        <w:jc w:val="left"/>
      </w:pPr>
      <w:r>
        <w:rPr>
          <w:rFonts w:ascii="Calibri" w:hAnsi="Calibri"/>
          <w:b w:val="0"/>
          <w:i w:val="0"/>
          <w:color w:val="1A1A2E"/>
          <w:sz w:val="22"/>
        </w:rPr>
        <w:t>A complete Oracle Fusion Cloud HCM and Payroll implementation for the City of St. Petersburg involves three distinct cost categories. Each is described below. Specific dollar amounts appear in the pricing exhibit submitted under separate cover.</w:t>
      </w:r>
    </w:p>
    <w:p>
      <w:pPr>
        <w:spacing w:before="120" w:after="60"/>
      </w:pPr>
      <w:r>
        <w:rPr>
          <w:rFonts w:ascii="Calibri" w:hAnsi="Calibri"/>
          <w:b/>
          <w:i w:val="0"/>
          <w:color w:val="1A1A2E"/>
          <w:sz w:val="24"/>
        </w:rPr>
        <w:t>1. Implementation Services (iteria)</w:t>
      </w:r>
    </w:p>
    <w:p>
      <w:pPr>
        <w:spacing w:before="0" w:after="100" w:line="276" w:lineRule="auto"/>
        <w:jc w:val="left"/>
      </w:pPr>
      <w:r>
        <w:rPr>
          <w:rFonts w:ascii="Calibri" w:hAnsi="Calibri"/>
          <w:b w:val="0"/>
          <w:i w:val="0"/>
          <w:color w:val="1A1A2E"/>
          <w:sz w:val="22"/>
        </w:rPr>
        <w:t>This category covers iteria's professional services across the full implementation lifecycle: Boundary Confirmation, requirements validation, system configuration, Reports, Interfaces, Conversions, and Extensions (RICE) development, testing, training, go-live support, and hypercare. All services are priced as a single fixed fee, divided across defined payment milestones. On-site travel for iteria resources is included — the City will not receive surprise travel invoices mid-project. This category also includes full access to VALIDATE, iteria's automated regression testing platform, and all testing scripts developed during the engagement. Those scripts remain with the City at project close, supporting future Oracle quarterly update cycles.</w:t>
      </w:r>
    </w:p>
    <w:p>
      <w:pPr>
        <w:spacing w:before="120" w:after="60"/>
      </w:pPr>
      <w:r>
        <w:rPr>
          <w:rFonts w:ascii="Calibri" w:hAnsi="Calibri"/>
          <w:b/>
          <w:i w:val="0"/>
          <w:color w:val="1A1A2E"/>
          <w:sz w:val="24"/>
        </w:rPr>
        <w:t>2. Oracle Software Licensing</w:t>
      </w:r>
    </w:p>
    <w:p>
      <w:pPr>
        <w:spacing w:before="0" w:after="100" w:line="276" w:lineRule="auto"/>
        <w:jc w:val="left"/>
      </w:pPr>
      <w:r>
        <w:rPr>
          <w:rFonts w:ascii="Calibri" w:hAnsi="Calibri"/>
          <w:b w:val="0"/>
          <w:i w:val="0"/>
          <w:color w:val="1A1A2E"/>
          <w:sz w:val="22"/>
        </w:rPr>
        <w:t>Oracle Fusion Cloud is delivered as Software-as-a-Service (SaaS), meaning the City subscribes to the software on an annual basis rather than purchasing a perpetual license. Subscription fees are based on employee count or transaction volume depending on the module. Oracle pricing for this engagement is provided by Mythics LLC, an Oracle-authorized reseller.</w:t>
      </w:r>
    </w:p>
    <w:p>
      <w:pPr>
        <w:spacing w:before="0" w:after="100" w:line="276" w:lineRule="auto"/>
        <w:jc w:val="left"/>
      </w:pPr>
      <w:r>
        <w:rPr>
          <w:rFonts w:ascii="Calibri" w:hAnsi="Calibri"/>
          <w:b w:val="0"/>
          <w:i w:val="0"/>
          <w:color w:val="1A1A2E"/>
          <w:sz w:val="22"/>
        </w:rPr>
        <w:t>The core Oracle products in scope for this engagement are:</w:t>
      </w:r>
    </w:p>
    <w:p>
      <w:pPr>
        <w:spacing w:before="0" w:after="60"/>
        <w:ind w:left="600" w:hanging="240"/>
      </w:pPr>
      <w:r>
        <w:rPr>
          <w:rFonts w:ascii="Calibri" w:hAnsi="Calibri"/>
          <w:b/>
          <w:i w:val="0"/>
          <w:color w:val="F0530A"/>
          <w:sz w:val="22"/>
        </w:rPr>
        <w:t xml:space="preserve">• </w:t>
      </w:r>
      <w:r>
        <w:rPr>
          <w:rFonts w:ascii="Calibri" w:hAnsi="Calibri"/>
          <w:b/>
          <w:i w:val="0"/>
          <w:color w:val="1A1A2E"/>
          <w:sz w:val="22"/>
        </w:rPr>
        <w:t>Oracle Fusion HCM – Core HR</w:t>
      </w:r>
      <w:r>
        <w:rPr>
          <w:rFonts w:ascii="Calibri" w:hAnsi="Calibri"/>
          <w:b w:val="0"/>
          <w:i w:val="0"/>
          <w:color w:val="1A1A2E"/>
          <w:sz w:val="22"/>
        </w:rPr>
        <w:t xml:space="preserve"> (Part #B91086)</w:t>
      </w:r>
    </w:p>
    <w:p>
      <w:pPr>
        <w:spacing w:before="0" w:after="60"/>
        <w:ind w:left="600" w:hanging="240"/>
      </w:pPr>
      <w:r>
        <w:rPr>
          <w:rFonts w:ascii="Calibri" w:hAnsi="Calibri"/>
          <w:b/>
          <w:i w:val="0"/>
          <w:color w:val="F0530A"/>
          <w:sz w:val="22"/>
        </w:rPr>
        <w:t xml:space="preserve">• </w:t>
      </w:r>
      <w:r>
        <w:rPr>
          <w:rFonts w:ascii="Calibri" w:hAnsi="Calibri"/>
          <w:b/>
          <w:i w:val="0"/>
          <w:color w:val="1A1A2E"/>
          <w:sz w:val="22"/>
        </w:rPr>
        <w:t>Oracle Fusion Cloud Payroll</w:t>
      </w:r>
      <w:r>
        <w:rPr>
          <w:rFonts w:ascii="Calibri" w:hAnsi="Calibri"/>
          <w:b w:val="0"/>
          <w:i w:val="0"/>
          <w:color w:val="1A1A2E"/>
          <w:sz w:val="22"/>
        </w:rPr>
        <w:t xml:space="preserve"> (Part #B91064)</w:t>
      </w:r>
    </w:p>
    <w:p>
      <w:pPr>
        <w:spacing w:before="0" w:after="60"/>
        <w:ind w:left="600" w:hanging="240"/>
      </w:pPr>
      <w:r>
        <w:rPr>
          <w:rFonts w:ascii="Calibri" w:hAnsi="Calibri"/>
          <w:b/>
          <w:i w:val="0"/>
          <w:color w:val="F0530A"/>
          <w:sz w:val="22"/>
        </w:rPr>
        <w:t xml:space="preserve">• </w:t>
      </w:r>
      <w:r>
        <w:rPr>
          <w:rFonts w:ascii="Calibri" w:hAnsi="Calibri"/>
          <w:b/>
          <w:i w:val="0"/>
          <w:color w:val="1A1A2E"/>
          <w:sz w:val="22"/>
        </w:rPr>
        <w:t>Oracle Fusion Cloud Benefits</w:t>
      </w:r>
      <w:r>
        <w:rPr>
          <w:rFonts w:ascii="Calibri" w:hAnsi="Calibri"/>
          <w:b w:val="0"/>
          <w:i w:val="0"/>
          <w:color w:val="1A1A2E"/>
          <w:sz w:val="22"/>
        </w:rPr>
        <w:t xml:space="preserve"> (Part #B91074)</w:t>
      </w:r>
    </w:p>
    <w:p>
      <w:pPr>
        <w:spacing w:before="0" w:after="60"/>
        <w:ind w:left="600" w:hanging="240"/>
      </w:pPr>
      <w:r>
        <w:rPr>
          <w:rFonts w:ascii="Calibri" w:hAnsi="Calibri"/>
          <w:b/>
          <w:i w:val="0"/>
          <w:color w:val="F0530A"/>
          <w:sz w:val="22"/>
        </w:rPr>
        <w:t xml:space="preserve">• </w:t>
      </w:r>
      <w:r>
        <w:rPr>
          <w:rFonts w:ascii="Calibri" w:hAnsi="Calibri"/>
          <w:b/>
          <w:i w:val="0"/>
          <w:color w:val="1A1A2E"/>
          <w:sz w:val="22"/>
        </w:rPr>
        <w:t>Oracle Fusion ERP – General Ledger</w:t>
      </w:r>
      <w:r>
        <w:rPr>
          <w:rFonts w:ascii="Calibri" w:hAnsi="Calibri"/>
          <w:b w:val="0"/>
          <w:i w:val="0"/>
          <w:color w:val="1A1A2E"/>
          <w:sz w:val="22"/>
        </w:rPr>
        <w:t xml:space="preserve"> (Part #B85800)</w:t>
      </w:r>
    </w:p>
    <w:p>
      <w:pPr>
        <w:spacing w:before="0" w:after="60"/>
      </w:pPr>
    </w:p>
    <w:p>
      <w:pPr>
        <w:spacing w:before="0" w:after="100" w:line="276" w:lineRule="auto"/>
        <w:jc w:val="left"/>
      </w:pPr>
      <w:r>
        <w:rPr>
          <w:rFonts w:ascii="Calibri" w:hAnsi="Calibri"/>
          <w:b w:val="0"/>
          <w:i w:val="0"/>
          <w:color w:val="1A1A2E"/>
          <w:sz w:val="22"/>
        </w:rPr>
        <w:t>Oracle SaaS subscriptions include all quarterly product updates, hosting on Oracle Cloud Infrastructure within U.S. data centers, 24/7 Oracle Support for Severity 1 issues, and built-in disaster recovery. The City will not carry hardware, database administration staff, or upgrade project costs for these products — those obligations transfer to Oracle as part of the subscription.</w:t>
      </w:r>
    </w:p>
    <w:p>
      <w:pPr>
        <w:spacing w:before="120" w:after="60"/>
      </w:pPr>
      <w:r>
        <w:rPr>
          <w:rFonts w:ascii="Calibri" w:hAnsi="Calibri"/>
          <w:b/>
          <w:i w:val="0"/>
          <w:color w:val="1A1A2E"/>
          <w:sz w:val="24"/>
        </w:rPr>
        <w:t>3. Optional and Ongoing Services</w:t>
      </w:r>
    </w:p>
    <w:p>
      <w:pPr>
        <w:spacing w:before="0" w:after="100" w:line="276" w:lineRule="auto"/>
        <w:jc w:val="left"/>
      </w:pPr>
      <w:r>
        <w:rPr>
          <w:rFonts w:ascii="Calibri" w:hAnsi="Calibri"/>
          <w:b w:val="0"/>
          <w:i w:val="0"/>
          <w:color w:val="1A1A2E"/>
          <w:sz w:val="22"/>
        </w:rPr>
        <w:t>After hypercare concludes, the City has two paths: manage the system with internal staff, or engage iteria for ongoing managed services. Managed services from iteria include Level 1, Level 2, and Level 3 support, Oracle quarterly patch regression testing through VALIDATE, and ad-hoc configuration changes as business needs evolve. This option is priced separately and is entirely the City's election — it is not bundled into the implementation fee or treated as a prerequisite.</w:t>
      </w:r>
    </w:p>
    <w:p>
      <w:pPr>
        <w:pBdr>
          <w:bottom w:val="single" w:sz="8" w:space="4" w:color="F0530A"/>
        </w:pBdr>
        <w:spacing w:before="180" w:after="80"/>
      </w:pPr>
      <w:r>
        <w:rPr>
          <w:rFonts w:ascii="Calibri" w:hAnsi="Calibri"/>
          <w:b/>
          <w:i w:val="0"/>
          <w:color w:val="1A1A2E"/>
          <w:sz w:val="28"/>
        </w:rPr>
        <w:t>Payment Milestone Structure</w:t>
      </w:r>
    </w:p>
    <w:p>
      <w:pPr>
        <w:spacing w:before="0" w:after="100" w:line="276" w:lineRule="auto"/>
        <w:jc w:val="left"/>
      </w:pPr>
      <w:r>
        <w:rPr>
          <w:rFonts w:ascii="Calibri" w:hAnsi="Calibri"/>
          <w:b w:val="0"/>
          <w:i w:val="0"/>
          <w:color w:val="1A1A2E"/>
          <w:sz w:val="22"/>
        </w:rPr>
        <w:t>Implementation service fees are divided across five payment milestones tied to project progress and formal acceptance: project kickoff, Conference Room Pilot (CRP) completion, User Acceptance Testing (UAT) sign-off, go-live, and a holdback amount released upon successful hypercare completion. This structure ensures the City retains financial leverage at every major phase gate. Specific percentages and amounts are detailed in the pricing exhibit under separate cover.</w:t>
      </w:r>
    </w:p>
    <w:p>
      <w:pPr>
        <w:pBdr>
          <w:bottom w:val="single" w:sz="8" w:space="4" w:color="F0530A"/>
        </w:pBdr>
        <w:spacing w:before="180" w:after="80"/>
      </w:pPr>
      <w:r>
        <w:rPr>
          <w:rFonts w:ascii="Calibri" w:hAnsi="Calibri"/>
          <w:b/>
          <w:i w:val="0"/>
          <w:color w:val="1A1A2E"/>
          <w:sz w:val="28"/>
        </w:rPr>
        <w:t>Investment Justification</w:t>
      </w:r>
    </w:p>
    <w:p>
      <w:pPr>
        <w:spacing w:before="0" w:after="100" w:line="276" w:lineRule="auto"/>
        <w:jc w:val="left"/>
      </w:pPr>
      <w:r>
        <w:rPr>
          <w:rFonts w:ascii="Calibri" w:hAnsi="Calibri"/>
          <w:b w:val="0"/>
          <w:i w:val="0"/>
          <w:color w:val="1A1A2E"/>
          <w:sz w:val="22"/>
        </w:rPr>
        <w:t>Three factors frame this investment. First, the cost of inaction: manual payroll processes, disconnected HCM data, time spent on audit remediation, and the ongoing maintenance burden of legacy systems carry real costs today — in staff hours, error correction, and compliance exposure. Second, total cost of ownership over five years favors Oracle SaaS. Hardware refresh cycles, database administrator staffing, and annual upgrade projects are eliminated. Third, time-to-value is real. iteria's phased methodology delivers a working, production system within 12–24 months — not a theoretical roadmap measured in years.</w:t>
      </w:r>
    </w:p>
    <w:p>
      <w:pPr>
        <w:pBdr>
          <w:bottom w:val="single" w:sz="8" w:space="4" w:color="F0530A"/>
        </w:pBdr>
        <w:spacing w:before="180" w:after="80"/>
      </w:pPr>
      <w:r>
        <w:rPr>
          <w:rFonts w:ascii="Calibri" w:hAnsi="Calibri"/>
          <w:b/>
          <w:i w:val="0"/>
          <w:color w:val="1A1A2E"/>
          <w:sz w:val="28"/>
        </w:rPr>
        <w:t>Assumptions</w:t>
      </w:r>
    </w:p>
    <w:p>
      <w:pPr>
        <w:spacing w:before="0" w:after="100" w:line="276" w:lineRule="auto"/>
        <w:jc w:val="left"/>
      </w:pPr>
      <w:r>
        <w:rPr>
          <w:rFonts w:ascii="Calibri" w:hAnsi="Calibri"/>
          <w:b w:val="0"/>
          <w:i w:val="0"/>
          <w:color w:val="1A1A2E"/>
          <w:sz w:val="22"/>
        </w:rPr>
        <w:t>This pricing is based on the scope defined in this proposal. The City will provide timely access to subject matter experts throughout the project. Data cleansing activities are client-led, with iteria providing templates and guidance. Oracle licensing terms reflect the current Oracle price list at time of contract execution. Any scope changes after contract signature will be managed through a formal change request process with documented cost and schedule impact before work proceeds.</w:t>
      </w:r>
    </w:p>
    <w:p>
      <w:r>
        <w:br w:type="page"/>
      </w:r>
    </w:p>
    <w:p>
      <w:pPr>
        <w:spacing w:before="0" w:after="0"/>
      </w:pPr>
      <w:r>
        <w:rPr>
          <w:rFonts w:ascii="Calibri" w:hAnsi="Calibri"/>
          <w:b/>
          <w:i w:val="0"/>
          <w:color w:val="F0530A"/>
          <w:sz w:val="80"/>
        </w:rPr>
        <w:t>12</w:t>
      </w:r>
    </w:p>
    <w:p>
      <w:pPr>
        <w:pBdr>
          <w:bottom w:val="single" w:sz="14" w:space="4" w:color="F0530A"/>
        </w:pBdr>
        <w:spacing w:before="0" w:after="80"/>
      </w:pPr>
      <w:r>
        <w:rPr>
          <w:rFonts w:ascii="Calibri" w:hAnsi="Calibri"/>
          <w:b/>
          <w:i w:val="0"/>
          <w:color w:val="1A1A2E"/>
          <w:sz w:val="40"/>
        </w:rPr>
        <w:t>RFP Q&amp;A</w:t>
      </w:r>
    </w:p>
    <w:p>
      <w:pPr>
        <w:spacing w:before="0" w:after="120"/>
      </w:pPr>
    </w:p>
    <w:p>
      <w:pPr>
        <w:spacing w:before="0" w:after="100" w:line="276" w:lineRule="auto"/>
        <w:jc w:val="left"/>
      </w:pPr>
      <w:r>
        <w:rPr>
          <w:rFonts w:ascii="Calibri" w:hAnsi="Calibri"/>
          <w:b w:val="0"/>
          <w:i w:val="0"/>
          <w:color w:val="1A1A2E"/>
          <w:sz w:val="22"/>
        </w:rPr>
        <w:t>📄</w:t>
      </w:r>
    </w:p>
    <w:p>
      <w:pPr>
        <w:spacing w:before="0" w:after="100" w:line="276" w:lineRule="auto"/>
        <w:jc w:val="left"/>
      </w:pPr>
      <w:r>
        <w:rPr>
          <w:rFonts w:ascii="Calibri" w:hAnsi="Calibri"/>
          <w:b w:val="0"/>
          <w:i w:val="0"/>
          <w:color w:val="1A1A2E"/>
          <w:sz w:val="22"/>
        </w:rPr>
        <w:t>No requirements document uploaded</w:t>
      </w:r>
    </w:p>
    <w:p>
      <w:pPr>
        <w:spacing w:before="0" w:after="100" w:line="276" w:lineRule="auto"/>
        <w:jc w:val="left"/>
      </w:pPr>
      <w:r>
        <w:rPr>
          <w:rFonts w:ascii="Calibri" w:hAnsi="Calibri"/>
          <w:b w:val="0"/>
          <w:i w:val="0"/>
          <w:color w:val="1A1A2E"/>
          <w:sz w:val="22"/>
        </w:rPr>
        <w:t>Upload or paste questions in Card 7.</w:t>
      </w:r>
    </w:p>
    <w:p>
      <w:r>
        <w:br w:type="page"/>
      </w:r>
    </w:p>
    <w:p>
      <w:pPr>
        <w:spacing w:before="0" w:after="0"/>
      </w:pPr>
      <w:r>
        <w:rPr>
          <w:rFonts w:ascii="Calibri" w:hAnsi="Calibri"/>
          <w:b/>
          <w:i w:val="0"/>
          <w:color w:val="F0530A"/>
          <w:sz w:val="80"/>
        </w:rPr>
        <w:t>13</w:t>
      </w:r>
    </w:p>
    <w:p>
      <w:pPr>
        <w:pBdr>
          <w:bottom w:val="single" w:sz="14" w:space="4" w:color="F0530A"/>
        </w:pBdr>
        <w:spacing w:before="0" w:after="80"/>
      </w:pPr>
      <w:r>
        <w:rPr>
          <w:rFonts w:ascii="Calibri" w:hAnsi="Calibri"/>
          <w:b/>
          <w:i w:val="0"/>
          <w:color w:val="1A1A2E"/>
          <w:sz w:val="40"/>
        </w:rPr>
        <w:t>Exceptions</w:t>
      </w:r>
    </w:p>
    <w:p>
      <w:pPr>
        <w:spacing w:before="0" w:after="120"/>
      </w:pPr>
    </w:p>
    <w:p>
      <w:pPr>
        <w:pBdr>
          <w:bottom w:val="single" w:sz="8" w:space="4" w:color="F0530A"/>
        </w:pBdr>
        <w:spacing w:before="180" w:after="80"/>
      </w:pPr>
      <w:r>
        <w:rPr>
          <w:rFonts w:ascii="Calibri" w:hAnsi="Calibri"/>
          <w:b/>
          <w:i w:val="0"/>
          <w:color w:val="1A1A2E"/>
          <w:sz w:val="28"/>
        </w:rPr>
        <w:t>Statement of Compliance</w:t>
      </w:r>
    </w:p>
    <w:p>
      <w:pPr>
        <w:spacing w:before="0" w:after="100" w:line="276" w:lineRule="auto"/>
        <w:jc w:val="left"/>
      </w:pPr>
      <w:r>
        <w:rPr>
          <w:rFonts w:ascii="Calibri" w:hAnsi="Calibri"/>
          <w:b w:val="0"/>
          <w:i w:val="0"/>
          <w:color w:val="1A1A2E"/>
          <w:sz w:val="22"/>
        </w:rPr>
        <w:t>iteria has reviewed the full requirements set forth in the City of St. Petersburg, Florida Enterprise Resource Planning (ERP) Software Modernization RFP, including all technical specifications, functional requirements, contractual terms, and implementation expectations for the Human Capital Management (HCM) and Payroll modules. We confirm compliance with the requirements as stated, with the clarifications and recommendations noted in the table below.</w:t>
      </w:r>
    </w:p>
    <w:p>
      <w:pPr>
        <w:spacing w:before="0" w:after="100" w:line="276" w:lineRule="auto"/>
        <w:jc w:val="left"/>
      </w:pPr>
      <w:r>
        <w:rPr>
          <w:rFonts w:ascii="Calibri" w:hAnsi="Calibri"/>
          <w:b w:val="0"/>
          <w:i w:val="0"/>
          <w:color w:val="1A1A2E"/>
          <w:sz w:val="22"/>
        </w:rPr>
        <w:t>None of the items below represent a refusal to perform. Each reflects either a technical recommendation that we believe serves the City's long-term interests, or a scope boundary that requires confirmation during early project discovery. iteria will comply with the City's direction on all items following discussion during the Boundary Confirmation Workshop.</w:t>
      </w:r>
    </w:p>
    <w:p>
      <w:pPr>
        <w:pBdr>
          <w:bottom w:val="single" w:sz="8" w:space="4" w:color="F0530A"/>
        </w:pBdr>
        <w:spacing w:before="180" w:after="80"/>
      </w:pPr>
      <w:r>
        <w:rPr>
          <w:rFonts w:ascii="Calibri" w:hAnsi="Calibri"/>
          <w:b/>
          <w:i w:val="0"/>
          <w:color w:val="1A1A2E"/>
          <w:sz w:val="28"/>
        </w:rPr>
        <w:t>Table of Exceptions</w:t>
      </w:r>
    </w:p>
    <w:tbl>
      <w:tblPr>
        <w:tblW w:type="dxa" w:w="936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Row="1" w:firstColumn="1" w:lastRow="0" w:lastColumn="0" w:noHBand="0" w:noVBand="1" w:val="04A0"/>
      </w:tblPr>
      <w:tblGrid>
        <w:gridCol w:w="320"/>
        <w:gridCol w:w="1640"/>
        <w:gridCol w:w="2200"/>
        <w:gridCol w:w="2200"/>
        <w:gridCol w:w="3000"/>
      </w:tblGrid>
      <w:tr>
        <w:tc>
          <w:tcPr>
            <w:tcW w:w="320" w:type="dxa"/>
            <w:shd w:val="clear" w:color="auto" w:fill="1A1A2E"/>
            <w:tcMar>
              <w:top w:w="80" w:type="dxa"/>
              <w:start w:w="100" w:type="dxa"/>
              <w:bottom w:w="80" w:type="dxa"/>
              <w:end w:w="100" w:type="dxa"/>
            </w:tcMar>
          </w:tcPr>
          <w:p>
            <w:pPr>
              <w:spacing w:before="0" w:after="40"/>
            </w:pPr>
            <w:r>
              <w:rPr>
                <w:rFonts w:ascii="Calibri" w:hAnsi="Calibri"/>
                <w:b/>
                <w:color w:val="FFFFFF"/>
                <w:sz w:val="20"/>
              </w:rPr>
              <w:t xml:space="preserve">#</w:t>
            </w:r>
          </w:p>
        </w:tc>
        <w:tc>
          <w:tcPr>
            <w:tcW w:w="1640" w:type="dxa"/>
            <w:shd w:val="clear" w:color="auto" w:fill="1A1A2E"/>
            <w:tcMar>
              <w:top w:w="80" w:type="dxa"/>
              <w:start w:w="100" w:type="dxa"/>
              <w:bottom w:w="80" w:type="dxa"/>
              <w:end w:w="100" w:type="dxa"/>
            </w:tcMar>
          </w:tcPr>
          <w:p>
            <w:pPr>
              <w:spacing w:before="0" w:after="40"/>
            </w:pPr>
            <w:r>
              <w:rPr>
                <w:rFonts w:ascii="Calibri" w:hAnsi="Calibri"/>
                <w:b/>
                <w:color w:val="FFFFFF"/>
                <w:sz w:val="20"/>
              </w:rPr>
              <w:t xml:space="preserve">RFP Section / Requirement</w:t>
            </w:r>
          </w:p>
        </w:tc>
        <w:tc>
          <w:tcPr>
            <w:tcW w:w="2200" w:type="dxa"/>
            <w:shd w:val="clear" w:color="auto" w:fill="1A1A2E"/>
            <w:tcMar>
              <w:top w:w="80" w:type="dxa"/>
              <w:start w:w="100" w:type="dxa"/>
              <w:bottom w:w="80" w:type="dxa"/>
              <w:end w:w="100" w:type="dxa"/>
            </w:tcMar>
          </w:tcPr>
          <w:p>
            <w:pPr>
              <w:spacing w:before="0" w:after="40"/>
            </w:pPr>
            <w:r>
              <w:rPr>
                <w:rFonts w:ascii="Calibri" w:hAnsi="Calibri"/>
                <w:b/>
                <w:color w:val="FFFFFF"/>
                <w:sz w:val="20"/>
              </w:rPr>
              <w:t xml:space="preserve">iteria Exception / Clarification</w:t>
            </w:r>
          </w:p>
        </w:tc>
        <w:tc>
          <w:tcPr>
            <w:tcW w:w="2200" w:type="dxa"/>
            <w:shd w:val="clear" w:color="auto" w:fill="1A1A2E"/>
            <w:tcMar>
              <w:top w:w="80" w:type="dxa"/>
              <w:start w:w="100" w:type="dxa"/>
              <w:bottom w:w="80" w:type="dxa"/>
              <w:end w:w="100" w:type="dxa"/>
            </w:tcMar>
          </w:tcPr>
          <w:p>
            <w:pPr>
              <w:spacing w:before="0" w:after="40"/>
            </w:pPr>
            <w:r>
              <w:rPr>
                <w:rFonts w:ascii="Calibri" w:hAnsi="Calibri"/>
                <w:b/>
                <w:color w:val="FFFFFF"/>
                <w:sz w:val="20"/>
              </w:rPr>
              <w:t xml:space="preserve">Rationale</w:t>
            </w:r>
          </w:p>
        </w:tc>
        <w:tc>
          <w:tcPr>
            <w:tcW w:w="3000" w:type="dxa"/>
            <w:shd w:val="clear" w:color="auto" w:fill="1A1A2E"/>
            <w:tcMar>
              <w:top w:w="80" w:type="dxa"/>
              <w:start w:w="100" w:type="dxa"/>
              <w:bottom w:w="80" w:type="dxa"/>
              <w:end w:w="100" w:type="dxa"/>
            </w:tcMar>
          </w:tcPr>
          <w:p>
            <w:pPr>
              <w:spacing w:before="0" w:after="40"/>
            </w:pPr>
            <w:r>
              <w:rPr>
                <w:rFonts w:ascii="Calibri" w:hAnsi="Calibri"/>
                <w:b/>
                <w:color w:val="FFFFFF"/>
                <w:sz w:val="20"/>
              </w:rPr>
              <w:t xml:space="preserve">Proposed Alternative</w:t>
            </w:r>
          </w:p>
        </w:tc>
      </w:tr>
      <w:tr>
        <w:tc>
          <w:tcPr>
            <w:tcW w:w="32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1</w:t>
            </w:r>
          </w:p>
        </w:tc>
        <w:tc>
          <w:tcPr>
            <w:tcW w:w="164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Historical Data Retention</w:t>
            </w:r>
          </w:p>
          <w:p>
            <w:pPr>
              <w:spacing w:before="0" w:after="40"/>
            </w:pPr>
            <w:r>
              <w:rPr>
                <w:rFonts w:ascii="Calibri" w:hAnsi="Calibri"/>
                <w:b w:val="0"/>
                <w:color w:val="1A1A2E"/>
                <w:sz w:val="20"/>
              </w:rPr>
              <w:t xml:space="preserve">Retention of employee and payroll records beyond 7 years within Oracle Fusion Cloud</w:t>
            </w:r>
          </w:p>
        </w:tc>
        <w:tc>
          <w:tcPr>
            <w:tcW w:w="2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iteria recommends against storing 10+ years of transactional history within the Oracle</w:t>
            </w:r>
          </w:p>
          <w:p>
            <w:pPr>
              <w:spacing w:before="0" w:after="40"/>
            </w:pPr>
            <w:r>
              <w:rPr>
                <w:rFonts w:ascii="Calibri" w:hAnsi="Calibri"/>
                <w:b w:val="0"/>
                <w:color w:val="1A1A2E"/>
                <w:sz w:val="20"/>
              </w:rPr>
              <w:t xml:space="preserve">Fusion production environment. We propose this as a recommendation, not a refusal.</w:t>
            </w:r>
          </w:p>
        </w:tc>
        <w:tc>
          <w:tcPr>
            <w:tcW w:w="2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Loading decade-old transactional data into a SaaS production environment increases</w:t>
            </w:r>
          </w:p>
          <w:p>
            <w:pPr>
              <w:spacing w:before="0" w:after="40"/>
            </w:pPr>
            <w:r>
              <w:rPr>
                <w:rFonts w:ascii="Calibri" w:hAnsi="Calibri"/>
                <w:b w:val="0"/>
                <w:color w:val="1A1A2E"/>
                <w:sz w:val="20"/>
              </w:rPr>
              <w:t xml:space="preserve">storage costs, degrades query performance, and does not align with Oracle’s SaaS</w:t>
            </w:r>
          </w:p>
          <w:p>
            <w:pPr>
              <w:spacing w:before="0" w:after="40"/>
            </w:pPr>
            <w:r>
              <w:rPr>
                <w:rFonts w:ascii="Calibri" w:hAnsi="Calibri"/>
                <w:b w:val="0"/>
                <w:color w:val="1A1A2E"/>
                <w:sz w:val="20"/>
              </w:rPr>
              <w:t xml:space="preserve">data management guidance. Historical records beyond 7 years are rarely accessed for</w:t>
            </w:r>
          </w:p>
          <w:p>
            <w:pPr>
              <w:spacing w:before="0" w:after="40"/>
            </w:pPr>
            <w:r>
              <w:rPr>
                <w:rFonts w:ascii="Calibri" w:hAnsi="Calibri"/>
                <w:b w:val="0"/>
                <w:color w:val="1A1A2E"/>
                <w:sz w:val="20"/>
              </w:rPr>
              <w:t xml:space="preserve">day-to-day operations and are better served outside the transactional application.</w:t>
            </w:r>
          </w:p>
        </w:tc>
        <w:tc>
          <w:tcPr>
            <w:tcW w:w="30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iteria recommends a dedicated data warehouse approach — Oracle Analytics Cloud (OAC)</w:t>
            </w:r>
          </w:p>
          <w:p>
            <w:pPr>
              <w:spacing w:before="0" w:after="40"/>
            </w:pPr>
            <w:r>
              <w:rPr>
                <w:rFonts w:ascii="Calibri" w:hAnsi="Calibri"/>
                <w:b w:val="0"/>
                <w:color w:val="1A1A2E"/>
                <w:sz w:val="20"/>
              </w:rPr>
              <w:t xml:space="preserve">or Oracle APEX — to house extended historical records. This preserves full query access,</w:t>
            </w:r>
          </w:p>
          <w:p>
            <w:pPr>
              <w:spacing w:before="0" w:after="40"/>
            </w:pPr>
            <w:r>
              <w:rPr>
                <w:rFonts w:ascii="Calibri" w:hAnsi="Calibri"/>
                <w:b w:val="0"/>
                <w:color w:val="1A1A2E"/>
                <w:sz w:val="20"/>
              </w:rPr>
              <w:t xml:space="preserve">supports audit and public records requirements, and reduces production overhead.</w:t>
            </w:r>
          </w:p>
          <w:p>
            <w:pPr>
              <w:spacing w:before="0" w:after="40"/>
            </w:pPr>
            <w:r>
              <w:rPr>
                <w:rFonts w:ascii="Calibri" w:hAnsi="Calibri"/>
                <w:b w:val="0"/>
                <w:color w:val="1A1A2E"/>
                <w:sz w:val="20"/>
              </w:rPr>
              <w:t xml:space="preserve">Priced separately; discussed and confirmed at Boundary Confirmation.</w:t>
            </w:r>
          </w:p>
        </w:tc>
      </w:tr>
      <w:tr>
        <w:tc>
          <w:tcPr>
            <w:tcW w:w="32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2</w:t>
            </w:r>
          </w:p>
        </w:tc>
        <w:tc>
          <w:tcPr>
            <w:tcW w:w="164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Pension Management (DROP / PROP)</w:t>
            </w:r>
          </w:p>
          <w:p>
            <w:pPr>
              <w:spacing w:before="0" w:after="40"/>
            </w:pPr>
            <w:r>
              <w:rPr>
                <w:rFonts w:ascii="Calibri" w:hAnsi="Calibri"/>
                <w:b w:val="0"/>
                <w:color w:val="1A1A2E"/>
                <w:sz w:val="20"/>
              </w:rPr>
              <w:t xml:space="preserve">Native Oracle Fusion Cloud coverage of DROP and PROP pension administration</w:t>
            </w:r>
          </w:p>
        </w:tc>
        <w:tc>
          <w:tcPr>
            <w:tcW w:w="2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The scope of pension management requires confirmation during requirements discovery.</w:t>
            </w:r>
          </w:p>
          <w:p>
            <w:pPr>
              <w:spacing w:before="0" w:after="40"/>
            </w:pPr>
            <w:r>
              <w:rPr>
                <w:rFonts w:ascii="Calibri" w:hAnsi="Calibri"/>
                <w:b w:val="0"/>
                <w:color w:val="1A1A2E"/>
                <w:sz w:val="20"/>
              </w:rPr>
              <w:t xml:space="preserve">Oracle Fusion Cloud HCM does not natively administer defined-benefit pension plans,</w:t>
            </w:r>
          </w:p>
          <w:p>
            <w:pPr>
              <w:spacing w:before="0" w:after="40"/>
            </w:pPr>
            <w:r>
              <w:rPr>
                <w:rFonts w:ascii="Calibri" w:hAnsi="Calibri"/>
                <w:b w:val="0"/>
                <w:color w:val="1A1A2E"/>
                <w:sz w:val="20"/>
              </w:rPr>
              <w:t xml:space="preserve">DROP, or PROP calculations as standalone pension administration functions.</w:t>
            </w:r>
          </w:p>
        </w:tc>
        <w:tc>
          <w:tcPr>
            <w:tcW w:w="22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Oracle HCM Cloud manages benefits enrollment, deduction processing, and payroll</w:t>
            </w:r>
          </w:p>
          <w:p>
            <w:pPr>
              <w:spacing w:before="0" w:after="40"/>
            </w:pPr>
            <w:r>
              <w:rPr>
                <w:rFonts w:ascii="Calibri" w:hAnsi="Calibri"/>
                <w:b w:val="0"/>
                <w:color w:val="1A1A2E"/>
                <w:sz w:val="20"/>
              </w:rPr>
              <w:t xml:space="preserve">integration — it does not replace a pension administration system. DROP and PROP</w:t>
            </w:r>
          </w:p>
          <w:p>
            <w:pPr>
              <w:spacing w:before="0" w:after="40"/>
            </w:pPr>
            <w:r>
              <w:rPr>
                <w:rFonts w:ascii="Calibri" w:hAnsi="Calibri"/>
                <w:b w:val="0"/>
                <w:color w:val="1A1A2E"/>
                <w:sz w:val="20"/>
              </w:rPr>
              <w:t xml:space="preserve">plan rules are specific to the City’s plan documents and Florida statutes and must</w:t>
            </w:r>
          </w:p>
          <w:p>
            <w:pPr>
              <w:spacing w:before="0" w:after="40"/>
            </w:pPr>
            <w:r>
              <w:rPr>
                <w:rFonts w:ascii="Calibri" w:hAnsi="Calibri"/>
                <w:b w:val="0"/>
                <w:color w:val="1A1A2E"/>
                <w:sz w:val="20"/>
              </w:rPr>
              <w:t xml:space="preserve">be administered accurately to protect employee retirement benefits.</w:t>
            </w:r>
          </w:p>
        </w:tc>
        <w:tc>
          <w:tcPr>
            <w:tcW w:w="3000" w:type="dxa"/>
            <w:shd w:val="clear" w:color="auto" w:fill="F4F4F8"/>
            <w:tcMar>
              <w:top w:w="80" w:type="dxa"/>
              <w:start w:w="100" w:type="dxa"/>
              <w:bottom w:w="80" w:type="dxa"/>
              <w:end w:w="100" w:type="dxa"/>
            </w:tcMar>
          </w:tcPr>
          <w:p>
            <w:pPr>
              <w:spacing w:before="0" w:after="40"/>
            </w:pPr>
            <w:r>
              <w:rPr>
                <w:rFonts w:ascii="Calibri" w:hAnsi="Calibri"/>
                <w:b w:val="0"/>
                <w:color w:val="1A1A2E"/>
                <w:sz w:val="20"/>
              </w:rPr>
              <w:t xml:space="preserve">iteria will confirm during requirements whether the City’s existing TPA handles</w:t>
            </w:r>
          </w:p>
          <w:p>
            <w:pPr>
              <w:spacing w:before="0" w:after="40"/>
            </w:pPr>
            <w:r>
              <w:rPr>
                <w:rFonts w:ascii="Calibri" w:hAnsi="Calibri"/>
                <w:b w:val="0"/>
                <w:color w:val="1A1A2E"/>
                <w:sz w:val="20"/>
              </w:rPr>
              <w:t xml:space="preserve">DROP/PROP processing, with Oracle HCM providing payroll deduction feeds. If a</w:t>
            </w:r>
          </w:p>
          <w:p>
            <w:pPr>
              <w:spacing w:before="0" w:after="40"/>
            </w:pPr>
            <w:r>
              <w:rPr>
                <w:rFonts w:ascii="Calibri" w:hAnsi="Calibri"/>
                <w:b w:val="0"/>
                <w:color w:val="1A1A2E"/>
                <w:sz w:val="20"/>
              </w:rPr>
              <w:t xml:space="preserve">pension administration solution is needed, iteria will scope and price a third-party</w:t>
            </w:r>
          </w:p>
          <w:p>
            <w:pPr>
              <w:spacing w:before="0" w:after="40"/>
            </w:pPr>
            <w:r>
              <w:rPr>
                <w:rFonts w:ascii="Calibri" w:hAnsi="Calibri"/>
                <w:b w:val="0"/>
                <w:color w:val="1A1A2E"/>
                <w:sz w:val="20"/>
              </w:rPr>
              <w:t xml:space="preserve">integration separately before contract execution. This item will not be left open.</w:t>
            </w:r>
          </w:p>
        </w:tc>
      </w:tr>
      <w:tr>
        <w:tc>
          <w:tcPr>
            <w:tcW w:w="32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3</w:t>
            </w:r>
          </w:p>
        </w:tc>
        <w:tc>
          <w:tcPr>
            <w:tcW w:w="164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Base Agreement Terms</w:t>
            </w:r>
          </w:p>
          <w:p>
            <w:pPr>
              <w:spacing w:before="0" w:after="40"/>
            </w:pPr>
            <w:r>
              <w:rPr>
                <w:rFonts w:ascii="Calibri" w:hAnsi="Calibri"/>
                <w:b w:val="0"/>
                <w:color w:val="1A1A2E"/>
                <w:sz w:val="20"/>
              </w:rPr>
              <w:t xml:space="preserve">City of St. Petersburg standard contract terms</w:t>
            </w:r>
          </w:p>
        </w:tc>
        <w:tc>
          <w:tcPr>
            <w:tcW w:w="2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iteria has conducted an initial review of the City’s Base Agreement terms. Specific</w:t>
            </w:r>
          </w:p>
          <w:p>
            <w:pPr>
              <w:spacing w:before="0" w:after="40"/>
            </w:pPr>
            <w:r>
              <w:rPr>
                <w:rFonts w:ascii="Calibri" w:hAnsi="Calibri"/>
                <w:b w:val="0"/>
                <w:color w:val="1A1A2E"/>
                <w:sz w:val="20"/>
              </w:rPr>
              <w:t xml:space="preserve">exceptions, if any, will be identified during formal legal review and submitted in a</w:t>
            </w:r>
          </w:p>
          <w:p>
            <w:pPr>
              <w:spacing w:before="0" w:after="40"/>
            </w:pPr>
            <w:r>
              <w:rPr>
                <w:rFonts w:ascii="Calibri" w:hAnsi="Calibri"/>
                <w:b w:val="0"/>
                <w:color w:val="1A1A2E"/>
                <w:sz w:val="20"/>
              </w:rPr>
              <w:t xml:space="preserve">revised Exceptions table prior to final proposal submission.</w:t>
            </w:r>
          </w:p>
        </w:tc>
        <w:tc>
          <w:tcPr>
            <w:tcW w:w="22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Legal review of contract terms requires coordination between iteria’s legal counsel</w:t>
            </w:r>
          </w:p>
          <w:p>
            <w:pPr>
              <w:spacing w:before="0" w:after="40"/>
            </w:pPr>
            <w:r>
              <w:rPr>
                <w:rFonts w:ascii="Calibri" w:hAnsi="Calibri"/>
                <w:b w:val="0"/>
                <w:color w:val="1A1A2E"/>
                <w:sz w:val="20"/>
              </w:rPr>
              <w:t xml:space="preserve">and the City’s Office of the City Attorney. Committing to all terms without that</w:t>
            </w:r>
          </w:p>
          <w:p>
            <w:pPr>
              <w:spacing w:before="0" w:after="40"/>
            </w:pPr>
            <w:r>
              <w:rPr>
                <w:rFonts w:ascii="Calibri" w:hAnsi="Calibri"/>
                <w:b w:val="0"/>
                <w:color w:val="1A1A2E"/>
                <w:sz w:val="20"/>
              </w:rPr>
              <w:t xml:space="preserve">review would not serve either party.</w:t>
            </w:r>
          </w:p>
        </w:tc>
        <w:tc>
          <w:tcPr>
            <w:tcW w:w="3000" w:type="dxa"/>
            <w:shd w:val="clear" w:color="auto" w:fill="FFFFFF"/>
            <w:tcMar>
              <w:top w:w="80" w:type="dxa"/>
              <w:start w:w="100" w:type="dxa"/>
              <w:bottom w:w="80" w:type="dxa"/>
              <w:end w:w="100" w:type="dxa"/>
            </w:tcMar>
          </w:tcPr>
          <w:p>
            <w:pPr>
              <w:spacing w:before="0" w:after="40"/>
            </w:pPr>
            <w:r>
              <w:rPr>
                <w:rFonts w:ascii="Calibri" w:hAnsi="Calibri"/>
                <w:b w:val="0"/>
                <w:color w:val="1A1A2E"/>
                <w:sz w:val="20"/>
              </w:rPr>
              <w:t xml:space="preserve">iteria will submit a complete redline or exception list within the timeframe specified</w:t>
            </w:r>
          </w:p>
          <w:p>
            <w:pPr>
              <w:spacing w:before="0" w:after="40"/>
            </w:pPr>
            <w:r>
              <w:rPr>
                <w:rFonts w:ascii="Calibri" w:hAnsi="Calibri"/>
                <w:b w:val="0"/>
                <w:color w:val="1A1A2E"/>
                <w:sz w:val="20"/>
              </w:rPr>
              <w:t xml:space="preserve">by the City’s procurement schedule. No material contract terms will be left</w:t>
            </w:r>
          </w:p>
          <w:p>
            <w:pPr>
              <w:spacing w:before="0" w:after="40"/>
            </w:pPr>
            <w:r>
              <w:rPr>
                <w:rFonts w:ascii="Calibri" w:hAnsi="Calibri"/>
                <w:b w:val="0"/>
                <w:color w:val="1A1A2E"/>
                <w:sz w:val="20"/>
              </w:rPr>
              <w:t xml:space="preserve">unaddressed.</w:t>
            </w:r>
          </w:p>
        </w:tc>
      </w:tr>
    </w:tbl>
    <w:p/>
    <w:p>
      <w:pPr>
        <w:pBdr>
          <w:bottom w:val="single" w:sz="8" w:space="4" w:color="F0530A"/>
        </w:pBdr>
        <w:spacing w:before="180" w:after="80"/>
      </w:pPr>
      <w:r>
        <w:rPr>
          <w:rFonts w:ascii="Calibri" w:hAnsi="Calibri"/>
          <w:b/>
          <w:i w:val="0"/>
          <w:color w:val="1A1A2E"/>
          <w:sz w:val="28"/>
        </w:rPr>
        <w:t>Risk Mitigation</w:t>
      </w:r>
    </w:p>
    <w:p>
      <w:pPr>
        <w:spacing w:before="0" w:after="100" w:line="276" w:lineRule="auto"/>
        <w:jc w:val="left"/>
      </w:pPr>
      <w:r>
        <w:rPr>
          <w:rFonts w:ascii="Calibri" w:hAnsi="Calibri"/>
          <w:b/>
          <w:i w:val="0"/>
          <w:color w:val="1A1A2E"/>
          <w:sz w:val="22"/>
        </w:rPr>
        <w:t>Item 1 — Historical Data Retention.</w:t>
      </w:r>
      <w:r>
        <w:rPr>
          <w:rFonts w:ascii="Calibri" w:hAnsi="Calibri"/>
          <w:b w:val="0"/>
          <w:i w:val="0"/>
          <w:color w:val="1A1A2E"/>
          <w:sz w:val="22"/>
        </w:rPr>
        <w:t xml:space="preserve"> If the City requires that all historical records reside within the Oracle Fusion Cloud application, iteria will comply and will configure data loads accordingly. We recommend scheduling a focused discussion during Boundary Confirmation to review the City's public records obligations, audit access requirements, and total cost of each approach before a final decision is made. The data warehouse option eliminates no access — it changes where the data lives.</w:t>
      </w:r>
    </w:p>
    <w:p>
      <w:pPr>
        <w:spacing w:before="0" w:after="100" w:line="276" w:lineRule="auto"/>
        <w:jc w:val="left"/>
      </w:pPr>
      <w:r>
        <w:rPr>
          <w:rFonts w:ascii="Calibri" w:hAnsi="Calibri"/>
          <w:b/>
          <w:i w:val="0"/>
          <w:color w:val="1A1A2E"/>
          <w:sz w:val="22"/>
        </w:rPr>
        <w:t>Item 2 — Pension Management (DROP/PROP).</w:t>
      </w:r>
      <w:r>
        <w:rPr>
          <w:rFonts w:ascii="Calibri" w:hAnsi="Calibri"/>
          <w:b w:val="0"/>
          <w:i w:val="0"/>
          <w:color w:val="1A1A2E"/>
          <w:sz w:val="22"/>
        </w:rPr>
        <w:t xml:space="preserve"> Pension administration errors carry direct financial and legal consequences for employees and the City. iteria will not proceed past the Boundary Confirmation phase without a confirmed, documented approach for DROP and PROP processing. If the City's current TPA system handles this function today, iteria will design the Oracle HCM Cloud payroll integration to that system cleanly and test it thoroughly. If a replacement solution is needed, iteria will provide options with pricing before contract execution.</w:t>
      </w:r>
    </w:p>
    <w:p>
      <w:pPr>
        <w:spacing w:before="0" w:after="100" w:line="276" w:lineRule="auto"/>
        <w:jc w:val="left"/>
      </w:pPr>
      <w:r>
        <w:rPr>
          <w:rFonts w:ascii="Calibri" w:hAnsi="Calibri"/>
          <w:b/>
          <w:i w:val="0"/>
          <w:color w:val="1A1A2E"/>
          <w:sz w:val="22"/>
        </w:rPr>
        <w:t>Item 3 — Base Agreement Terms.</w:t>
      </w:r>
      <w:r>
        <w:rPr>
          <w:rFonts w:ascii="Calibri" w:hAnsi="Calibri"/>
          <w:b w:val="0"/>
          <w:i w:val="0"/>
          <w:color w:val="1A1A2E"/>
          <w:sz w:val="22"/>
        </w:rPr>
        <w:t xml:space="preserve"> iteria has no intent to delay contract execution. Legal review is a standard step that protects both parties. We anticipate completing that review and submitting any exceptions well within the City's procurement timeline.</w:t>
      </w:r>
    </w:p>
    <w:p>
      <w:r>
        <w:br w:type="page"/>
      </w:r>
    </w:p>
    <w:p>
      <w:pPr>
        <w:spacing w:before="0" w:after="0"/>
      </w:pPr>
      <w:r>
        <w:rPr>
          <w:rFonts w:ascii="Calibri" w:hAnsi="Calibri"/>
          <w:b/>
          <w:i w:val="0"/>
          <w:color w:val="F0530A"/>
          <w:sz w:val="80"/>
        </w:rPr>
        <w:t>14</w:t>
      </w:r>
    </w:p>
    <w:p>
      <w:pPr>
        <w:pBdr>
          <w:bottom w:val="single" w:sz="14" w:space="4" w:color="F0530A"/>
        </w:pBdr>
        <w:spacing w:before="0" w:after="80"/>
      </w:pPr>
      <w:r>
        <w:rPr>
          <w:rFonts w:ascii="Calibri" w:hAnsi="Calibri"/>
          <w:b/>
          <w:i w:val="0"/>
          <w:color w:val="1A1A2E"/>
          <w:sz w:val="40"/>
        </w:rPr>
        <w:t>Contracts &amp; SOW</w:t>
      </w:r>
    </w:p>
    <w:p>
      <w:pPr>
        <w:spacing w:before="0" w:after="120"/>
      </w:pPr>
    </w:p>
    <w:p>
      <w:pPr>
        <w:spacing w:before="120" w:after="60"/>
      </w:pPr>
      <w:r>
        <w:rPr>
          <w:rFonts w:ascii="Calibri" w:hAnsi="Calibri"/>
          <w:b/>
          <w:i w:val="0"/>
          <w:color w:val="1A1A2E"/>
          <w:sz w:val="24"/>
        </w:rPr>
        <w:t>Standard Statement of Work Framework</w:t>
      </w:r>
    </w:p>
    <w:p>
      <w:pPr>
        <w:spacing w:before="0" w:after="100" w:line="276" w:lineRule="auto"/>
        <w:jc w:val="left"/>
      </w:pPr>
      <w:r>
        <w:rPr>
          <w:rFonts w:ascii="Calibri" w:hAnsi="Calibri"/>
          <w:b w:val="0"/>
          <w:i w:val="0"/>
          <w:color w:val="1A1A2E"/>
          <w:sz w:val="22"/>
        </w:rPr>
        <w:t>The following outlines iteria's standard SOW structure for Oracle Fusion Cloud implementations. Specific terms are finalized during contract negotiation.</w:t>
      </w:r>
    </w:p>
    <w:tbl>
      <w:tblPr>
        <w:tblW w:type="auto" w:w="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4680"/>
        <w:gridCol w:w="4680"/>
      </w:tblGrid>
      <w:tr>
        <w:tc>
          <w:tcPr>
            <w:tcW w:w="4680" w:type="dxa"/>
            <w:shd w:val="clear" w:color="auto" w:fill="1A1A2E"/>
          </w:tcPr>
          <w:p>
            <w:pPr>
              <w:spacing w:before="40" w:after="40"/>
            </w:pPr>
            <w:r/>
            <w:r>
              <w:rPr>
                <w:rFonts w:ascii="Calibri" w:hAnsi="Calibri"/>
                <w:b/>
                <w:color w:val="FFFFFF"/>
                <w:sz w:val="20"/>
              </w:rPr>
              <w:t>SOW Section</w:t>
            </w:r>
          </w:p>
        </w:tc>
        <w:tc>
          <w:tcPr>
            <w:tcW w:w="4680" w:type="dxa"/>
            <w:shd w:val="clear" w:color="auto" w:fill="1A1A2E"/>
          </w:tcPr>
          <w:p>
            <w:pPr>
              <w:spacing w:before="40" w:after="40"/>
            </w:pPr>
            <w:r/>
            <w:r>
              <w:rPr>
                <w:rFonts w:ascii="Calibri" w:hAnsi="Calibri"/>
                <w:b/>
                <w:color w:val="FFFFFF"/>
                <w:sz w:val="20"/>
              </w:rPr>
              <w:t>Description</w:t>
            </w:r>
          </w:p>
        </w:tc>
      </w:tr>
      <w:tr>
        <w:tc>
          <w:tcPr>
            <w:tcW w:w="4680" w:type="dxa"/>
            <w:shd w:val="clear" w:color="auto" w:fill="FFFFFF"/>
          </w:tcPr>
          <w:p>
            <w:pPr>
              <w:spacing w:before="40" w:after="40"/>
            </w:pPr>
            <w:r/>
            <w:r>
              <w:rPr>
                <w:rFonts w:ascii="Calibri" w:hAnsi="Calibri"/>
                <w:color w:val="1A1A2E"/>
                <w:sz w:val="20"/>
              </w:rPr>
              <w:t>Scope of Services</w:t>
            </w:r>
          </w:p>
        </w:tc>
        <w:tc>
          <w:tcPr>
            <w:tcW w:w="4680" w:type="dxa"/>
            <w:shd w:val="clear" w:color="auto" w:fill="FFFFFF"/>
          </w:tcPr>
          <w:p>
            <w:pPr>
              <w:spacing w:before="40" w:after="40"/>
            </w:pPr>
            <w:r/>
            <w:r>
              <w:rPr>
                <w:rFonts w:ascii="Calibri" w:hAnsi="Calibri"/>
                <w:color w:val="1A1A2E"/>
                <w:sz w:val="20"/>
              </w:rPr>
              <w:t>Detailed description of all implementation services, modules in scope, and deliverables</w:t>
            </w:r>
          </w:p>
        </w:tc>
      </w:tr>
      <w:tr>
        <w:tc>
          <w:tcPr>
            <w:tcW w:w="4680" w:type="dxa"/>
            <w:shd w:val="clear" w:color="auto" w:fill="F4F4F8"/>
          </w:tcPr>
          <w:p>
            <w:pPr>
              <w:spacing w:before="40" w:after="40"/>
            </w:pPr>
            <w:r/>
            <w:r>
              <w:rPr>
                <w:rFonts w:ascii="Calibri" w:hAnsi="Calibri"/>
                <w:color w:val="1A1A2E"/>
                <w:sz w:val="20"/>
              </w:rPr>
              <w:t>Project Timeline</w:t>
            </w:r>
          </w:p>
        </w:tc>
        <w:tc>
          <w:tcPr>
            <w:tcW w:w="4680" w:type="dxa"/>
            <w:shd w:val="clear" w:color="auto" w:fill="F4F4F8"/>
          </w:tcPr>
          <w:p>
            <w:pPr>
              <w:spacing w:before="40" w:after="40"/>
            </w:pPr>
            <w:r/>
            <w:r>
              <w:rPr>
                <w:rFonts w:ascii="Calibri" w:hAnsi="Calibri"/>
                <w:color w:val="1A1A2E"/>
                <w:sz w:val="20"/>
              </w:rPr>
              <w:t>Phase-by-phase schedule with milestones and go/no-go decision gates</w:t>
            </w:r>
          </w:p>
        </w:tc>
      </w:tr>
      <w:tr>
        <w:tc>
          <w:tcPr>
            <w:tcW w:w="4680" w:type="dxa"/>
            <w:shd w:val="clear" w:color="auto" w:fill="FFFFFF"/>
          </w:tcPr>
          <w:p>
            <w:pPr>
              <w:spacing w:before="40" w:after="40"/>
            </w:pPr>
            <w:r/>
            <w:r>
              <w:rPr>
                <w:rFonts w:ascii="Calibri" w:hAnsi="Calibri"/>
                <w:color w:val="1A1A2E"/>
                <w:sz w:val="20"/>
              </w:rPr>
              <w:t>Resource Allocation</w:t>
            </w:r>
          </w:p>
        </w:tc>
        <w:tc>
          <w:tcPr>
            <w:tcW w:w="4680" w:type="dxa"/>
            <w:shd w:val="clear" w:color="auto" w:fill="FFFFFF"/>
          </w:tcPr>
          <w:p>
            <w:pPr>
              <w:spacing w:before="40" w:after="40"/>
            </w:pPr>
            <w:r/>
            <w:r>
              <w:rPr>
                <w:rFonts w:ascii="Calibri" w:hAnsi="Calibri"/>
                <w:color w:val="1A1A2E"/>
                <w:sz w:val="20"/>
              </w:rPr>
              <w:t>Named resources by role with expected on-site and remote allocation per phase</w:t>
            </w:r>
          </w:p>
        </w:tc>
      </w:tr>
      <w:tr>
        <w:tc>
          <w:tcPr>
            <w:tcW w:w="4680" w:type="dxa"/>
            <w:shd w:val="clear" w:color="auto" w:fill="F4F4F8"/>
          </w:tcPr>
          <w:p>
            <w:pPr>
              <w:spacing w:before="40" w:after="40"/>
            </w:pPr>
            <w:r/>
            <w:r>
              <w:rPr>
                <w:rFonts w:ascii="Calibri" w:hAnsi="Calibri"/>
                <w:color w:val="1A1A2E"/>
                <w:sz w:val="20"/>
              </w:rPr>
              <w:t>Payment Milestones</w:t>
            </w:r>
          </w:p>
        </w:tc>
        <w:tc>
          <w:tcPr>
            <w:tcW w:w="4680" w:type="dxa"/>
            <w:shd w:val="clear" w:color="auto" w:fill="F4F4F8"/>
          </w:tcPr>
          <w:p>
            <w:pPr>
              <w:spacing w:before="40" w:after="40"/>
            </w:pPr>
            <w:r/>
            <w:r>
              <w:rPr>
                <w:rFonts w:ascii="Calibri" w:hAnsi="Calibri"/>
                <w:color w:val="1A1A2E"/>
                <w:sz w:val="20"/>
              </w:rPr>
              <w:t>Milestone-based payment schedule tied to deliverable acceptance</w:t>
            </w:r>
          </w:p>
        </w:tc>
      </w:tr>
      <w:tr>
        <w:tc>
          <w:tcPr>
            <w:tcW w:w="4680" w:type="dxa"/>
            <w:shd w:val="clear" w:color="auto" w:fill="FFFFFF"/>
          </w:tcPr>
          <w:p>
            <w:pPr>
              <w:spacing w:before="40" w:after="40"/>
            </w:pPr>
            <w:r/>
            <w:r>
              <w:rPr>
                <w:rFonts w:ascii="Calibri" w:hAnsi="Calibri"/>
                <w:color w:val="1A1A2E"/>
                <w:sz w:val="20"/>
              </w:rPr>
              <w:t>Acceptance Criteria</w:t>
            </w:r>
          </w:p>
        </w:tc>
        <w:tc>
          <w:tcPr>
            <w:tcW w:w="4680" w:type="dxa"/>
            <w:shd w:val="clear" w:color="auto" w:fill="FFFFFF"/>
          </w:tcPr>
          <w:p>
            <w:pPr>
              <w:spacing w:before="40" w:after="40"/>
            </w:pPr>
            <w:r/>
            <w:r>
              <w:rPr>
                <w:rFonts w:ascii="Calibri" w:hAnsi="Calibri"/>
                <w:color w:val="1A1A2E"/>
                <w:sz w:val="20"/>
              </w:rPr>
              <w:t>Criteria for deliverable sign-off at each milestone including UAT exit criteria</w:t>
            </w:r>
          </w:p>
        </w:tc>
      </w:tr>
      <w:tr>
        <w:tc>
          <w:tcPr>
            <w:tcW w:w="4680" w:type="dxa"/>
            <w:shd w:val="clear" w:color="auto" w:fill="F4F4F8"/>
          </w:tcPr>
          <w:p>
            <w:pPr>
              <w:spacing w:before="40" w:after="40"/>
            </w:pPr>
            <w:r/>
            <w:r>
              <w:rPr>
                <w:rFonts w:ascii="Calibri" w:hAnsi="Calibri"/>
                <w:color w:val="1A1A2E"/>
                <w:sz w:val="20"/>
              </w:rPr>
              <w:t>Change Management Process</w:t>
            </w:r>
          </w:p>
        </w:tc>
        <w:tc>
          <w:tcPr>
            <w:tcW w:w="4680" w:type="dxa"/>
            <w:shd w:val="clear" w:color="auto" w:fill="F4F4F8"/>
          </w:tcPr>
          <w:p>
            <w:pPr>
              <w:spacing w:before="40" w:after="40"/>
            </w:pPr>
            <w:r/>
            <w:r>
              <w:rPr>
                <w:rFonts w:ascii="Calibri" w:hAnsi="Calibri"/>
                <w:color w:val="1A1A2E"/>
                <w:sz w:val="20"/>
              </w:rPr>
              <w:t>Formal change request process for scope, timeline, or budget modifications</w:t>
            </w:r>
          </w:p>
        </w:tc>
      </w:tr>
      <w:tr>
        <w:tc>
          <w:tcPr>
            <w:tcW w:w="4680" w:type="dxa"/>
            <w:shd w:val="clear" w:color="auto" w:fill="FFFFFF"/>
          </w:tcPr>
          <w:p>
            <w:pPr>
              <w:spacing w:before="40" w:after="40"/>
            </w:pPr>
            <w:r/>
            <w:r>
              <w:rPr>
                <w:rFonts w:ascii="Calibri" w:hAnsi="Calibri"/>
                <w:color w:val="1A1A2E"/>
                <w:sz w:val="20"/>
              </w:rPr>
              <w:t>Service Level Agreements</w:t>
            </w:r>
          </w:p>
        </w:tc>
        <w:tc>
          <w:tcPr>
            <w:tcW w:w="4680" w:type="dxa"/>
            <w:shd w:val="clear" w:color="auto" w:fill="FFFFFF"/>
          </w:tcPr>
          <w:p>
            <w:pPr>
              <w:spacing w:before="40" w:after="40"/>
            </w:pPr>
            <w:r/>
            <w:r>
              <w:rPr>
                <w:rFonts w:ascii="Calibri" w:hAnsi="Calibri"/>
                <w:color w:val="1A1A2E"/>
                <w:sz w:val="20"/>
              </w:rPr>
              <w:t>Sev 1: 1 hr, Sev 2: 4 hrs, Sev 3: 8 hrs, Sev 4: 16 hrs (post go-live support)</w:t>
            </w:r>
          </w:p>
        </w:tc>
      </w:tr>
      <w:tr>
        <w:tc>
          <w:tcPr>
            <w:tcW w:w="4680" w:type="dxa"/>
            <w:shd w:val="clear" w:color="auto" w:fill="F4F4F8"/>
          </w:tcPr>
          <w:p>
            <w:pPr>
              <w:spacing w:before="40" w:after="40"/>
            </w:pPr>
            <w:r/>
            <w:r>
              <w:rPr>
                <w:rFonts w:ascii="Calibri" w:hAnsi="Calibri"/>
                <w:color w:val="1A1A2E"/>
                <w:sz w:val="20"/>
              </w:rPr>
              <w:t>Escrow Provisions</w:t>
            </w:r>
          </w:p>
        </w:tc>
        <w:tc>
          <w:tcPr>
            <w:tcW w:w="4680" w:type="dxa"/>
            <w:shd w:val="clear" w:color="auto" w:fill="F4F4F8"/>
          </w:tcPr>
          <w:p>
            <w:pPr>
              <w:spacing w:before="40" w:after="40"/>
            </w:pPr>
            <w:r/>
            <w:r>
              <w:rPr>
                <w:rFonts w:ascii="Calibri" w:hAnsi="Calibri"/>
                <w:color w:val="1A1A2E"/>
                <w:sz w:val="20"/>
              </w:rPr>
              <w:t>Source code escrow for any custom development or VALIDATE scripts</w:t>
            </w:r>
          </w:p>
        </w:tc>
      </w:tr>
      <w:tr>
        <w:tc>
          <w:tcPr>
            <w:tcW w:w="4680" w:type="dxa"/>
            <w:shd w:val="clear" w:color="auto" w:fill="FFFFFF"/>
          </w:tcPr>
          <w:p>
            <w:pPr>
              <w:spacing w:before="40" w:after="40"/>
            </w:pPr>
            <w:r/>
            <w:r>
              <w:rPr>
                <w:rFonts w:ascii="Calibri" w:hAnsi="Calibri"/>
                <w:color w:val="1A1A2E"/>
                <w:sz w:val="20"/>
              </w:rPr>
              <w:t>Warranty Period</w:t>
            </w:r>
          </w:p>
        </w:tc>
        <w:tc>
          <w:tcPr>
            <w:tcW w:w="4680" w:type="dxa"/>
            <w:shd w:val="clear" w:color="auto" w:fill="FFFFFF"/>
          </w:tcPr>
          <w:p>
            <w:pPr>
              <w:spacing w:before="40" w:after="40"/>
            </w:pPr>
            <w:r/>
            <w:r>
              <w:rPr>
                <w:rFonts w:ascii="Calibri" w:hAnsi="Calibri"/>
                <w:color w:val="1A1A2E"/>
                <w:sz w:val="20"/>
              </w:rPr>
              <w:t>4-week hypercare included; extended support available via Managed Services agreement</w:t>
            </w:r>
          </w:p>
        </w:tc>
      </w:tr>
      <w:tr>
        <w:tc>
          <w:tcPr>
            <w:tcW w:w="4680" w:type="dxa"/>
            <w:shd w:val="clear" w:color="auto" w:fill="F4F4F8"/>
          </w:tcPr>
          <w:p>
            <w:pPr>
              <w:spacing w:before="40" w:after="40"/>
            </w:pPr>
            <w:r/>
            <w:r>
              <w:rPr>
                <w:rFonts w:ascii="Calibri" w:hAnsi="Calibri"/>
                <w:color w:val="1A1A2E"/>
                <w:sz w:val="20"/>
              </w:rPr>
              <w:t>Termination Clauses</w:t>
            </w:r>
          </w:p>
        </w:tc>
        <w:tc>
          <w:tcPr>
            <w:tcW w:w="4680" w:type="dxa"/>
            <w:shd w:val="clear" w:color="auto" w:fill="F4F4F8"/>
          </w:tcPr>
          <w:p>
            <w:pPr>
              <w:spacing w:before="40" w:after="40"/>
            </w:pPr>
            <w:r/>
            <w:r>
              <w:rPr>
                <w:rFonts w:ascii="Calibri" w:hAnsi="Calibri"/>
                <w:color w:val="1A1A2E"/>
                <w:sz w:val="20"/>
              </w:rPr>
              <w:t>Standard 30-day written notice with transition support obligations</w:t>
            </w:r>
          </w:p>
        </w:tc>
      </w:tr>
      <w:tr>
        <w:tc>
          <w:tcPr>
            <w:tcW w:w="4680" w:type="dxa"/>
            <w:shd w:val="clear" w:color="auto" w:fill="FFFFFF"/>
          </w:tcPr>
          <w:p>
            <w:pPr>
              <w:spacing w:before="40" w:after="40"/>
            </w:pPr>
            <w:r/>
            <w:r>
              <w:rPr>
                <w:rFonts w:ascii="Calibri" w:hAnsi="Calibri"/>
                <w:color w:val="1A1A2E"/>
                <w:sz w:val="20"/>
              </w:rPr>
              <w:t>Intellectual Property</w:t>
            </w:r>
          </w:p>
        </w:tc>
        <w:tc>
          <w:tcPr>
            <w:tcW w:w="4680" w:type="dxa"/>
            <w:shd w:val="clear" w:color="auto" w:fill="FFFFFF"/>
          </w:tcPr>
          <w:p>
            <w:pPr>
              <w:spacing w:before="40" w:after="40"/>
            </w:pPr>
            <w:r/>
            <w:r>
              <w:rPr>
                <w:rFonts w:ascii="Calibri" w:hAnsi="Calibri"/>
                <w:color w:val="1A1A2E"/>
                <w:sz w:val="20"/>
              </w:rPr>
              <w:t>Client owns all configuration and custom code; iteria retains VALIDATE platform IP</w:t>
            </w:r>
          </w:p>
        </w:tc>
      </w:tr>
      <w:tr>
        <w:tc>
          <w:tcPr>
            <w:tcW w:w="4680" w:type="dxa"/>
            <w:shd w:val="clear" w:color="auto" w:fill="F4F4F8"/>
          </w:tcPr>
          <w:p>
            <w:pPr>
              <w:spacing w:before="40" w:after="40"/>
            </w:pPr>
            <w:r/>
            <w:r>
              <w:rPr>
                <w:rFonts w:ascii="Calibri" w:hAnsi="Calibri"/>
                <w:color w:val="1A1A2E"/>
                <w:sz w:val="20"/>
              </w:rPr>
              <w:t>Insurance &amp; Liability</w:t>
            </w:r>
          </w:p>
        </w:tc>
        <w:tc>
          <w:tcPr>
            <w:tcW w:w="4680" w:type="dxa"/>
            <w:shd w:val="clear" w:color="auto" w:fill="F4F4F8"/>
          </w:tcPr>
          <w:p>
            <w:pPr>
              <w:spacing w:before="40" w:after="40"/>
            </w:pPr>
            <w:r/>
            <w:r>
              <w:rPr>
                <w:rFonts w:ascii="Calibri" w:hAnsi="Calibri"/>
                <w:color w:val="1A1A2E"/>
                <w:sz w:val="20"/>
              </w:rPr>
              <w:t>Professional liability, cyber, and general commercial insurance certificates provided upon request</w:t>
            </w:r>
          </w:p>
        </w:tc>
      </w:tr>
    </w:tbl>
    <w:p/>
    <w:p>
      <w:pPr>
        <w:spacing w:before="0" w:after="100" w:line="276" w:lineRule="auto"/>
        <w:jc w:val="left"/>
      </w:pPr>
      <w:r>
        <w:rPr>
          <w:rFonts w:ascii="Calibri" w:hAnsi="Calibri"/>
          <w:b w:val="0"/>
          <w:i w:val="0"/>
          <w:color w:val="1A1A2E"/>
          <w:sz w:val="22"/>
        </w:rPr>
        <w:t>Full SOW and Master Services Agreement are provided under separate cover during contract negotiation. Terms above represent iteria's standard framework and are subject to mutual agreement.</w:t>
      </w:r>
    </w:p>
    <w:p>
      <w:r>
        <w:br w:type="page"/>
      </w:r>
    </w:p>
    <w:p>
      <w:pPr>
        <w:spacing w:before="0" w:after="0"/>
      </w:pPr>
      <w:r>
        <w:rPr>
          <w:rFonts w:ascii="Calibri" w:hAnsi="Calibri"/>
          <w:b/>
          <w:i w:val="0"/>
          <w:color w:val="F0530A"/>
          <w:sz w:val="80"/>
        </w:rPr>
        <w:t>15</w:t>
      </w:r>
    </w:p>
    <w:p>
      <w:pPr>
        <w:pBdr>
          <w:bottom w:val="single" w:sz="14" w:space="4" w:color="F0530A"/>
        </w:pBdr>
        <w:spacing w:before="0" w:after="80"/>
      </w:pPr>
      <w:r>
        <w:rPr>
          <w:rFonts w:ascii="Calibri" w:hAnsi="Calibri"/>
          <w:b/>
          <w:i w:val="0"/>
          <w:color w:val="1A1A2E"/>
          <w:sz w:val="40"/>
        </w:rPr>
        <w:t>IT Requirements Matrix</w:t>
      </w:r>
    </w:p>
    <w:p>
      <w:pPr>
        <w:spacing w:before="0" w:after="120"/>
      </w:pPr>
    </w:p>
    <w:p>
      <w:pPr>
        <w:spacing w:before="0" w:after="100" w:line="276" w:lineRule="auto"/>
        <w:jc w:val="left"/>
      </w:pPr>
      <w:r>
        <w:rPr>
          <w:rFonts w:ascii="Calibri" w:hAnsi="Calibri"/>
          <w:b w:val="0"/>
          <w:i w:val="0"/>
          <w:color w:val="1A1A2E"/>
          <w:sz w:val="22"/>
        </w:rPr>
        <w:t>Could not parse requirements data. Raw output:</w:t>
      </w:r>
    </w:p>
    <w:p>
      <w:r>
        <w:br w:type="page"/>
      </w:r>
    </w:p>
    <w:p>
      <w:pPr>
        <w:spacing w:before="0" w:after="0"/>
      </w:pPr>
      <w:r>
        <w:rPr>
          <w:rFonts w:ascii="Calibri" w:hAnsi="Calibri"/>
          <w:b/>
          <w:i w:val="0"/>
          <w:color w:val="F0530A"/>
          <w:sz w:val="80"/>
        </w:rPr>
        <w:t>16</w:t>
      </w:r>
    </w:p>
    <w:p>
      <w:pPr>
        <w:pBdr>
          <w:bottom w:val="single" w:sz="14" w:space="4" w:color="F0530A"/>
        </w:pBdr>
        <w:spacing w:before="0" w:after="80"/>
      </w:pPr>
      <w:r>
        <w:rPr>
          <w:rFonts w:ascii="Calibri" w:hAnsi="Calibri"/>
          <w:b/>
          <w:i w:val="0"/>
          <w:color w:val="1A1A2E"/>
          <w:sz w:val="40"/>
        </w:rPr>
        <w:t>Fixed Tables</w:t>
      </w:r>
    </w:p>
    <w:p>
      <w:pPr>
        <w:spacing w:before="0" w:after="120"/>
      </w:pPr>
    </w:p>
    <w:p>
      <w:pPr>
        <w:spacing w:before="120" w:after="60"/>
      </w:pPr>
      <w:r>
        <w:rPr>
          <w:rFonts w:ascii="Calibri" w:hAnsi="Calibri"/>
          <w:b/>
          <w:i w:val="0"/>
          <w:color w:val="1A1A2E"/>
          <w:sz w:val="24"/>
        </w:rPr>
        <w:t>Tab 7 — Data Conversion: Responsibility Matrix</w:t>
      </w:r>
    </w:p>
    <w:p>
      <w:pPr>
        <w:spacing w:before="0" w:after="100" w:line="276" w:lineRule="auto"/>
        <w:jc w:val="left"/>
      </w:pPr>
      <w:r>
        <w:rPr>
          <w:rFonts w:ascii="Calibri" w:hAnsi="Calibri"/>
          <w:b w:val="0"/>
          <w:i w:val="0"/>
          <w:color w:val="1A1A2E"/>
          <w:sz w:val="22"/>
        </w:rPr>
        <w:t>Standard iteria responsibility allocation for data conversion activities. Review with client during Boundary Confirmation and adjust as needed.</w:t>
      </w:r>
    </w:p>
    <w:tbl>
      <w:tblPr>
        <w:tblW w:type="auto" w:w="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1872"/>
        <w:gridCol w:w="1872"/>
        <w:gridCol w:w="1872"/>
        <w:gridCol w:w="1872"/>
        <w:gridCol w:w="1872"/>
      </w:tblGrid>
      <w:tr>
        <w:tc>
          <w:tcPr>
            <w:tcW w:w="1872" w:type="dxa"/>
            <w:shd w:val="clear" w:color="auto" w:fill="1A1A2E"/>
          </w:tcPr>
          <w:p>
            <w:pPr>
              <w:spacing w:before="40" w:after="40"/>
            </w:pPr>
            <w:r/>
            <w:r>
              <w:rPr>
                <w:rFonts w:ascii="Calibri" w:hAnsi="Calibri"/>
                <w:b/>
                <w:color w:val="FFFFFF"/>
                <w:sz w:val="20"/>
              </w:rPr>
              <w:t>#</w:t>
            </w:r>
          </w:p>
        </w:tc>
        <w:tc>
          <w:tcPr>
            <w:tcW w:w="1872" w:type="dxa"/>
            <w:shd w:val="clear" w:color="auto" w:fill="1A1A2E"/>
          </w:tcPr>
          <w:p>
            <w:pPr>
              <w:spacing w:before="40" w:after="40"/>
            </w:pPr>
            <w:r/>
            <w:r>
              <w:rPr>
                <w:rFonts w:ascii="Calibri" w:hAnsi="Calibri"/>
                <w:b/>
                <w:color w:val="FFFFFF"/>
                <w:sz w:val="20"/>
              </w:rPr>
              <w:t>Data Conversion Activity</w:t>
            </w:r>
          </w:p>
        </w:tc>
        <w:tc>
          <w:tcPr>
            <w:tcW w:w="1872" w:type="dxa"/>
            <w:shd w:val="clear" w:color="auto" w:fill="1A1A2E"/>
          </w:tcPr>
          <w:p>
            <w:pPr>
              <w:spacing w:before="40" w:after="40"/>
            </w:pPr>
            <w:r/>
            <w:r>
              <w:rPr>
                <w:rFonts w:ascii="Calibri" w:hAnsi="Calibri"/>
                <w:b/>
                <w:color w:val="FFFFFF"/>
                <w:sz w:val="20"/>
              </w:rPr>
              <w:t>iteria Role</w:t>
            </w:r>
          </w:p>
        </w:tc>
        <w:tc>
          <w:tcPr>
            <w:tcW w:w="1872" w:type="dxa"/>
            <w:shd w:val="clear" w:color="auto" w:fill="1A1A2E"/>
          </w:tcPr>
          <w:p>
            <w:pPr>
              <w:spacing w:before="40" w:after="40"/>
            </w:pPr>
            <w:r/>
            <w:r>
              <w:rPr>
                <w:rFonts w:ascii="Calibri" w:hAnsi="Calibri"/>
                <w:b/>
                <w:color w:val="FFFFFF"/>
                <w:sz w:val="20"/>
              </w:rPr>
              <w:t>City of St. Petersburg, Florida Role</w:t>
            </w:r>
          </w:p>
        </w:tc>
        <w:tc>
          <w:tcPr>
            <w:tcW w:w="1872" w:type="dxa"/>
            <w:shd w:val="clear" w:color="auto" w:fill="1A1A2E"/>
          </w:tcPr>
          <w:p>
            <w:pPr>
              <w:spacing w:before="40" w:after="40"/>
            </w:pPr>
            <w:r/>
            <w:r>
              <w:rPr>
                <w:rFonts w:ascii="Calibri" w:hAnsi="Calibri"/>
                <w:b/>
                <w:color w:val="FFFFFF"/>
                <w:sz w:val="20"/>
              </w:rPr>
              <w:t>Response</w:t>
            </w:r>
          </w:p>
        </w:tc>
      </w:tr>
      <w:tr>
        <w:tc>
          <w:tcPr>
            <w:tcW w:w="1872" w:type="dxa"/>
            <w:shd w:val="clear" w:color="auto" w:fill="FFFFFF"/>
          </w:tcPr>
          <w:p>
            <w:pPr>
              <w:spacing w:before="40" w:after="40"/>
            </w:pPr>
            <w:r/>
            <w:r>
              <w:rPr>
                <w:rFonts w:ascii="Calibri" w:hAnsi="Calibri"/>
                <w:color w:val="1A1A2E"/>
                <w:sz w:val="20"/>
              </w:rPr>
              <w:t>1</w:t>
            </w:r>
          </w:p>
        </w:tc>
        <w:tc>
          <w:tcPr>
            <w:tcW w:w="1872" w:type="dxa"/>
            <w:shd w:val="clear" w:color="auto" w:fill="FFFFFF"/>
          </w:tcPr>
          <w:p>
            <w:pPr>
              <w:spacing w:before="40" w:after="40"/>
            </w:pPr>
            <w:r/>
            <w:r>
              <w:rPr>
                <w:rFonts w:ascii="Calibri" w:hAnsi="Calibri"/>
                <w:color w:val="1A1A2E"/>
                <w:sz w:val="20"/>
              </w:rPr>
              <w:t>Perform Conversion Analysis of Existing Legacy Data</w:t>
            </w:r>
          </w:p>
        </w:tc>
        <w:tc>
          <w:tcPr>
            <w:tcW w:w="1872" w:type="dxa"/>
            <w:shd w:val="clear" w:color="auto" w:fill="FFFFFF"/>
          </w:tcPr>
          <w:p>
            <w:pPr>
              <w:spacing w:before="40" w:after="40"/>
            </w:pPr>
            <w:r/>
            <w:r>
              <w:rPr>
                <w:rFonts w:ascii="Calibri" w:hAnsi="Calibri"/>
                <w:color w:val="1A1A2E"/>
                <w:sz w:val="20"/>
              </w:rPr>
              <w:t>Lead</w:t>
            </w:r>
          </w:p>
        </w:tc>
        <w:tc>
          <w:tcPr>
            <w:tcW w:w="1872" w:type="dxa"/>
            <w:shd w:val="clear" w:color="auto" w:fill="FFFFFF"/>
          </w:tcPr>
          <w:p>
            <w:pPr>
              <w:spacing w:before="40" w:after="40"/>
            </w:pPr>
            <w:r/>
            <w:r>
              <w:rPr>
                <w:rFonts w:ascii="Calibri" w:hAnsi="Calibri"/>
                <w:color w:val="1A1A2E"/>
                <w:sz w:val="20"/>
              </w:rPr>
              <w:t>Participate</w:t>
            </w:r>
          </w:p>
        </w:tc>
        <w:tc>
          <w:tcPr>
            <w:tcW w:w="1872" w:type="dxa"/>
            <w:shd w:val="clear" w:color="auto" w:fill="FFFFFF"/>
          </w:tcPr>
          <w:p>
            <w:pPr>
              <w:spacing w:before="40" w:after="40"/>
            </w:pPr>
            <w:r/>
            <w:r>
              <w:rPr>
                <w:rFonts w:ascii="Calibri" w:hAnsi="Calibri"/>
                <w:color w:val="1A1A2E"/>
                <w:sz w:val="20"/>
              </w:rPr>
              <w:t>S</w:t>
            </w:r>
          </w:p>
        </w:tc>
      </w:tr>
      <w:tr>
        <w:tc>
          <w:tcPr>
            <w:tcW w:w="1872" w:type="dxa"/>
            <w:shd w:val="clear" w:color="auto" w:fill="F4F4F8"/>
          </w:tcPr>
          <w:p>
            <w:pPr>
              <w:spacing w:before="40" w:after="40"/>
            </w:pPr>
            <w:r/>
            <w:r>
              <w:rPr>
                <w:rFonts w:ascii="Calibri" w:hAnsi="Calibri"/>
                <w:color w:val="1A1A2E"/>
                <w:sz w:val="20"/>
              </w:rPr>
              <w:t>2</w:t>
            </w:r>
          </w:p>
        </w:tc>
        <w:tc>
          <w:tcPr>
            <w:tcW w:w="1872" w:type="dxa"/>
            <w:shd w:val="clear" w:color="auto" w:fill="F4F4F8"/>
          </w:tcPr>
          <w:p>
            <w:pPr>
              <w:spacing w:before="40" w:after="40"/>
            </w:pPr>
            <w:r/>
            <w:r>
              <w:rPr>
                <w:rFonts w:ascii="Calibri" w:hAnsi="Calibri"/>
                <w:color w:val="1A1A2E"/>
                <w:sz w:val="20"/>
              </w:rPr>
              <w:t>Perform Crosswalk Development — Legacy to New System</w:t>
            </w:r>
          </w:p>
        </w:tc>
        <w:tc>
          <w:tcPr>
            <w:tcW w:w="1872" w:type="dxa"/>
            <w:shd w:val="clear" w:color="auto" w:fill="F4F4F8"/>
          </w:tcPr>
          <w:p>
            <w:pPr>
              <w:spacing w:before="40" w:after="40"/>
            </w:pPr>
            <w:r/>
            <w:r>
              <w:rPr>
                <w:rFonts w:ascii="Calibri" w:hAnsi="Calibri"/>
                <w:color w:val="1A1A2E"/>
                <w:sz w:val="20"/>
              </w:rPr>
              <w:t>Lead</w:t>
            </w:r>
          </w:p>
        </w:tc>
        <w:tc>
          <w:tcPr>
            <w:tcW w:w="1872" w:type="dxa"/>
            <w:shd w:val="clear" w:color="auto" w:fill="F4F4F8"/>
          </w:tcPr>
          <w:p>
            <w:pPr>
              <w:spacing w:before="40" w:after="40"/>
            </w:pPr>
            <w:r/>
            <w:r>
              <w:rPr>
                <w:rFonts w:ascii="Calibri" w:hAnsi="Calibri"/>
                <w:color w:val="1A1A2E"/>
                <w:sz w:val="20"/>
              </w:rPr>
              <w:t>Participate</w:t>
            </w:r>
          </w:p>
        </w:tc>
        <w:tc>
          <w:tcPr>
            <w:tcW w:w="1872" w:type="dxa"/>
            <w:shd w:val="clear" w:color="auto" w:fill="F4F4F8"/>
          </w:tcPr>
          <w:p>
            <w:pPr>
              <w:spacing w:before="40" w:after="40"/>
            </w:pPr>
            <w:r/>
            <w:r>
              <w:rPr>
                <w:rFonts w:ascii="Calibri" w:hAnsi="Calibri"/>
                <w:color w:val="1A1A2E"/>
                <w:sz w:val="20"/>
              </w:rPr>
              <w:t>S</w:t>
            </w:r>
          </w:p>
        </w:tc>
      </w:tr>
      <w:tr>
        <w:tc>
          <w:tcPr>
            <w:tcW w:w="1872" w:type="dxa"/>
            <w:shd w:val="clear" w:color="auto" w:fill="FFFFFF"/>
          </w:tcPr>
          <w:p>
            <w:pPr>
              <w:spacing w:before="40" w:after="40"/>
            </w:pPr>
            <w:r/>
            <w:r>
              <w:rPr>
                <w:rFonts w:ascii="Calibri" w:hAnsi="Calibri"/>
                <w:color w:val="1A1A2E"/>
                <w:sz w:val="20"/>
              </w:rPr>
              <w:t>3</w:t>
            </w:r>
          </w:p>
        </w:tc>
        <w:tc>
          <w:tcPr>
            <w:tcW w:w="1872" w:type="dxa"/>
            <w:shd w:val="clear" w:color="auto" w:fill="FFFFFF"/>
          </w:tcPr>
          <w:p>
            <w:pPr>
              <w:spacing w:before="40" w:after="40"/>
            </w:pPr>
            <w:r/>
            <w:r>
              <w:rPr>
                <w:rFonts w:ascii="Calibri" w:hAnsi="Calibri"/>
                <w:color w:val="1A1A2E"/>
                <w:sz w:val="20"/>
              </w:rPr>
              <w:t>Provide Conversion Data</w:t>
            </w:r>
          </w:p>
        </w:tc>
        <w:tc>
          <w:tcPr>
            <w:tcW w:w="1872" w:type="dxa"/>
            <w:shd w:val="clear" w:color="auto" w:fill="FFFFFF"/>
          </w:tcPr>
          <w:p>
            <w:pPr>
              <w:spacing w:before="40" w:after="40"/>
            </w:pPr>
            <w:r/>
            <w:r>
              <w:rPr>
                <w:rFonts w:ascii="Calibri" w:hAnsi="Calibri"/>
                <w:color w:val="1A1A2E"/>
                <w:sz w:val="20"/>
              </w:rPr>
              <w:t>None</w:t>
            </w:r>
          </w:p>
        </w:tc>
        <w:tc>
          <w:tcPr>
            <w:tcW w:w="1872" w:type="dxa"/>
            <w:shd w:val="clear" w:color="auto" w:fill="FFFFFF"/>
          </w:tcPr>
          <w:p>
            <w:pPr>
              <w:spacing w:before="40" w:after="40"/>
            </w:pPr>
            <w:r/>
            <w:r>
              <w:rPr>
                <w:rFonts w:ascii="Calibri" w:hAnsi="Calibri"/>
                <w:color w:val="1A1A2E"/>
                <w:sz w:val="20"/>
              </w:rPr>
              <w:t>Lead</w:t>
            </w:r>
          </w:p>
        </w:tc>
        <w:tc>
          <w:tcPr>
            <w:tcW w:w="1872" w:type="dxa"/>
            <w:shd w:val="clear" w:color="auto" w:fill="FFFFFF"/>
          </w:tcPr>
          <w:p>
            <w:pPr>
              <w:spacing w:before="40" w:after="40"/>
            </w:pPr>
            <w:r/>
            <w:r>
              <w:rPr>
                <w:rFonts w:ascii="Calibri" w:hAnsi="Calibri"/>
                <w:color w:val="1A1A2E"/>
                <w:sz w:val="20"/>
              </w:rPr>
              <w:t>S</w:t>
            </w:r>
          </w:p>
        </w:tc>
      </w:tr>
      <w:tr>
        <w:tc>
          <w:tcPr>
            <w:tcW w:w="1872" w:type="dxa"/>
            <w:shd w:val="clear" w:color="auto" w:fill="F4F4F8"/>
          </w:tcPr>
          <w:p>
            <w:pPr>
              <w:spacing w:before="40" w:after="40"/>
            </w:pPr>
            <w:r/>
            <w:r>
              <w:rPr>
                <w:rFonts w:ascii="Calibri" w:hAnsi="Calibri"/>
                <w:color w:val="1A1A2E"/>
                <w:sz w:val="20"/>
              </w:rPr>
              <w:t>4</w:t>
            </w:r>
          </w:p>
        </w:tc>
        <w:tc>
          <w:tcPr>
            <w:tcW w:w="1872" w:type="dxa"/>
            <w:shd w:val="clear" w:color="auto" w:fill="F4F4F8"/>
          </w:tcPr>
          <w:p>
            <w:pPr>
              <w:spacing w:before="40" w:after="40"/>
            </w:pPr>
            <w:r/>
            <w:r>
              <w:rPr>
                <w:rFonts w:ascii="Calibri" w:hAnsi="Calibri"/>
                <w:color w:val="1A1A2E"/>
                <w:sz w:val="20"/>
              </w:rPr>
              <w:t>Provide File Layouts / Data Maps of Existing System</w:t>
            </w:r>
          </w:p>
        </w:tc>
        <w:tc>
          <w:tcPr>
            <w:tcW w:w="1872" w:type="dxa"/>
            <w:shd w:val="clear" w:color="auto" w:fill="F4F4F8"/>
          </w:tcPr>
          <w:p>
            <w:pPr>
              <w:spacing w:before="40" w:after="40"/>
            </w:pPr>
            <w:r/>
            <w:r>
              <w:rPr>
                <w:rFonts w:ascii="Calibri" w:hAnsi="Calibri"/>
                <w:color w:val="1A1A2E"/>
                <w:sz w:val="20"/>
              </w:rPr>
              <w:t>None</w:t>
            </w:r>
          </w:p>
        </w:tc>
        <w:tc>
          <w:tcPr>
            <w:tcW w:w="1872" w:type="dxa"/>
            <w:shd w:val="clear" w:color="auto" w:fill="F4F4F8"/>
          </w:tcPr>
          <w:p>
            <w:pPr>
              <w:spacing w:before="40" w:after="40"/>
            </w:pPr>
            <w:r/>
            <w:r>
              <w:rPr>
                <w:rFonts w:ascii="Calibri" w:hAnsi="Calibri"/>
                <w:color w:val="1A1A2E"/>
                <w:sz w:val="20"/>
              </w:rPr>
              <w:t>Lead</w:t>
            </w:r>
          </w:p>
        </w:tc>
        <w:tc>
          <w:tcPr>
            <w:tcW w:w="1872" w:type="dxa"/>
            <w:shd w:val="clear" w:color="auto" w:fill="F4F4F8"/>
          </w:tcPr>
          <w:p>
            <w:pPr>
              <w:spacing w:before="40" w:after="40"/>
            </w:pPr>
            <w:r/>
            <w:r>
              <w:rPr>
                <w:rFonts w:ascii="Calibri" w:hAnsi="Calibri"/>
                <w:color w:val="1A1A2E"/>
                <w:sz w:val="20"/>
              </w:rPr>
              <w:t>S</w:t>
            </w:r>
          </w:p>
        </w:tc>
      </w:tr>
      <w:tr>
        <w:tc>
          <w:tcPr>
            <w:tcW w:w="1872" w:type="dxa"/>
            <w:shd w:val="clear" w:color="auto" w:fill="FFFFFF"/>
          </w:tcPr>
          <w:p>
            <w:pPr>
              <w:spacing w:before="40" w:after="40"/>
            </w:pPr>
            <w:r/>
            <w:r>
              <w:rPr>
                <w:rFonts w:ascii="Calibri" w:hAnsi="Calibri"/>
                <w:color w:val="1A1A2E"/>
                <w:sz w:val="20"/>
              </w:rPr>
              <w:t>5</w:t>
            </w:r>
          </w:p>
        </w:tc>
        <w:tc>
          <w:tcPr>
            <w:tcW w:w="1872" w:type="dxa"/>
            <w:shd w:val="clear" w:color="auto" w:fill="FFFFFF"/>
          </w:tcPr>
          <w:p>
            <w:pPr>
              <w:spacing w:before="40" w:after="40"/>
            </w:pPr>
            <w:r/>
            <w:r>
              <w:rPr>
                <w:rFonts w:ascii="Calibri" w:hAnsi="Calibri"/>
                <w:color w:val="1A1A2E"/>
                <w:sz w:val="20"/>
              </w:rPr>
              <w:t>Proof Data Provided</w:t>
            </w:r>
          </w:p>
        </w:tc>
        <w:tc>
          <w:tcPr>
            <w:tcW w:w="1872" w:type="dxa"/>
            <w:shd w:val="clear" w:color="auto" w:fill="FFFFFF"/>
          </w:tcPr>
          <w:p>
            <w:pPr>
              <w:spacing w:before="40" w:after="40"/>
            </w:pPr>
            <w:r/>
            <w:r>
              <w:rPr>
                <w:rFonts w:ascii="Calibri" w:hAnsi="Calibri"/>
                <w:color w:val="1A1A2E"/>
                <w:sz w:val="20"/>
              </w:rPr>
              <w:t>Assist</w:t>
            </w:r>
          </w:p>
        </w:tc>
        <w:tc>
          <w:tcPr>
            <w:tcW w:w="1872" w:type="dxa"/>
            <w:shd w:val="clear" w:color="auto" w:fill="FFFFFF"/>
          </w:tcPr>
          <w:p>
            <w:pPr>
              <w:spacing w:before="40" w:after="40"/>
            </w:pPr>
            <w:r/>
            <w:r>
              <w:rPr>
                <w:rFonts w:ascii="Calibri" w:hAnsi="Calibri"/>
                <w:color w:val="1A1A2E"/>
                <w:sz w:val="20"/>
              </w:rPr>
              <w:t>Lead</w:t>
            </w:r>
          </w:p>
        </w:tc>
        <w:tc>
          <w:tcPr>
            <w:tcW w:w="1872" w:type="dxa"/>
            <w:shd w:val="clear" w:color="auto" w:fill="FFFFFF"/>
          </w:tcPr>
          <w:p>
            <w:pPr>
              <w:spacing w:before="40" w:after="40"/>
            </w:pPr>
            <w:r/>
            <w:r>
              <w:rPr>
                <w:rFonts w:ascii="Calibri" w:hAnsi="Calibri"/>
                <w:color w:val="1A1A2E"/>
                <w:sz w:val="20"/>
              </w:rPr>
              <w:t>S</w:t>
            </w:r>
          </w:p>
        </w:tc>
      </w:tr>
      <w:tr>
        <w:tc>
          <w:tcPr>
            <w:tcW w:w="1872" w:type="dxa"/>
            <w:shd w:val="clear" w:color="auto" w:fill="F4F4F8"/>
          </w:tcPr>
          <w:p>
            <w:pPr>
              <w:spacing w:before="40" w:after="40"/>
            </w:pPr>
            <w:r/>
            <w:r>
              <w:rPr>
                <w:rFonts w:ascii="Calibri" w:hAnsi="Calibri"/>
                <w:color w:val="1A1A2E"/>
                <w:sz w:val="20"/>
              </w:rPr>
              <w:t>6</w:t>
            </w:r>
          </w:p>
        </w:tc>
        <w:tc>
          <w:tcPr>
            <w:tcW w:w="1872" w:type="dxa"/>
            <w:shd w:val="clear" w:color="auto" w:fill="F4F4F8"/>
          </w:tcPr>
          <w:p>
            <w:pPr>
              <w:spacing w:before="40" w:after="40"/>
            </w:pPr>
            <w:r/>
            <w:r>
              <w:rPr>
                <w:rFonts w:ascii="Calibri" w:hAnsi="Calibri"/>
                <w:color w:val="1A1A2E"/>
                <w:sz w:val="20"/>
              </w:rPr>
              <w:t>Analysis of Data to be Converted</w:t>
            </w:r>
          </w:p>
        </w:tc>
        <w:tc>
          <w:tcPr>
            <w:tcW w:w="1872" w:type="dxa"/>
            <w:shd w:val="clear" w:color="auto" w:fill="F4F4F8"/>
          </w:tcPr>
          <w:p>
            <w:pPr>
              <w:spacing w:before="40" w:after="40"/>
            </w:pPr>
            <w:r/>
            <w:r>
              <w:rPr>
                <w:rFonts w:ascii="Calibri" w:hAnsi="Calibri"/>
                <w:color w:val="1A1A2E"/>
                <w:sz w:val="20"/>
              </w:rPr>
              <w:t>Lead</w:t>
            </w:r>
          </w:p>
        </w:tc>
        <w:tc>
          <w:tcPr>
            <w:tcW w:w="1872" w:type="dxa"/>
            <w:shd w:val="clear" w:color="auto" w:fill="F4F4F8"/>
          </w:tcPr>
          <w:p>
            <w:pPr>
              <w:spacing w:before="40" w:after="40"/>
            </w:pPr>
            <w:r/>
            <w:r>
              <w:rPr>
                <w:rFonts w:ascii="Calibri" w:hAnsi="Calibri"/>
                <w:color w:val="1A1A2E"/>
                <w:sz w:val="20"/>
              </w:rPr>
              <w:t>Assist</w:t>
            </w:r>
          </w:p>
        </w:tc>
        <w:tc>
          <w:tcPr>
            <w:tcW w:w="1872" w:type="dxa"/>
            <w:shd w:val="clear" w:color="auto" w:fill="F4F4F8"/>
          </w:tcPr>
          <w:p>
            <w:pPr>
              <w:spacing w:before="40" w:after="40"/>
            </w:pPr>
            <w:r/>
            <w:r>
              <w:rPr>
                <w:rFonts w:ascii="Calibri" w:hAnsi="Calibri"/>
                <w:color w:val="1A1A2E"/>
                <w:sz w:val="20"/>
              </w:rPr>
              <w:t>S</w:t>
            </w:r>
          </w:p>
        </w:tc>
      </w:tr>
      <w:tr>
        <w:tc>
          <w:tcPr>
            <w:tcW w:w="1872" w:type="dxa"/>
            <w:shd w:val="clear" w:color="auto" w:fill="FFFFFF"/>
          </w:tcPr>
          <w:p>
            <w:pPr>
              <w:spacing w:before="40" w:after="40"/>
            </w:pPr>
            <w:r/>
            <w:r>
              <w:rPr>
                <w:rFonts w:ascii="Calibri" w:hAnsi="Calibri"/>
                <w:color w:val="1A1A2E"/>
                <w:sz w:val="20"/>
              </w:rPr>
              <w:t>7</w:t>
            </w:r>
          </w:p>
        </w:tc>
        <w:tc>
          <w:tcPr>
            <w:tcW w:w="1872" w:type="dxa"/>
            <w:shd w:val="clear" w:color="auto" w:fill="FFFFFF"/>
          </w:tcPr>
          <w:p>
            <w:pPr>
              <w:spacing w:before="40" w:after="40"/>
            </w:pPr>
            <w:r/>
            <w:r>
              <w:rPr>
                <w:rFonts w:ascii="Calibri" w:hAnsi="Calibri"/>
                <w:color w:val="1A1A2E"/>
                <w:sz w:val="20"/>
              </w:rPr>
              <w:t>Developing and Testing Conversions</w:t>
            </w:r>
          </w:p>
        </w:tc>
        <w:tc>
          <w:tcPr>
            <w:tcW w:w="1872" w:type="dxa"/>
            <w:shd w:val="clear" w:color="auto" w:fill="FFFFFF"/>
          </w:tcPr>
          <w:p>
            <w:pPr>
              <w:spacing w:before="40" w:after="40"/>
            </w:pPr>
            <w:r/>
            <w:r>
              <w:rPr>
                <w:rFonts w:ascii="Calibri" w:hAnsi="Calibri"/>
                <w:color w:val="1A1A2E"/>
                <w:sz w:val="20"/>
              </w:rPr>
              <w:t>Lead</w:t>
            </w:r>
          </w:p>
        </w:tc>
        <w:tc>
          <w:tcPr>
            <w:tcW w:w="1872" w:type="dxa"/>
            <w:shd w:val="clear" w:color="auto" w:fill="FFFFFF"/>
          </w:tcPr>
          <w:p>
            <w:pPr>
              <w:spacing w:before="40" w:after="40"/>
            </w:pPr>
            <w:r/>
            <w:r>
              <w:rPr>
                <w:rFonts w:ascii="Calibri" w:hAnsi="Calibri"/>
                <w:color w:val="1A1A2E"/>
                <w:sz w:val="20"/>
              </w:rPr>
              <w:t>None</w:t>
            </w:r>
          </w:p>
        </w:tc>
        <w:tc>
          <w:tcPr>
            <w:tcW w:w="1872" w:type="dxa"/>
            <w:shd w:val="clear" w:color="auto" w:fill="FFFFFF"/>
          </w:tcPr>
          <w:p>
            <w:pPr>
              <w:spacing w:before="40" w:after="40"/>
            </w:pPr>
            <w:r/>
            <w:r>
              <w:rPr>
                <w:rFonts w:ascii="Calibri" w:hAnsi="Calibri"/>
                <w:color w:val="1A1A2E"/>
                <w:sz w:val="20"/>
              </w:rPr>
              <w:t>S</w:t>
            </w:r>
          </w:p>
        </w:tc>
      </w:tr>
      <w:tr>
        <w:tc>
          <w:tcPr>
            <w:tcW w:w="1872" w:type="dxa"/>
            <w:shd w:val="clear" w:color="auto" w:fill="F4F4F8"/>
          </w:tcPr>
          <w:p>
            <w:pPr>
              <w:spacing w:before="40" w:after="40"/>
            </w:pPr>
            <w:r/>
            <w:r>
              <w:rPr>
                <w:rFonts w:ascii="Calibri" w:hAnsi="Calibri"/>
                <w:color w:val="1A1A2E"/>
                <w:sz w:val="20"/>
              </w:rPr>
              <w:t>8</w:t>
            </w:r>
          </w:p>
        </w:tc>
        <w:tc>
          <w:tcPr>
            <w:tcW w:w="1872" w:type="dxa"/>
            <w:shd w:val="clear" w:color="auto" w:fill="F4F4F8"/>
          </w:tcPr>
          <w:p>
            <w:pPr>
              <w:spacing w:before="40" w:after="40"/>
            </w:pPr>
            <w:r/>
            <w:r>
              <w:rPr>
                <w:rFonts w:ascii="Calibri" w:hAnsi="Calibri"/>
                <w:color w:val="1A1A2E"/>
                <w:sz w:val="20"/>
              </w:rPr>
              <w:t>Review and Correct Errors</w:t>
            </w:r>
          </w:p>
        </w:tc>
        <w:tc>
          <w:tcPr>
            <w:tcW w:w="1872" w:type="dxa"/>
            <w:shd w:val="clear" w:color="auto" w:fill="F4F4F8"/>
          </w:tcPr>
          <w:p>
            <w:pPr>
              <w:spacing w:before="40" w:after="40"/>
            </w:pPr>
            <w:r/>
            <w:r>
              <w:rPr>
                <w:rFonts w:ascii="Calibri" w:hAnsi="Calibri"/>
                <w:color w:val="1A1A2E"/>
                <w:sz w:val="20"/>
              </w:rPr>
              <w:t>Share</w:t>
            </w:r>
          </w:p>
        </w:tc>
        <w:tc>
          <w:tcPr>
            <w:tcW w:w="1872" w:type="dxa"/>
            <w:shd w:val="clear" w:color="auto" w:fill="F4F4F8"/>
          </w:tcPr>
          <w:p>
            <w:pPr>
              <w:spacing w:before="40" w:after="40"/>
            </w:pPr>
            <w:r/>
            <w:r>
              <w:rPr>
                <w:rFonts w:ascii="Calibri" w:hAnsi="Calibri"/>
                <w:color w:val="1A1A2E"/>
                <w:sz w:val="20"/>
              </w:rPr>
              <w:t>Share</w:t>
            </w:r>
          </w:p>
        </w:tc>
        <w:tc>
          <w:tcPr>
            <w:tcW w:w="1872" w:type="dxa"/>
            <w:shd w:val="clear" w:color="auto" w:fill="F4F4F8"/>
          </w:tcPr>
          <w:p>
            <w:pPr>
              <w:spacing w:before="40" w:after="40"/>
            </w:pPr>
            <w:r/>
            <w:r>
              <w:rPr>
                <w:rFonts w:ascii="Calibri" w:hAnsi="Calibri"/>
                <w:color w:val="1A1A2E"/>
                <w:sz w:val="20"/>
              </w:rPr>
              <w:t>S</w:t>
            </w:r>
          </w:p>
        </w:tc>
      </w:tr>
      <w:tr>
        <w:tc>
          <w:tcPr>
            <w:tcW w:w="1872" w:type="dxa"/>
            <w:shd w:val="clear" w:color="auto" w:fill="FFFFFF"/>
          </w:tcPr>
          <w:p>
            <w:pPr>
              <w:spacing w:before="40" w:after="40"/>
            </w:pPr>
            <w:r/>
            <w:r>
              <w:rPr>
                <w:rFonts w:ascii="Calibri" w:hAnsi="Calibri"/>
                <w:color w:val="1A1A2E"/>
                <w:sz w:val="20"/>
              </w:rPr>
              <w:t>9</w:t>
            </w:r>
          </w:p>
        </w:tc>
        <w:tc>
          <w:tcPr>
            <w:tcW w:w="1872" w:type="dxa"/>
            <w:shd w:val="clear" w:color="auto" w:fill="FFFFFF"/>
          </w:tcPr>
          <w:p>
            <w:pPr>
              <w:spacing w:before="40" w:after="40"/>
            </w:pPr>
            <w:r/>
            <w:r>
              <w:rPr>
                <w:rFonts w:ascii="Calibri" w:hAnsi="Calibri"/>
                <w:color w:val="1A1A2E"/>
                <w:sz w:val="20"/>
              </w:rPr>
              <w:t>Load Converted Data Into Training Database</w:t>
            </w:r>
          </w:p>
        </w:tc>
        <w:tc>
          <w:tcPr>
            <w:tcW w:w="1872" w:type="dxa"/>
            <w:shd w:val="clear" w:color="auto" w:fill="FFFFFF"/>
          </w:tcPr>
          <w:p>
            <w:pPr>
              <w:spacing w:before="40" w:after="40"/>
            </w:pPr>
            <w:r/>
            <w:r>
              <w:rPr>
                <w:rFonts w:ascii="Calibri" w:hAnsi="Calibri"/>
                <w:color w:val="1A1A2E"/>
                <w:sz w:val="20"/>
              </w:rPr>
              <w:t>Lead</w:t>
            </w:r>
          </w:p>
        </w:tc>
        <w:tc>
          <w:tcPr>
            <w:tcW w:w="1872" w:type="dxa"/>
            <w:shd w:val="clear" w:color="auto" w:fill="FFFFFF"/>
          </w:tcPr>
          <w:p>
            <w:pPr>
              <w:spacing w:before="40" w:after="40"/>
            </w:pPr>
            <w:r/>
            <w:r>
              <w:rPr>
                <w:rFonts w:ascii="Calibri" w:hAnsi="Calibri"/>
                <w:color w:val="1A1A2E"/>
                <w:sz w:val="20"/>
              </w:rPr>
              <w:t>Participate</w:t>
            </w:r>
          </w:p>
        </w:tc>
        <w:tc>
          <w:tcPr>
            <w:tcW w:w="1872" w:type="dxa"/>
            <w:shd w:val="clear" w:color="auto" w:fill="FFFFFF"/>
          </w:tcPr>
          <w:p>
            <w:pPr>
              <w:spacing w:before="40" w:after="40"/>
            </w:pPr>
            <w:r/>
            <w:r>
              <w:rPr>
                <w:rFonts w:ascii="Calibri" w:hAnsi="Calibri"/>
                <w:color w:val="1A1A2E"/>
                <w:sz w:val="20"/>
              </w:rPr>
              <w:t>S</w:t>
            </w:r>
          </w:p>
        </w:tc>
      </w:tr>
      <w:tr>
        <w:tc>
          <w:tcPr>
            <w:tcW w:w="1872" w:type="dxa"/>
            <w:shd w:val="clear" w:color="auto" w:fill="F4F4F8"/>
          </w:tcPr>
          <w:p>
            <w:pPr>
              <w:spacing w:before="40" w:after="40"/>
            </w:pPr>
            <w:r/>
            <w:r>
              <w:rPr>
                <w:rFonts w:ascii="Calibri" w:hAnsi="Calibri"/>
                <w:color w:val="1A1A2E"/>
                <w:sz w:val="20"/>
              </w:rPr>
              <w:t>10</w:t>
            </w:r>
          </w:p>
        </w:tc>
        <w:tc>
          <w:tcPr>
            <w:tcW w:w="1872" w:type="dxa"/>
            <w:shd w:val="clear" w:color="auto" w:fill="F4F4F8"/>
          </w:tcPr>
          <w:p>
            <w:pPr>
              <w:spacing w:before="40" w:after="40"/>
            </w:pPr>
            <w:r/>
            <w:r>
              <w:rPr>
                <w:rFonts w:ascii="Calibri" w:hAnsi="Calibri"/>
                <w:color w:val="1A1A2E"/>
                <w:sz w:val="20"/>
              </w:rPr>
              <w:t>Confirmation of Converted Data in Training Database</w:t>
            </w:r>
          </w:p>
        </w:tc>
        <w:tc>
          <w:tcPr>
            <w:tcW w:w="1872" w:type="dxa"/>
            <w:shd w:val="clear" w:color="auto" w:fill="F4F4F8"/>
          </w:tcPr>
          <w:p>
            <w:pPr>
              <w:spacing w:before="40" w:after="40"/>
            </w:pPr>
            <w:r/>
            <w:r>
              <w:rPr>
                <w:rFonts w:ascii="Calibri" w:hAnsi="Calibri"/>
                <w:color w:val="1A1A2E"/>
                <w:sz w:val="20"/>
              </w:rPr>
              <w:t>None</w:t>
            </w:r>
          </w:p>
        </w:tc>
        <w:tc>
          <w:tcPr>
            <w:tcW w:w="1872" w:type="dxa"/>
            <w:shd w:val="clear" w:color="auto" w:fill="F4F4F8"/>
          </w:tcPr>
          <w:p>
            <w:pPr>
              <w:spacing w:before="40" w:after="40"/>
            </w:pPr>
            <w:r/>
            <w:r>
              <w:rPr>
                <w:rFonts w:ascii="Calibri" w:hAnsi="Calibri"/>
                <w:color w:val="1A1A2E"/>
                <w:sz w:val="20"/>
              </w:rPr>
              <w:t>Lead</w:t>
            </w:r>
          </w:p>
        </w:tc>
        <w:tc>
          <w:tcPr>
            <w:tcW w:w="1872" w:type="dxa"/>
            <w:shd w:val="clear" w:color="auto" w:fill="F4F4F8"/>
          </w:tcPr>
          <w:p>
            <w:pPr>
              <w:spacing w:before="40" w:after="40"/>
            </w:pPr>
            <w:r/>
            <w:r>
              <w:rPr>
                <w:rFonts w:ascii="Calibri" w:hAnsi="Calibri"/>
                <w:color w:val="1A1A2E"/>
                <w:sz w:val="20"/>
              </w:rPr>
              <w:t>S</w:t>
            </w:r>
          </w:p>
        </w:tc>
      </w:tr>
      <w:tr>
        <w:tc>
          <w:tcPr>
            <w:tcW w:w="1872" w:type="dxa"/>
            <w:shd w:val="clear" w:color="auto" w:fill="FFFFFF"/>
          </w:tcPr>
          <w:p>
            <w:pPr>
              <w:spacing w:before="40" w:after="40"/>
            </w:pPr>
            <w:r/>
            <w:r>
              <w:rPr>
                <w:rFonts w:ascii="Calibri" w:hAnsi="Calibri"/>
                <w:color w:val="1A1A2E"/>
                <w:sz w:val="20"/>
              </w:rPr>
              <w:t>11</w:t>
            </w:r>
          </w:p>
        </w:tc>
        <w:tc>
          <w:tcPr>
            <w:tcW w:w="1872" w:type="dxa"/>
            <w:shd w:val="clear" w:color="auto" w:fill="FFFFFF"/>
          </w:tcPr>
          <w:p>
            <w:pPr>
              <w:spacing w:before="40" w:after="40"/>
            </w:pPr>
            <w:r/>
            <w:r>
              <w:rPr>
                <w:rFonts w:ascii="Calibri" w:hAnsi="Calibri"/>
                <w:color w:val="1A1A2E"/>
                <w:sz w:val="20"/>
              </w:rPr>
              <w:t>Approval / Sign-off — Converted Data in Training DB</w:t>
            </w:r>
          </w:p>
        </w:tc>
        <w:tc>
          <w:tcPr>
            <w:tcW w:w="1872" w:type="dxa"/>
            <w:shd w:val="clear" w:color="auto" w:fill="FFFFFF"/>
          </w:tcPr>
          <w:p>
            <w:pPr>
              <w:spacing w:before="40" w:after="40"/>
            </w:pPr>
            <w:r/>
            <w:r>
              <w:rPr>
                <w:rFonts w:ascii="Calibri" w:hAnsi="Calibri"/>
                <w:color w:val="1A1A2E"/>
                <w:sz w:val="20"/>
              </w:rPr>
              <w:t>None</w:t>
            </w:r>
          </w:p>
        </w:tc>
        <w:tc>
          <w:tcPr>
            <w:tcW w:w="1872" w:type="dxa"/>
            <w:shd w:val="clear" w:color="auto" w:fill="FFFFFF"/>
          </w:tcPr>
          <w:p>
            <w:pPr>
              <w:spacing w:before="40" w:after="40"/>
            </w:pPr>
            <w:r/>
            <w:r>
              <w:rPr>
                <w:rFonts w:ascii="Calibri" w:hAnsi="Calibri"/>
                <w:color w:val="1A1A2E"/>
                <w:sz w:val="20"/>
              </w:rPr>
              <w:t>Lead</w:t>
            </w:r>
          </w:p>
        </w:tc>
        <w:tc>
          <w:tcPr>
            <w:tcW w:w="1872" w:type="dxa"/>
            <w:shd w:val="clear" w:color="auto" w:fill="FFFFFF"/>
          </w:tcPr>
          <w:p>
            <w:pPr>
              <w:spacing w:before="40" w:after="40"/>
            </w:pPr>
            <w:r/>
            <w:r>
              <w:rPr>
                <w:rFonts w:ascii="Calibri" w:hAnsi="Calibri"/>
                <w:color w:val="1A1A2E"/>
                <w:sz w:val="20"/>
              </w:rPr>
              <w:t>S</w:t>
            </w:r>
          </w:p>
        </w:tc>
      </w:tr>
      <w:tr>
        <w:tc>
          <w:tcPr>
            <w:tcW w:w="1872" w:type="dxa"/>
            <w:shd w:val="clear" w:color="auto" w:fill="F4F4F8"/>
          </w:tcPr>
          <w:p>
            <w:pPr>
              <w:spacing w:before="40" w:after="40"/>
            </w:pPr>
            <w:r/>
            <w:r>
              <w:rPr>
                <w:rFonts w:ascii="Calibri" w:hAnsi="Calibri"/>
                <w:color w:val="1A1A2E"/>
                <w:sz w:val="20"/>
              </w:rPr>
              <w:t>12</w:t>
            </w:r>
          </w:p>
        </w:tc>
        <w:tc>
          <w:tcPr>
            <w:tcW w:w="1872" w:type="dxa"/>
            <w:shd w:val="clear" w:color="auto" w:fill="F4F4F8"/>
          </w:tcPr>
          <w:p>
            <w:pPr>
              <w:spacing w:before="40" w:after="40"/>
            </w:pPr>
            <w:r/>
            <w:r>
              <w:rPr>
                <w:rFonts w:ascii="Calibri" w:hAnsi="Calibri"/>
                <w:color w:val="1A1A2E"/>
                <w:sz w:val="20"/>
              </w:rPr>
              <w:t>Load Converted Data Into Live Database</w:t>
            </w:r>
          </w:p>
        </w:tc>
        <w:tc>
          <w:tcPr>
            <w:tcW w:w="1872" w:type="dxa"/>
            <w:shd w:val="clear" w:color="auto" w:fill="F4F4F8"/>
          </w:tcPr>
          <w:p>
            <w:pPr>
              <w:spacing w:before="40" w:after="40"/>
            </w:pPr>
            <w:r/>
            <w:r>
              <w:rPr>
                <w:rFonts w:ascii="Calibri" w:hAnsi="Calibri"/>
                <w:color w:val="1A1A2E"/>
                <w:sz w:val="20"/>
              </w:rPr>
              <w:t>Lead</w:t>
            </w:r>
          </w:p>
        </w:tc>
        <w:tc>
          <w:tcPr>
            <w:tcW w:w="1872" w:type="dxa"/>
            <w:shd w:val="clear" w:color="auto" w:fill="F4F4F8"/>
          </w:tcPr>
          <w:p>
            <w:pPr>
              <w:spacing w:before="40" w:after="40"/>
            </w:pPr>
            <w:r/>
            <w:r>
              <w:rPr>
                <w:rFonts w:ascii="Calibri" w:hAnsi="Calibri"/>
                <w:color w:val="1A1A2E"/>
                <w:sz w:val="20"/>
              </w:rPr>
              <w:t>Participate</w:t>
            </w:r>
          </w:p>
        </w:tc>
        <w:tc>
          <w:tcPr>
            <w:tcW w:w="1872" w:type="dxa"/>
            <w:shd w:val="clear" w:color="auto" w:fill="F4F4F8"/>
          </w:tcPr>
          <w:p>
            <w:pPr>
              <w:spacing w:before="40" w:after="40"/>
            </w:pPr>
            <w:r/>
            <w:r>
              <w:rPr>
                <w:rFonts w:ascii="Calibri" w:hAnsi="Calibri"/>
                <w:color w:val="1A1A2E"/>
                <w:sz w:val="20"/>
              </w:rPr>
              <w:t>S</w:t>
            </w:r>
          </w:p>
        </w:tc>
      </w:tr>
      <w:tr>
        <w:tc>
          <w:tcPr>
            <w:tcW w:w="1872" w:type="dxa"/>
            <w:shd w:val="clear" w:color="auto" w:fill="FFFFFF"/>
          </w:tcPr>
          <w:p>
            <w:pPr>
              <w:spacing w:before="40" w:after="40"/>
            </w:pPr>
            <w:r/>
            <w:r>
              <w:rPr>
                <w:rFonts w:ascii="Calibri" w:hAnsi="Calibri"/>
                <w:color w:val="1A1A2E"/>
                <w:sz w:val="20"/>
              </w:rPr>
              <w:t>13</w:t>
            </w:r>
          </w:p>
        </w:tc>
        <w:tc>
          <w:tcPr>
            <w:tcW w:w="1872" w:type="dxa"/>
            <w:shd w:val="clear" w:color="auto" w:fill="FFFFFF"/>
          </w:tcPr>
          <w:p>
            <w:pPr>
              <w:spacing w:before="40" w:after="40"/>
            </w:pPr>
            <w:r/>
            <w:r>
              <w:rPr>
                <w:rFonts w:ascii="Calibri" w:hAnsi="Calibri"/>
                <w:color w:val="1A1A2E"/>
                <w:sz w:val="20"/>
              </w:rPr>
              <w:t>Confirmation of Converted Data in Live Database</w:t>
            </w:r>
          </w:p>
        </w:tc>
        <w:tc>
          <w:tcPr>
            <w:tcW w:w="1872" w:type="dxa"/>
            <w:shd w:val="clear" w:color="auto" w:fill="FFFFFF"/>
          </w:tcPr>
          <w:p>
            <w:pPr>
              <w:spacing w:before="40" w:after="40"/>
            </w:pPr>
            <w:r/>
            <w:r>
              <w:rPr>
                <w:rFonts w:ascii="Calibri" w:hAnsi="Calibri"/>
                <w:color w:val="1A1A2E"/>
                <w:sz w:val="20"/>
              </w:rPr>
              <w:t>None</w:t>
            </w:r>
          </w:p>
        </w:tc>
        <w:tc>
          <w:tcPr>
            <w:tcW w:w="1872" w:type="dxa"/>
            <w:shd w:val="clear" w:color="auto" w:fill="FFFFFF"/>
          </w:tcPr>
          <w:p>
            <w:pPr>
              <w:spacing w:before="40" w:after="40"/>
            </w:pPr>
            <w:r/>
            <w:r>
              <w:rPr>
                <w:rFonts w:ascii="Calibri" w:hAnsi="Calibri"/>
                <w:color w:val="1A1A2E"/>
                <w:sz w:val="20"/>
              </w:rPr>
              <w:t>Lead</w:t>
            </w:r>
          </w:p>
        </w:tc>
        <w:tc>
          <w:tcPr>
            <w:tcW w:w="1872" w:type="dxa"/>
            <w:shd w:val="clear" w:color="auto" w:fill="FFFFFF"/>
          </w:tcPr>
          <w:p>
            <w:pPr>
              <w:spacing w:before="40" w:after="40"/>
            </w:pPr>
            <w:r/>
            <w:r>
              <w:rPr>
                <w:rFonts w:ascii="Calibri" w:hAnsi="Calibri"/>
                <w:color w:val="1A1A2E"/>
                <w:sz w:val="20"/>
              </w:rPr>
              <w:t>S</w:t>
            </w:r>
          </w:p>
        </w:tc>
      </w:tr>
      <w:tr>
        <w:tc>
          <w:tcPr>
            <w:tcW w:w="1872" w:type="dxa"/>
            <w:shd w:val="clear" w:color="auto" w:fill="F4F4F8"/>
          </w:tcPr>
          <w:p>
            <w:pPr>
              <w:spacing w:before="40" w:after="40"/>
            </w:pPr>
            <w:r/>
            <w:r>
              <w:rPr>
                <w:rFonts w:ascii="Calibri" w:hAnsi="Calibri"/>
                <w:color w:val="1A1A2E"/>
                <w:sz w:val="20"/>
              </w:rPr>
              <w:t>14</w:t>
            </w:r>
          </w:p>
        </w:tc>
        <w:tc>
          <w:tcPr>
            <w:tcW w:w="1872" w:type="dxa"/>
            <w:shd w:val="clear" w:color="auto" w:fill="F4F4F8"/>
          </w:tcPr>
          <w:p>
            <w:pPr>
              <w:spacing w:before="40" w:after="40"/>
            </w:pPr>
            <w:r/>
            <w:r>
              <w:rPr>
                <w:rFonts w:ascii="Calibri" w:hAnsi="Calibri"/>
                <w:color w:val="1A1A2E"/>
                <w:sz w:val="20"/>
              </w:rPr>
              <w:t>Approval / Sign-off — Converted Data in Live DB</w:t>
            </w:r>
          </w:p>
        </w:tc>
        <w:tc>
          <w:tcPr>
            <w:tcW w:w="1872" w:type="dxa"/>
            <w:shd w:val="clear" w:color="auto" w:fill="F4F4F8"/>
          </w:tcPr>
          <w:p>
            <w:pPr>
              <w:spacing w:before="40" w:after="40"/>
            </w:pPr>
            <w:r/>
            <w:r>
              <w:rPr>
                <w:rFonts w:ascii="Calibri" w:hAnsi="Calibri"/>
                <w:color w:val="1A1A2E"/>
                <w:sz w:val="20"/>
              </w:rPr>
              <w:t>None</w:t>
            </w:r>
          </w:p>
        </w:tc>
        <w:tc>
          <w:tcPr>
            <w:tcW w:w="1872" w:type="dxa"/>
            <w:shd w:val="clear" w:color="auto" w:fill="F4F4F8"/>
          </w:tcPr>
          <w:p>
            <w:pPr>
              <w:spacing w:before="40" w:after="40"/>
            </w:pPr>
            <w:r/>
            <w:r>
              <w:rPr>
                <w:rFonts w:ascii="Calibri" w:hAnsi="Calibri"/>
                <w:color w:val="1A1A2E"/>
                <w:sz w:val="20"/>
              </w:rPr>
              <w:t>Lead</w:t>
            </w:r>
          </w:p>
        </w:tc>
        <w:tc>
          <w:tcPr>
            <w:tcW w:w="1872" w:type="dxa"/>
            <w:shd w:val="clear" w:color="auto" w:fill="F4F4F8"/>
          </w:tcPr>
          <w:p>
            <w:pPr>
              <w:spacing w:before="40" w:after="40"/>
            </w:pPr>
            <w:r/>
            <w:r>
              <w:rPr>
                <w:rFonts w:ascii="Calibri" w:hAnsi="Calibri"/>
                <w:color w:val="1A1A2E"/>
                <w:sz w:val="20"/>
              </w:rPr>
              <w:t>S</w:t>
            </w:r>
          </w:p>
        </w:tc>
      </w:tr>
    </w:tbl>
    <w:p/>
    <w:p>
      <w:pPr>
        <w:spacing w:before="0" w:after="100" w:line="276" w:lineRule="auto"/>
        <w:jc w:val="left"/>
      </w:pPr>
      <w:r>
        <w:rPr>
          <w:rFonts w:ascii="Calibri" w:hAnsi="Calibri"/>
          <w:b w:val="0"/>
          <w:i w:val="0"/>
          <w:color w:val="1A1A2E"/>
          <w:sz w:val="22"/>
        </w:rPr>
        <w:t>S = Supports prescribed responsibility. C = Conflict / alternate proposed. iteria has no conflicts on any standard data conversion activity.</w:t>
      </w:r>
    </w:p>
    <w:p>
      <w:pPr>
        <w:spacing w:before="120" w:after="60"/>
      </w:pPr>
      <w:r>
        <w:rPr>
          <w:rFonts w:ascii="Calibri" w:hAnsi="Calibri"/>
          <w:b/>
          <w:i w:val="0"/>
          <w:color w:val="1A1A2E"/>
          <w:sz w:val="24"/>
        </w:rPr>
        <w:t>Tab 3 — Project Approach: On-Site Percentage by Phase</w:t>
      </w:r>
    </w:p>
    <w:p>
      <w:pPr>
        <w:spacing w:before="0" w:after="100" w:line="276" w:lineRule="auto"/>
        <w:jc w:val="left"/>
      </w:pPr>
      <w:r>
        <w:rPr>
          <w:rFonts w:ascii="Calibri" w:hAnsi="Calibri"/>
          <w:b w:val="0"/>
          <w:i w:val="0"/>
          <w:color w:val="1A1A2E"/>
          <w:sz w:val="22"/>
        </w:rPr>
        <w:t>iteria's standard on-site commitment by project phase. Actual percentages confirmed during kick-off based on client location and travel budget.</w:t>
      </w:r>
    </w:p>
    <w:tbl>
      <w:tblPr>
        <w:tblW w:type="auto" w:w="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3120"/>
        <w:gridCol w:w="3120"/>
        <w:gridCol w:w="3120"/>
      </w:tblGrid>
      <w:tr>
        <w:tc>
          <w:tcPr>
            <w:tcW w:w="3120" w:type="dxa"/>
            <w:shd w:val="clear" w:color="auto" w:fill="1A1A2E"/>
          </w:tcPr>
          <w:p>
            <w:pPr>
              <w:spacing w:before="40" w:after="40"/>
            </w:pPr>
            <w:r/>
            <w:r>
              <w:rPr>
                <w:rFonts w:ascii="Calibri" w:hAnsi="Calibri"/>
                <w:b/>
                <w:color w:val="FFFFFF"/>
                <w:sz w:val="20"/>
              </w:rPr>
              <w:t>Project Phase</w:t>
            </w:r>
          </w:p>
        </w:tc>
        <w:tc>
          <w:tcPr>
            <w:tcW w:w="3120" w:type="dxa"/>
            <w:shd w:val="clear" w:color="auto" w:fill="1A1A2E"/>
          </w:tcPr>
          <w:p>
            <w:pPr>
              <w:spacing w:before="40" w:after="40"/>
            </w:pPr>
            <w:r/>
            <w:r>
              <w:rPr>
                <w:rFonts w:ascii="Calibri" w:hAnsi="Calibri"/>
                <w:b/>
                <w:color w:val="FFFFFF"/>
                <w:sz w:val="20"/>
              </w:rPr>
              <w:t>On-Site %</w:t>
            </w:r>
          </w:p>
        </w:tc>
        <w:tc>
          <w:tcPr>
            <w:tcW w:w="3120" w:type="dxa"/>
            <w:shd w:val="clear" w:color="auto" w:fill="1A1A2E"/>
          </w:tcPr>
          <w:p>
            <w:pPr>
              <w:spacing w:before="40" w:after="40"/>
            </w:pPr>
            <w:r/>
            <w:r>
              <w:rPr>
                <w:rFonts w:ascii="Calibri" w:hAnsi="Calibri"/>
                <w:b/>
                <w:color w:val="FFFFFF"/>
                <w:sz w:val="20"/>
              </w:rPr>
              <w:t>Notes</w:t>
            </w:r>
          </w:p>
        </w:tc>
      </w:tr>
      <w:tr>
        <w:tc>
          <w:tcPr>
            <w:tcW w:w="3120" w:type="dxa"/>
            <w:shd w:val="clear" w:color="auto" w:fill="FFFFFF"/>
          </w:tcPr>
          <w:p>
            <w:pPr>
              <w:spacing w:before="40" w:after="40"/>
            </w:pPr>
            <w:r/>
            <w:r>
              <w:rPr>
                <w:rFonts w:ascii="Calibri" w:hAnsi="Calibri"/>
                <w:color w:val="1A1A2E"/>
                <w:sz w:val="20"/>
              </w:rPr>
              <w:t>Project Kick-off &amp; Boundary Confirmation</w:t>
            </w:r>
          </w:p>
        </w:tc>
        <w:tc>
          <w:tcPr>
            <w:tcW w:w="3120" w:type="dxa"/>
            <w:shd w:val="clear" w:color="auto" w:fill="FFFFFF"/>
          </w:tcPr>
          <w:p>
            <w:pPr>
              <w:spacing w:before="40" w:after="40"/>
            </w:pPr>
            <w:r/>
            <w:r>
              <w:rPr>
                <w:rFonts w:ascii="Calibri" w:hAnsi="Calibri"/>
                <w:color w:val="1A1A2E"/>
                <w:sz w:val="20"/>
              </w:rPr>
              <w:t>100%</w:t>
            </w:r>
          </w:p>
        </w:tc>
        <w:tc>
          <w:tcPr>
            <w:tcW w:w="3120" w:type="dxa"/>
            <w:shd w:val="clear" w:color="auto" w:fill="FFFFFF"/>
          </w:tcPr>
          <w:p>
            <w:pPr>
              <w:spacing w:before="40" w:after="40"/>
            </w:pPr>
            <w:r/>
            <w:r>
              <w:rPr>
                <w:rFonts w:ascii="Calibri" w:hAnsi="Calibri"/>
                <w:color w:val="1A1A2E"/>
                <w:sz w:val="20"/>
              </w:rPr>
              <w:t>All core team members on-site for initial sessions</w:t>
            </w:r>
          </w:p>
        </w:tc>
      </w:tr>
      <w:tr>
        <w:tc>
          <w:tcPr>
            <w:tcW w:w="3120" w:type="dxa"/>
            <w:shd w:val="clear" w:color="auto" w:fill="F4F4F8"/>
          </w:tcPr>
          <w:p>
            <w:pPr>
              <w:spacing w:before="40" w:after="40"/>
            </w:pPr>
            <w:r/>
            <w:r>
              <w:rPr>
                <w:rFonts w:ascii="Calibri" w:hAnsi="Calibri"/>
                <w:color w:val="1A1A2E"/>
                <w:sz w:val="20"/>
              </w:rPr>
              <w:t>Requirements Gathering / Fit-Gap</w:t>
            </w:r>
          </w:p>
        </w:tc>
        <w:tc>
          <w:tcPr>
            <w:tcW w:w="3120" w:type="dxa"/>
            <w:shd w:val="clear" w:color="auto" w:fill="F4F4F8"/>
          </w:tcPr>
          <w:p>
            <w:pPr>
              <w:spacing w:before="40" w:after="40"/>
            </w:pPr>
            <w:r/>
            <w:r>
              <w:rPr>
                <w:rFonts w:ascii="Calibri" w:hAnsi="Calibri"/>
                <w:color w:val="1A1A2E"/>
                <w:sz w:val="20"/>
              </w:rPr>
              <w:t>100%</w:t>
            </w:r>
          </w:p>
        </w:tc>
        <w:tc>
          <w:tcPr>
            <w:tcW w:w="3120" w:type="dxa"/>
            <w:shd w:val="clear" w:color="auto" w:fill="F4F4F8"/>
          </w:tcPr>
          <w:p>
            <w:pPr>
              <w:spacing w:before="40" w:after="40"/>
            </w:pPr>
            <w:r/>
            <w:r>
              <w:rPr>
                <w:rFonts w:ascii="Calibri" w:hAnsi="Calibri"/>
                <w:color w:val="1A1A2E"/>
                <w:sz w:val="20"/>
              </w:rPr>
              <w:t>Face-to-face sessions critical — no spreadsheet questionnaires</w:t>
            </w:r>
          </w:p>
        </w:tc>
      </w:tr>
      <w:tr>
        <w:tc>
          <w:tcPr>
            <w:tcW w:w="3120" w:type="dxa"/>
            <w:shd w:val="clear" w:color="auto" w:fill="FFFFFF"/>
          </w:tcPr>
          <w:p>
            <w:pPr>
              <w:spacing w:before="40" w:after="40"/>
            </w:pPr>
            <w:r/>
            <w:r>
              <w:rPr>
                <w:rFonts w:ascii="Calibri" w:hAnsi="Calibri"/>
                <w:color w:val="1A1A2E"/>
                <w:sz w:val="20"/>
              </w:rPr>
              <w:t>Solution Design &amp; Documentation</w:t>
            </w:r>
          </w:p>
        </w:tc>
        <w:tc>
          <w:tcPr>
            <w:tcW w:w="3120" w:type="dxa"/>
            <w:shd w:val="clear" w:color="auto" w:fill="FFFFFF"/>
          </w:tcPr>
          <w:p>
            <w:pPr>
              <w:spacing w:before="40" w:after="40"/>
            </w:pPr>
            <w:r/>
            <w:r>
              <w:rPr>
                <w:rFonts w:ascii="Calibri" w:hAnsi="Calibri"/>
                <w:color w:val="1A1A2E"/>
                <w:sz w:val="20"/>
              </w:rPr>
              <w:t>50–75%</w:t>
            </w:r>
          </w:p>
        </w:tc>
        <w:tc>
          <w:tcPr>
            <w:tcW w:w="3120" w:type="dxa"/>
            <w:shd w:val="clear" w:color="auto" w:fill="FFFFFF"/>
          </w:tcPr>
          <w:p>
            <w:pPr>
              <w:spacing w:before="40" w:after="40"/>
            </w:pPr>
            <w:r/>
            <w:r>
              <w:rPr>
                <w:rFonts w:ascii="Calibri" w:hAnsi="Calibri"/>
                <w:color w:val="1A1A2E"/>
                <w:sz w:val="20"/>
              </w:rPr>
              <w:t>Mix of on-site design sessions and remote configuration</w:t>
            </w:r>
          </w:p>
        </w:tc>
      </w:tr>
      <w:tr>
        <w:tc>
          <w:tcPr>
            <w:tcW w:w="3120" w:type="dxa"/>
            <w:shd w:val="clear" w:color="auto" w:fill="F4F4F8"/>
          </w:tcPr>
          <w:p>
            <w:pPr>
              <w:spacing w:before="40" w:after="40"/>
            </w:pPr>
            <w:r/>
            <w:r>
              <w:rPr>
                <w:rFonts w:ascii="Calibri" w:hAnsi="Calibri"/>
                <w:color w:val="1A1A2E"/>
                <w:sz w:val="20"/>
              </w:rPr>
              <w:t>Configuration &amp; Development</w:t>
            </w:r>
          </w:p>
        </w:tc>
        <w:tc>
          <w:tcPr>
            <w:tcW w:w="3120" w:type="dxa"/>
            <w:shd w:val="clear" w:color="auto" w:fill="F4F4F8"/>
          </w:tcPr>
          <w:p>
            <w:pPr>
              <w:spacing w:before="40" w:after="40"/>
            </w:pPr>
            <w:r/>
            <w:r>
              <w:rPr>
                <w:rFonts w:ascii="Calibri" w:hAnsi="Calibri"/>
                <w:color w:val="1A1A2E"/>
                <w:sz w:val="20"/>
              </w:rPr>
              <w:t>25%</w:t>
            </w:r>
          </w:p>
        </w:tc>
        <w:tc>
          <w:tcPr>
            <w:tcW w:w="3120" w:type="dxa"/>
            <w:shd w:val="clear" w:color="auto" w:fill="F4F4F8"/>
          </w:tcPr>
          <w:p>
            <w:pPr>
              <w:spacing w:before="40" w:after="40"/>
            </w:pPr>
            <w:r/>
            <w:r>
              <w:rPr>
                <w:rFonts w:ascii="Calibri" w:hAnsi="Calibri"/>
                <w:color w:val="1A1A2E"/>
                <w:sz w:val="20"/>
              </w:rPr>
              <w:t>Primarily remote; on-site for key decision checkpoints</w:t>
            </w:r>
          </w:p>
        </w:tc>
      </w:tr>
      <w:tr>
        <w:tc>
          <w:tcPr>
            <w:tcW w:w="3120" w:type="dxa"/>
            <w:shd w:val="clear" w:color="auto" w:fill="FFFFFF"/>
          </w:tcPr>
          <w:p>
            <w:pPr>
              <w:spacing w:before="40" w:after="40"/>
            </w:pPr>
            <w:r/>
            <w:r>
              <w:rPr>
                <w:rFonts w:ascii="Calibri" w:hAnsi="Calibri"/>
                <w:color w:val="1A1A2E"/>
                <w:sz w:val="20"/>
              </w:rPr>
              <w:t>Interface / Conversion Development</w:t>
            </w:r>
          </w:p>
        </w:tc>
        <w:tc>
          <w:tcPr>
            <w:tcW w:w="3120" w:type="dxa"/>
            <w:shd w:val="clear" w:color="auto" w:fill="FFFFFF"/>
          </w:tcPr>
          <w:p>
            <w:pPr>
              <w:spacing w:before="40" w:after="40"/>
            </w:pPr>
            <w:r/>
            <w:r>
              <w:rPr>
                <w:rFonts w:ascii="Calibri" w:hAnsi="Calibri"/>
                <w:color w:val="1A1A2E"/>
                <w:sz w:val="20"/>
              </w:rPr>
              <w:t>25%</w:t>
            </w:r>
          </w:p>
        </w:tc>
        <w:tc>
          <w:tcPr>
            <w:tcW w:w="3120" w:type="dxa"/>
            <w:shd w:val="clear" w:color="auto" w:fill="FFFFFF"/>
          </w:tcPr>
          <w:p>
            <w:pPr>
              <w:spacing w:before="40" w:after="40"/>
            </w:pPr>
            <w:r/>
            <w:r>
              <w:rPr>
                <w:rFonts w:ascii="Calibri" w:hAnsi="Calibri"/>
                <w:color w:val="1A1A2E"/>
                <w:sz w:val="20"/>
              </w:rPr>
              <w:t>Remote development with on-site review sessions</w:t>
            </w:r>
          </w:p>
        </w:tc>
      </w:tr>
      <w:tr>
        <w:tc>
          <w:tcPr>
            <w:tcW w:w="3120" w:type="dxa"/>
            <w:shd w:val="clear" w:color="auto" w:fill="F4F4F8"/>
          </w:tcPr>
          <w:p>
            <w:pPr>
              <w:spacing w:before="40" w:after="40"/>
            </w:pPr>
            <w:r/>
            <w:r>
              <w:rPr>
                <w:rFonts w:ascii="Calibri" w:hAnsi="Calibri"/>
                <w:color w:val="1A1A2E"/>
                <w:sz w:val="20"/>
              </w:rPr>
              <w:t>CRP (Conference Room Pilot)</w:t>
            </w:r>
          </w:p>
        </w:tc>
        <w:tc>
          <w:tcPr>
            <w:tcW w:w="3120" w:type="dxa"/>
            <w:shd w:val="clear" w:color="auto" w:fill="F4F4F8"/>
          </w:tcPr>
          <w:p>
            <w:pPr>
              <w:spacing w:before="40" w:after="40"/>
            </w:pPr>
            <w:r/>
            <w:r>
              <w:rPr>
                <w:rFonts w:ascii="Calibri" w:hAnsi="Calibri"/>
                <w:color w:val="1A1A2E"/>
                <w:sz w:val="20"/>
              </w:rPr>
              <w:t>100%</w:t>
            </w:r>
          </w:p>
        </w:tc>
        <w:tc>
          <w:tcPr>
            <w:tcW w:w="3120" w:type="dxa"/>
            <w:shd w:val="clear" w:color="auto" w:fill="F4F4F8"/>
          </w:tcPr>
          <w:p>
            <w:pPr>
              <w:spacing w:before="40" w:after="40"/>
            </w:pPr>
            <w:r/>
            <w:r>
              <w:rPr>
                <w:rFonts w:ascii="Calibri" w:hAnsi="Calibri"/>
                <w:color w:val="1A1A2E"/>
                <w:sz w:val="20"/>
              </w:rPr>
              <w:t>All users present for business process walk-through</w:t>
            </w:r>
          </w:p>
        </w:tc>
      </w:tr>
      <w:tr>
        <w:tc>
          <w:tcPr>
            <w:tcW w:w="3120" w:type="dxa"/>
            <w:shd w:val="clear" w:color="auto" w:fill="FFFFFF"/>
          </w:tcPr>
          <w:p>
            <w:pPr>
              <w:spacing w:before="40" w:after="40"/>
            </w:pPr>
            <w:r/>
            <w:r>
              <w:rPr>
                <w:rFonts w:ascii="Calibri" w:hAnsi="Calibri"/>
                <w:color w:val="1A1A2E"/>
                <w:sz w:val="20"/>
              </w:rPr>
              <w:t>SIT (System Integration Testing)</w:t>
            </w:r>
          </w:p>
        </w:tc>
        <w:tc>
          <w:tcPr>
            <w:tcW w:w="3120" w:type="dxa"/>
            <w:shd w:val="clear" w:color="auto" w:fill="FFFFFF"/>
          </w:tcPr>
          <w:p>
            <w:pPr>
              <w:spacing w:before="40" w:after="40"/>
            </w:pPr>
            <w:r/>
            <w:r>
              <w:rPr>
                <w:rFonts w:ascii="Calibri" w:hAnsi="Calibri"/>
                <w:color w:val="1A1A2E"/>
                <w:sz w:val="20"/>
              </w:rPr>
              <w:t>25–50%</w:t>
            </w:r>
          </w:p>
        </w:tc>
        <w:tc>
          <w:tcPr>
            <w:tcW w:w="3120" w:type="dxa"/>
            <w:shd w:val="clear" w:color="auto" w:fill="FFFFFF"/>
          </w:tcPr>
          <w:p>
            <w:pPr>
              <w:spacing w:before="40" w:after="40"/>
            </w:pPr>
            <w:r/>
            <w:r>
              <w:rPr>
                <w:rFonts w:ascii="Calibri" w:hAnsi="Calibri"/>
                <w:color w:val="1A1A2E"/>
                <w:sz w:val="20"/>
              </w:rPr>
              <w:t>Remote execution with on-site defect triage as needed</w:t>
            </w:r>
          </w:p>
        </w:tc>
      </w:tr>
      <w:tr>
        <w:tc>
          <w:tcPr>
            <w:tcW w:w="3120" w:type="dxa"/>
            <w:shd w:val="clear" w:color="auto" w:fill="F4F4F8"/>
          </w:tcPr>
          <w:p>
            <w:pPr>
              <w:spacing w:before="40" w:after="40"/>
            </w:pPr>
            <w:r/>
            <w:r>
              <w:rPr>
                <w:rFonts w:ascii="Calibri" w:hAnsi="Calibri"/>
                <w:color w:val="1A1A2E"/>
                <w:sz w:val="20"/>
              </w:rPr>
              <w:t>UAT (User Acceptance Testing)</w:t>
            </w:r>
          </w:p>
        </w:tc>
        <w:tc>
          <w:tcPr>
            <w:tcW w:w="3120" w:type="dxa"/>
            <w:shd w:val="clear" w:color="auto" w:fill="F4F4F8"/>
          </w:tcPr>
          <w:p>
            <w:pPr>
              <w:spacing w:before="40" w:after="40"/>
            </w:pPr>
            <w:r/>
            <w:r>
              <w:rPr>
                <w:rFonts w:ascii="Calibri" w:hAnsi="Calibri"/>
                <w:color w:val="1A1A2E"/>
                <w:sz w:val="20"/>
              </w:rPr>
              <w:t>100%</w:t>
            </w:r>
          </w:p>
        </w:tc>
        <w:tc>
          <w:tcPr>
            <w:tcW w:w="3120" w:type="dxa"/>
            <w:shd w:val="clear" w:color="auto" w:fill="F4F4F8"/>
          </w:tcPr>
          <w:p>
            <w:pPr>
              <w:spacing w:before="40" w:after="40"/>
            </w:pPr>
            <w:r/>
            <w:r>
              <w:rPr>
                <w:rFonts w:ascii="Calibri" w:hAnsi="Calibri"/>
                <w:color w:val="1A1A2E"/>
                <w:sz w:val="20"/>
              </w:rPr>
              <w:t>iteria on-site to support and track defect resolution</w:t>
            </w:r>
          </w:p>
        </w:tc>
      </w:tr>
      <w:tr>
        <w:tc>
          <w:tcPr>
            <w:tcW w:w="3120" w:type="dxa"/>
            <w:shd w:val="clear" w:color="auto" w:fill="FFFFFF"/>
          </w:tcPr>
          <w:p>
            <w:pPr>
              <w:spacing w:before="40" w:after="40"/>
            </w:pPr>
            <w:r/>
            <w:r>
              <w:rPr>
                <w:rFonts w:ascii="Calibri" w:hAnsi="Calibri"/>
                <w:color w:val="1A1A2E"/>
                <w:sz w:val="20"/>
              </w:rPr>
              <w:t>Training</w:t>
            </w:r>
          </w:p>
        </w:tc>
        <w:tc>
          <w:tcPr>
            <w:tcW w:w="3120" w:type="dxa"/>
            <w:shd w:val="clear" w:color="auto" w:fill="FFFFFF"/>
          </w:tcPr>
          <w:p>
            <w:pPr>
              <w:spacing w:before="40" w:after="40"/>
            </w:pPr>
            <w:r/>
            <w:r>
              <w:rPr>
                <w:rFonts w:ascii="Calibri" w:hAnsi="Calibri"/>
                <w:color w:val="1A1A2E"/>
                <w:sz w:val="20"/>
              </w:rPr>
              <w:t>100%</w:t>
            </w:r>
          </w:p>
        </w:tc>
        <w:tc>
          <w:tcPr>
            <w:tcW w:w="3120" w:type="dxa"/>
            <w:shd w:val="clear" w:color="auto" w:fill="FFFFFF"/>
          </w:tcPr>
          <w:p>
            <w:pPr>
              <w:spacing w:before="40" w:after="40"/>
            </w:pPr>
            <w:r/>
            <w:r>
              <w:rPr>
                <w:rFonts w:ascii="Calibri" w:hAnsi="Calibri"/>
                <w:color w:val="1A1A2E"/>
                <w:sz w:val="20"/>
              </w:rPr>
              <w:t>All train-the-trainer sessions conducted on-site</w:t>
            </w:r>
          </w:p>
        </w:tc>
      </w:tr>
      <w:tr>
        <w:tc>
          <w:tcPr>
            <w:tcW w:w="3120" w:type="dxa"/>
            <w:shd w:val="clear" w:color="auto" w:fill="F4F4F8"/>
          </w:tcPr>
          <w:p>
            <w:pPr>
              <w:spacing w:before="40" w:after="40"/>
            </w:pPr>
            <w:r/>
            <w:r>
              <w:rPr>
                <w:rFonts w:ascii="Calibri" w:hAnsi="Calibri"/>
                <w:color w:val="1A1A2E"/>
                <w:sz w:val="20"/>
              </w:rPr>
              <w:t>Go-Live &amp; Cutover</w:t>
            </w:r>
          </w:p>
        </w:tc>
        <w:tc>
          <w:tcPr>
            <w:tcW w:w="3120" w:type="dxa"/>
            <w:shd w:val="clear" w:color="auto" w:fill="F4F4F8"/>
          </w:tcPr>
          <w:p>
            <w:pPr>
              <w:spacing w:before="40" w:after="40"/>
            </w:pPr>
            <w:r/>
            <w:r>
              <w:rPr>
                <w:rFonts w:ascii="Calibri" w:hAnsi="Calibri"/>
                <w:color w:val="1A1A2E"/>
                <w:sz w:val="20"/>
              </w:rPr>
              <w:t>100%</w:t>
            </w:r>
          </w:p>
        </w:tc>
        <w:tc>
          <w:tcPr>
            <w:tcW w:w="3120" w:type="dxa"/>
            <w:shd w:val="clear" w:color="auto" w:fill="F4F4F8"/>
          </w:tcPr>
          <w:p>
            <w:pPr>
              <w:spacing w:before="40" w:after="40"/>
            </w:pPr>
            <w:r/>
            <w:r>
              <w:rPr>
                <w:rFonts w:ascii="Calibri" w:hAnsi="Calibri"/>
                <w:color w:val="1A1A2E"/>
                <w:sz w:val="20"/>
              </w:rPr>
              <w:t>Full team on-site through cutover weekend and Day 1</w:t>
            </w:r>
          </w:p>
        </w:tc>
      </w:tr>
      <w:tr>
        <w:tc>
          <w:tcPr>
            <w:tcW w:w="3120" w:type="dxa"/>
            <w:shd w:val="clear" w:color="auto" w:fill="FFFFFF"/>
          </w:tcPr>
          <w:p>
            <w:pPr>
              <w:spacing w:before="40" w:after="40"/>
            </w:pPr>
            <w:r/>
            <w:r>
              <w:rPr>
                <w:rFonts w:ascii="Calibri" w:hAnsi="Calibri"/>
                <w:color w:val="1A1A2E"/>
                <w:sz w:val="20"/>
              </w:rPr>
              <w:t>Post-Implementation Hypercare (4 weeks)</w:t>
            </w:r>
          </w:p>
        </w:tc>
        <w:tc>
          <w:tcPr>
            <w:tcW w:w="3120" w:type="dxa"/>
            <w:shd w:val="clear" w:color="auto" w:fill="FFFFFF"/>
          </w:tcPr>
          <w:p>
            <w:pPr>
              <w:spacing w:before="40" w:after="40"/>
            </w:pPr>
            <w:r/>
            <w:r>
              <w:rPr>
                <w:rFonts w:ascii="Calibri" w:hAnsi="Calibri"/>
                <w:color w:val="1A1A2E"/>
                <w:sz w:val="20"/>
              </w:rPr>
              <w:t>100%</w:t>
            </w:r>
          </w:p>
        </w:tc>
        <w:tc>
          <w:tcPr>
            <w:tcW w:w="3120" w:type="dxa"/>
            <w:shd w:val="clear" w:color="auto" w:fill="FFFFFF"/>
          </w:tcPr>
          <w:p>
            <w:pPr>
              <w:spacing w:before="40" w:after="40"/>
            </w:pPr>
            <w:r/>
            <w:r>
              <w:rPr>
                <w:rFonts w:ascii="Calibri" w:hAnsi="Calibri"/>
                <w:color w:val="1A1A2E"/>
                <w:sz w:val="20"/>
              </w:rPr>
              <w:t>On-site for first 2 weeks, remote weeks 3–4</w:t>
            </w:r>
          </w:p>
        </w:tc>
      </w:tr>
    </w:tbl>
    <w:p/>
    <w:p>
      <w:pPr>
        <w:spacing w:before="0" w:after="100" w:line="276" w:lineRule="auto"/>
        <w:jc w:val="left"/>
      </w:pPr>
      <w:r>
        <w:rPr>
          <w:rFonts w:ascii="Calibri" w:hAnsi="Calibri"/>
          <w:b w:val="0"/>
          <w:i w:val="0"/>
          <w:color w:val="1A1A2E"/>
          <w:sz w:val="22"/>
        </w:rPr>
        <w:t>Resources flying in are typically on-site Monday–Thursday. Local Wisconsin / Illinois resources may be on-site Monday–Friday depending on project need.</w:t>
      </w:r>
    </w:p>
    <w:p>
      <w:pPr>
        <w:spacing w:before="120" w:after="60"/>
      </w:pPr>
      <w:r>
        <w:rPr>
          <w:rFonts w:ascii="Calibri" w:hAnsi="Calibri"/>
          <w:b/>
          <w:i w:val="0"/>
          <w:color w:val="1A1A2E"/>
          <w:sz w:val="24"/>
        </w:rPr>
        <w:t>Tab 5 — Project Deliverables &amp; Milestones</w:t>
      </w:r>
    </w:p>
    <w:p>
      <w:pPr>
        <w:spacing w:before="0" w:after="100" w:line="276" w:lineRule="auto"/>
        <w:jc w:val="left"/>
      </w:pPr>
      <w:r>
        <w:rPr>
          <w:rFonts w:ascii="Calibri" w:hAnsi="Calibri"/>
          <w:b w:val="0"/>
          <w:i w:val="0"/>
          <w:color w:val="1A1A2E"/>
          <w:sz w:val="22"/>
        </w:rPr>
        <w:t>Standard deliverable set for an Oracle Fusion implementation. Formats and owners confirmed during Boundary Confirmation.</w:t>
      </w:r>
    </w:p>
    <w:tbl>
      <w:tblPr>
        <w:tblW w:type="auto" w:w="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3120"/>
        <w:gridCol w:w="3120"/>
        <w:gridCol w:w="3120"/>
      </w:tblGrid>
      <w:tr>
        <w:tc>
          <w:tcPr>
            <w:tcW w:w="3120" w:type="dxa"/>
            <w:shd w:val="clear" w:color="auto" w:fill="1A1A2E"/>
          </w:tcPr>
          <w:p>
            <w:pPr>
              <w:spacing w:before="40" w:after="40"/>
            </w:pPr>
            <w:r/>
            <w:r>
              <w:rPr>
                <w:rFonts w:ascii="Calibri" w:hAnsi="Calibri"/>
                <w:b/>
                <w:color w:val="FFFFFF"/>
                <w:sz w:val="20"/>
              </w:rPr>
              <w:t>Deliverable</w:t>
            </w:r>
          </w:p>
        </w:tc>
        <w:tc>
          <w:tcPr>
            <w:tcW w:w="3120" w:type="dxa"/>
            <w:shd w:val="clear" w:color="auto" w:fill="1A1A2E"/>
          </w:tcPr>
          <w:p>
            <w:pPr>
              <w:spacing w:before="40" w:after="40"/>
            </w:pPr>
            <w:r/>
            <w:r>
              <w:rPr>
                <w:rFonts w:ascii="Calibri" w:hAnsi="Calibri"/>
                <w:b/>
                <w:color w:val="FFFFFF"/>
                <w:sz w:val="20"/>
              </w:rPr>
              <w:t>Description</w:t>
            </w:r>
          </w:p>
        </w:tc>
        <w:tc>
          <w:tcPr>
            <w:tcW w:w="3120" w:type="dxa"/>
            <w:shd w:val="clear" w:color="auto" w:fill="1A1A2E"/>
          </w:tcPr>
          <w:p>
            <w:pPr>
              <w:spacing w:before="40" w:after="40"/>
            </w:pPr>
            <w:r/>
            <w:r>
              <w:rPr>
                <w:rFonts w:ascii="Calibri" w:hAnsi="Calibri"/>
                <w:b/>
                <w:color w:val="FFFFFF"/>
                <w:sz w:val="20"/>
              </w:rPr>
              <w:t>Format</w:t>
            </w:r>
          </w:p>
        </w:tc>
      </w:tr>
      <w:tr>
        <w:tc>
          <w:tcPr>
            <w:tcW w:w="3120" w:type="dxa"/>
            <w:shd w:val="clear" w:color="auto" w:fill="FFFFFF"/>
          </w:tcPr>
          <w:p>
            <w:pPr>
              <w:spacing w:before="40" w:after="40"/>
            </w:pPr>
            <w:r/>
            <w:r>
              <w:rPr>
                <w:rFonts w:ascii="Calibri" w:hAnsi="Calibri"/>
                <w:color w:val="1A1A2E"/>
                <w:sz w:val="20"/>
              </w:rPr>
              <w:t>Project Plan</w:t>
            </w:r>
          </w:p>
        </w:tc>
        <w:tc>
          <w:tcPr>
            <w:tcW w:w="3120" w:type="dxa"/>
            <w:shd w:val="clear" w:color="auto" w:fill="FFFFFF"/>
          </w:tcPr>
          <w:p>
            <w:pPr>
              <w:spacing w:before="40" w:after="40"/>
            </w:pPr>
            <w:r/>
            <w:r>
              <w:rPr>
                <w:rFonts w:ascii="Calibri" w:hAnsi="Calibri"/>
                <w:color w:val="1A1A2E"/>
                <w:sz w:val="20"/>
              </w:rPr>
              <w:t>Detailed project plan with tasks, owners, dependencies, and timeline</w:t>
            </w:r>
          </w:p>
        </w:tc>
        <w:tc>
          <w:tcPr>
            <w:tcW w:w="3120" w:type="dxa"/>
            <w:shd w:val="clear" w:color="auto" w:fill="FFFFFF"/>
          </w:tcPr>
          <w:p>
            <w:pPr>
              <w:spacing w:before="40" w:after="40"/>
            </w:pPr>
            <w:r/>
            <w:r>
              <w:rPr>
                <w:rFonts w:ascii="Calibri" w:hAnsi="Calibri"/>
                <w:color w:val="1A1A2E"/>
                <w:sz w:val="20"/>
              </w:rPr>
              <w:t>MS Project / Smartsheet</w:t>
            </w:r>
          </w:p>
        </w:tc>
      </w:tr>
      <w:tr>
        <w:tc>
          <w:tcPr>
            <w:tcW w:w="3120" w:type="dxa"/>
            <w:shd w:val="clear" w:color="auto" w:fill="F4F4F8"/>
          </w:tcPr>
          <w:p>
            <w:pPr>
              <w:spacing w:before="40" w:after="40"/>
            </w:pPr>
            <w:r/>
            <w:r>
              <w:rPr>
                <w:rFonts w:ascii="Calibri" w:hAnsi="Calibri"/>
                <w:color w:val="1A1A2E"/>
                <w:sz w:val="20"/>
              </w:rPr>
              <w:t>Business Requirement Documents (BRD)</w:t>
            </w:r>
          </w:p>
        </w:tc>
        <w:tc>
          <w:tcPr>
            <w:tcW w:w="3120" w:type="dxa"/>
            <w:shd w:val="clear" w:color="auto" w:fill="F4F4F8"/>
          </w:tcPr>
          <w:p>
            <w:pPr>
              <w:spacing w:before="40" w:after="40"/>
            </w:pPr>
            <w:r/>
            <w:r>
              <w:rPr>
                <w:rFonts w:ascii="Calibri" w:hAnsi="Calibri"/>
                <w:color w:val="1A1A2E"/>
                <w:sz w:val="20"/>
              </w:rPr>
              <w:t>Current state process mapping to future state for each functional area</w:t>
            </w:r>
          </w:p>
        </w:tc>
        <w:tc>
          <w:tcPr>
            <w:tcW w:w="3120" w:type="dxa"/>
            <w:shd w:val="clear" w:color="auto" w:fill="F4F4F8"/>
          </w:tcPr>
          <w:p>
            <w:pPr>
              <w:spacing w:before="40" w:after="40"/>
            </w:pPr>
            <w:r/>
            <w:r>
              <w:rPr>
                <w:rFonts w:ascii="Calibri" w:hAnsi="Calibri"/>
                <w:color w:val="1A1A2E"/>
                <w:sz w:val="20"/>
              </w:rPr>
              <w:t>Word / PDF</w:t>
            </w:r>
          </w:p>
        </w:tc>
      </w:tr>
      <w:tr>
        <w:tc>
          <w:tcPr>
            <w:tcW w:w="3120" w:type="dxa"/>
            <w:shd w:val="clear" w:color="auto" w:fill="FFFFFF"/>
          </w:tcPr>
          <w:p>
            <w:pPr>
              <w:spacing w:before="40" w:after="40"/>
            </w:pPr>
            <w:r/>
            <w:r>
              <w:rPr>
                <w:rFonts w:ascii="Calibri" w:hAnsi="Calibri"/>
                <w:color w:val="1A1A2E"/>
                <w:sz w:val="20"/>
              </w:rPr>
              <w:t>Interface List &amp; Methods</w:t>
            </w:r>
          </w:p>
        </w:tc>
        <w:tc>
          <w:tcPr>
            <w:tcW w:w="3120" w:type="dxa"/>
            <w:shd w:val="clear" w:color="auto" w:fill="FFFFFF"/>
          </w:tcPr>
          <w:p>
            <w:pPr>
              <w:spacing w:before="40" w:after="40"/>
            </w:pPr>
            <w:r/>
            <w:r>
              <w:rPr>
                <w:rFonts w:ascii="Calibri" w:hAnsi="Calibri"/>
                <w:color w:val="1A1A2E"/>
                <w:sz w:val="20"/>
              </w:rPr>
              <w:t>All identified integrations with source, target, method, and frequency</w:t>
            </w:r>
          </w:p>
        </w:tc>
        <w:tc>
          <w:tcPr>
            <w:tcW w:w="3120" w:type="dxa"/>
            <w:shd w:val="clear" w:color="auto" w:fill="FFFFFF"/>
          </w:tcPr>
          <w:p>
            <w:pPr>
              <w:spacing w:before="40" w:after="40"/>
            </w:pPr>
            <w:r/>
            <w:r>
              <w:rPr>
                <w:rFonts w:ascii="Calibri" w:hAnsi="Calibri"/>
                <w:color w:val="1A1A2E"/>
                <w:sz w:val="20"/>
              </w:rPr>
              <w:t>Excel</w:t>
            </w:r>
          </w:p>
        </w:tc>
      </w:tr>
      <w:tr>
        <w:tc>
          <w:tcPr>
            <w:tcW w:w="3120" w:type="dxa"/>
            <w:shd w:val="clear" w:color="auto" w:fill="F4F4F8"/>
          </w:tcPr>
          <w:p>
            <w:pPr>
              <w:spacing w:before="40" w:after="40"/>
            </w:pPr>
            <w:r/>
            <w:r>
              <w:rPr>
                <w:rFonts w:ascii="Calibri" w:hAnsi="Calibri"/>
                <w:color w:val="1A1A2E"/>
                <w:sz w:val="20"/>
              </w:rPr>
              <w:t>Reports Master List</w:t>
            </w:r>
          </w:p>
        </w:tc>
        <w:tc>
          <w:tcPr>
            <w:tcW w:w="3120" w:type="dxa"/>
            <w:shd w:val="clear" w:color="auto" w:fill="F4F4F8"/>
          </w:tcPr>
          <w:p>
            <w:pPr>
              <w:spacing w:before="40" w:after="40"/>
            </w:pPr>
            <w:r/>
            <w:r>
              <w:rPr>
                <w:rFonts w:ascii="Calibri" w:hAnsi="Calibri"/>
                <w:color w:val="1A1A2E"/>
                <w:sz w:val="20"/>
              </w:rPr>
              <w:t>All required reports with priority, owner, and delivery method</w:t>
            </w:r>
          </w:p>
        </w:tc>
        <w:tc>
          <w:tcPr>
            <w:tcW w:w="3120" w:type="dxa"/>
            <w:shd w:val="clear" w:color="auto" w:fill="F4F4F8"/>
          </w:tcPr>
          <w:p>
            <w:pPr>
              <w:spacing w:before="40" w:after="40"/>
            </w:pPr>
            <w:r/>
            <w:r>
              <w:rPr>
                <w:rFonts w:ascii="Calibri" w:hAnsi="Calibri"/>
                <w:color w:val="1A1A2E"/>
                <w:sz w:val="20"/>
              </w:rPr>
              <w:t>Excel</w:t>
            </w:r>
          </w:p>
        </w:tc>
      </w:tr>
      <w:tr>
        <w:tc>
          <w:tcPr>
            <w:tcW w:w="3120" w:type="dxa"/>
            <w:shd w:val="clear" w:color="auto" w:fill="FFFFFF"/>
          </w:tcPr>
          <w:p>
            <w:pPr>
              <w:spacing w:before="40" w:after="40"/>
            </w:pPr>
            <w:r/>
            <w:r>
              <w:rPr>
                <w:rFonts w:ascii="Calibri" w:hAnsi="Calibri"/>
                <w:color w:val="1A1A2E"/>
                <w:sz w:val="20"/>
              </w:rPr>
              <w:t>Instance Strategy</w:t>
            </w:r>
          </w:p>
        </w:tc>
        <w:tc>
          <w:tcPr>
            <w:tcW w:w="3120" w:type="dxa"/>
            <w:shd w:val="clear" w:color="auto" w:fill="FFFFFF"/>
          </w:tcPr>
          <w:p>
            <w:pPr>
              <w:spacing w:before="40" w:after="40"/>
            </w:pPr>
            <w:r/>
            <w:r>
              <w:rPr>
                <w:rFonts w:ascii="Calibri" w:hAnsi="Calibri"/>
                <w:color w:val="1A1A2E"/>
                <w:sz w:val="20"/>
              </w:rPr>
              <w:t>DEV / TEST / UAT / PROD environment plan and refresh schedule</w:t>
            </w:r>
          </w:p>
        </w:tc>
        <w:tc>
          <w:tcPr>
            <w:tcW w:w="3120" w:type="dxa"/>
            <w:shd w:val="clear" w:color="auto" w:fill="FFFFFF"/>
          </w:tcPr>
          <w:p>
            <w:pPr>
              <w:spacing w:before="40" w:after="40"/>
            </w:pPr>
            <w:r/>
            <w:r>
              <w:rPr>
                <w:rFonts w:ascii="Calibri" w:hAnsi="Calibri"/>
                <w:color w:val="1A1A2E"/>
                <w:sz w:val="20"/>
              </w:rPr>
              <w:t>Word / PDF</w:t>
            </w:r>
          </w:p>
        </w:tc>
      </w:tr>
      <w:tr>
        <w:tc>
          <w:tcPr>
            <w:tcW w:w="3120" w:type="dxa"/>
            <w:shd w:val="clear" w:color="auto" w:fill="F4F4F8"/>
          </w:tcPr>
          <w:p>
            <w:pPr>
              <w:spacing w:before="40" w:after="40"/>
            </w:pPr>
            <w:r/>
            <w:r>
              <w:rPr>
                <w:rFonts w:ascii="Calibri" w:hAnsi="Calibri"/>
                <w:color w:val="1A1A2E"/>
                <w:sz w:val="20"/>
              </w:rPr>
              <w:t>Data Conversion Strategy</w:t>
            </w:r>
          </w:p>
        </w:tc>
        <w:tc>
          <w:tcPr>
            <w:tcW w:w="3120" w:type="dxa"/>
            <w:shd w:val="clear" w:color="auto" w:fill="F4F4F8"/>
          </w:tcPr>
          <w:p>
            <w:pPr>
              <w:spacing w:before="40" w:after="40"/>
            </w:pPr>
            <w:r/>
            <w:r>
              <w:rPr>
                <w:rFonts w:ascii="Calibri" w:hAnsi="Calibri"/>
                <w:color w:val="1A1A2E"/>
                <w:sz w:val="20"/>
              </w:rPr>
              <w:t>Approach, scope, templates, and mock cutover schedule</w:t>
            </w:r>
          </w:p>
        </w:tc>
        <w:tc>
          <w:tcPr>
            <w:tcW w:w="3120" w:type="dxa"/>
            <w:shd w:val="clear" w:color="auto" w:fill="F4F4F8"/>
          </w:tcPr>
          <w:p>
            <w:pPr>
              <w:spacing w:before="40" w:after="40"/>
            </w:pPr>
            <w:r/>
            <w:r>
              <w:rPr>
                <w:rFonts w:ascii="Calibri" w:hAnsi="Calibri"/>
                <w:color w:val="1A1A2E"/>
                <w:sz w:val="20"/>
              </w:rPr>
              <w:t>Word + Excel</w:t>
            </w:r>
          </w:p>
        </w:tc>
      </w:tr>
      <w:tr>
        <w:tc>
          <w:tcPr>
            <w:tcW w:w="3120" w:type="dxa"/>
            <w:shd w:val="clear" w:color="auto" w:fill="FFFFFF"/>
          </w:tcPr>
          <w:p>
            <w:pPr>
              <w:spacing w:before="40" w:after="40"/>
            </w:pPr>
            <w:r/>
            <w:r>
              <w:rPr>
                <w:rFonts w:ascii="Calibri" w:hAnsi="Calibri"/>
                <w:color w:val="1A1A2E"/>
                <w:sz w:val="20"/>
              </w:rPr>
              <w:t>Security Matrix Template</w:t>
            </w:r>
          </w:p>
        </w:tc>
        <w:tc>
          <w:tcPr>
            <w:tcW w:w="3120" w:type="dxa"/>
            <w:shd w:val="clear" w:color="auto" w:fill="FFFFFF"/>
          </w:tcPr>
          <w:p>
            <w:pPr>
              <w:spacing w:before="40" w:after="40"/>
            </w:pPr>
            <w:r/>
            <w:r>
              <w:rPr>
                <w:rFonts w:ascii="Calibri" w:hAnsi="Calibri"/>
                <w:color w:val="1A1A2E"/>
                <w:sz w:val="20"/>
              </w:rPr>
              <w:t>Role-based access design for all user populations</w:t>
            </w:r>
          </w:p>
        </w:tc>
        <w:tc>
          <w:tcPr>
            <w:tcW w:w="3120" w:type="dxa"/>
            <w:shd w:val="clear" w:color="auto" w:fill="FFFFFF"/>
          </w:tcPr>
          <w:p>
            <w:pPr>
              <w:spacing w:before="40" w:after="40"/>
            </w:pPr>
            <w:r/>
            <w:r>
              <w:rPr>
                <w:rFonts w:ascii="Calibri" w:hAnsi="Calibri"/>
                <w:color w:val="1A1A2E"/>
                <w:sz w:val="20"/>
              </w:rPr>
              <w:t>Excel</w:t>
            </w:r>
          </w:p>
        </w:tc>
      </w:tr>
      <w:tr>
        <w:tc>
          <w:tcPr>
            <w:tcW w:w="3120" w:type="dxa"/>
            <w:shd w:val="clear" w:color="auto" w:fill="F4F4F8"/>
          </w:tcPr>
          <w:p>
            <w:pPr>
              <w:spacing w:before="40" w:after="40"/>
            </w:pPr>
            <w:r/>
            <w:r>
              <w:rPr>
                <w:rFonts w:ascii="Calibri" w:hAnsi="Calibri"/>
                <w:color w:val="1A1A2E"/>
                <w:sz w:val="20"/>
              </w:rPr>
              <w:t>Configuration Cookbooks</w:t>
            </w:r>
          </w:p>
        </w:tc>
        <w:tc>
          <w:tcPr>
            <w:tcW w:w="3120" w:type="dxa"/>
            <w:shd w:val="clear" w:color="auto" w:fill="F4F4F8"/>
          </w:tcPr>
          <w:p>
            <w:pPr>
              <w:spacing w:before="40" w:after="40"/>
            </w:pPr>
            <w:r/>
            <w:r>
              <w:rPr>
                <w:rFonts w:ascii="Calibri" w:hAnsi="Calibri"/>
                <w:color w:val="1A1A2E"/>
                <w:sz w:val="20"/>
              </w:rPr>
              <w:t>Detailed setup workbooks for each module — supports migrations and transitions</w:t>
            </w:r>
          </w:p>
        </w:tc>
        <w:tc>
          <w:tcPr>
            <w:tcW w:w="3120" w:type="dxa"/>
            <w:shd w:val="clear" w:color="auto" w:fill="F4F4F8"/>
          </w:tcPr>
          <w:p>
            <w:pPr>
              <w:spacing w:before="40" w:after="40"/>
            </w:pPr>
            <w:r/>
            <w:r>
              <w:rPr>
                <w:rFonts w:ascii="Calibri" w:hAnsi="Calibri"/>
                <w:color w:val="1A1A2E"/>
                <w:sz w:val="20"/>
              </w:rPr>
              <w:t>Excel</w:t>
            </w:r>
          </w:p>
        </w:tc>
      </w:tr>
      <w:tr>
        <w:tc>
          <w:tcPr>
            <w:tcW w:w="3120" w:type="dxa"/>
            <w:shd w:val="clear" w:color="auto" w:fill="FFFFFF"/>
          </w:tcPr>
          <w:p>
            <w:pPr>
              <w:spacing w:before="40" w:after="40"/>
            </w:pPr>
            <w:r/>
            <w:r>
              <w:rPr>
                <w:rFonts w:ascii="Calibri" w:hAnsi="Calibri"/>
                <w:color w:val="1A1A2E"/>
                <w:sz w:val="20"/>
              </w:rPr>
              <w:t>Interface Specification Documents</w:t>
            </w:r>
          </w:p>
        </w:tc>
        <w:tc>
          <w:tcPr>
            <w:tcW w:w="3120" w:type="dxa"/>
            <w:shd w:val="clear" w:color="auto" w:fill="FFFFFF"/>
          </w:tcPr>
          <w:p>
            <w:pPr>
              <w:spacing w:before="40" w:after="40"/>
            </w:pPr>
            <w:r/>
            <w:r>
              <w:rPr>
                <w:rFonts w:ascii="Calibri" w:hAnsi="Calibri"/>
                <w:color w:val="1A1A2E"/>
                <w:sz w:val="20"/>
              </w:rPr>
              <w:t>Detailed spec for each integration including field mapping</w:t>
            </w:r>
          </w:p>
        </w:tc>
        <w:tc>
          <w:tcPr>
            <w:tcW w:w="3120" w:type="dxa"/>
            <w:shd w:val="clear" w:color="auto" w:fill="FFFFFF"/>
          </w:tcPr>
          <w:p>
            <w:pPr>
              <w:spacing w:before="40" w:after="40"/>
            </w:pPr>
            <w:r/>
            <w:r>
              <w:rPr>
                <w:rFonts w:ascii="Calibri" w:hAnsi="Calibri"/>
                <w:color w:val="1A1A2E"/>
                <w:sz w:val="20"/>
              </w:rPr>
              <w:t>Word / Excel</w:t>
            </w:r>
          </w:p>
        </w:tc>
      </w:tr>
      <w:tr>
        <w:tc>
          <w:tcPr>
            <w:tcW w:w="3120" w:type="dxa"/>
            <w:shd w:val="clear" w:color="auto" w:fill="F4F4F8"/>
          </w:tcPr>
          <w:p>
            <w:pPr>
              <w:spacing w:before="40" w:after="40"/>
            </w:pPr>
            <w:r/>
            <w:r>
              <w:rPr>
                <w:rFonts w:ascii="Calibri" w:hAnsi="Calibri"/>
                <w:color w:val="1A1A2E"/>
                <w:sz w:val="20"/>
              </w:rPr>
              <w:t>Reports Functional Spec</w:t>
            </w:r>
          </w:p>
        </w:tc>
        <w:tc>
          <w:tcPr>
            <w:tcW w:w="3120" w:type="dxa"/>
            <w:shd w:val="clear" w:color="auto" w:fill="F4F4F8"/>
          </w:tcPr>
          <w:p>
            <w:pPr>
              <w:spacing w:before="40" w:after="40"/>
            </w:pPr>
            <w:r/>
            <w:r>
              <w:rPr>
                <w:rFonts w:ascii="Calibri" w:hAnsi="Calibri"/>
                <w:color w:val="1A1A2E"/>
                <w:sz w:val="20"/>
              </w:rPr>
              <w:t>Requirements document for each custom or modified report</w:t>
            </w:r>
          </w:p>
        </w:tc>
        <w:tc>
          <w:tcPr>
            <w:tcW w:w="3120" w:type="dxa"/>
            <w:shd w:val="clear" w:color="auto" w:fill="F4F4F8"/>
          </w:tcPr>
          <w:p>
            <w:pPr>
              <w:spacing w:before="40" w:after="40"/>
            </w:pPr>
            <w:r/>
            <w:r>
              <w:rPr>
                <w:rFonts w:ascii="Calibri" w:hAnsi="Calibri"/>
                <w:color w:val="1A1A2E"/>
                <w:sz w:val="20"/>
              </w:rPr>
              <w:t>Word</w:t>
            </w:r>
          </w:p>
        </w:tc>
      </w:tr>
      <w:tr>
        <w:tc>
          <w:tcPr>
            <w:tcW w:w="3120" w:type="dxa"/>
            <w:shd w:val="clear" w:color="auto" w:fill="FFFFFF"/>
          </w:tcPr>
          <w:p>
            <w:pPr>
              <w:spacing w:before="40" w:after="40"/>
            </w:pPr>
            <w:r/>
            <w:r>
              <w:rPr>
                <w:rFonts w:ascii="Calibri" w:hAnsi="Calibri"/>
                <w:color w:val="1A1A2E"/>
                <w:sz w:val="20"/>
              </w:rPr>
              <w:t>Data Conversion Mapping Document</w:t>
            </w:r>
          </w:p>
        </w:tc>
        <w:tc>
          <w:tcPr>
            <w:tcW w:w="3120" w:type="dxa"/>
            <w:shd w:val="clear" w:color="auto" w:fill="FFFFFF"/>
          </w:tcPr>
          <w:p>
            <w:pPr>
              <w:spacing w:before="40" w:after="40"/>
            </w:pPr>
            <w:r/>
            <w:r>
              <w:rPr>
                <w:rFonts w:ascii="Calibri" w:hAnsi="Calibri"/>
                <w:color w:val="1A1A2E"/>
                <w:sz w:val="20"/>
              </w:rPr>
              <w:t>Field-level mapping from legacy to Fusion for each object</w:t>
            </w:r>
          </w:p>
        </w:tc>
        <w:tc>
          <w:tcPr>
            <w:tcW w:w="3120" w:type="dxa"/>
            <w:shd w:val="clear" w:color="auto" w:fill="FFFFFF"/>
          </w:tcPr>
          <w:p>
            <w:pPr>
              <w:spacing w:before="40" w:after="40"/>
            </w:pPr>
            <w:r/>
            <w:r>
              <w:rPr>
                <w:rFonts w:ascii="Calibri" w:hAnsi="Calibri"/>
                <w:color w:val="1A1A2E"/>
                <w:sz w:val="20"/>
              </w:rPr>
              <w:t>Excel</w:t>
            </w:r>
          </w:p>
        </w:tc>
      </w:tr>
      <w:tr>
        <w:tc>
          <w:tcPr>
            <w:tcW w:w="3120" w:type="dxa"/>
            <w:shd w:val="clear" w:color="auto" w:fill="F4F4F8"/>
          </w:tcPr>
          <w:p>
            <w:pPr>
              <w:spacing w:before="40" w:after="40"/>
            </w:pPr>
            <w:r/>
            <w:r>
              <w:rPr>
                <w:rFonts w:ascii="Calibri" w:hAnsi="Calibri"/>
                <w:color w:val="1A1A2E"/>
                <w:sz w:val="20"/>
              </w:rPr>
              <w:t>Test Plan</w:t>
            </w:r>
          </w:p>
        </w:tc>
        <w:tc>
          <w:tcPr>
            <w:tcW w:w="3120" w:type="dxa"/>
            <w:shd w:val="clear" w:color="auto" w:fill="F4F4F8"/>
          </w:tcPr>
          <w:p>
            <w:pPr>
              <w:spacing w:before="40" w:after="40"/>
            </w:pPr>
            <w:r/>
            <w:r>
              <w:rPr>
                <w:rFonts w:ascii="Calibri" w:hAnsi="Calibri"/>
                <w:color w:val="1A1A2E"/>
                <w:sz w:val="20"/>
              </w:rPr>
              <w:t>SIT and UAT test plan with scenarios, scripts, and owner assignments</w:t>
            </w:r>
          </w:p>
        </w:tc>
        <w:tc>
          <w:tcPr>
            <w:tcW w:w="3120" w:type="dxa"/>
            <w:shd w:val="clear" w:color="auto" w:fill="F4F4F8"/>
          </w:tcPr>
          <w:p>
            <w:pPr>
              <w:spacing w:before="40" w:after="40"/>
            </w:pPr>
            <w:r/>
            <w:r>
              <w:rPr>
                <w:rFonts w:ascii="Calibri" w:hAnsi="Calibri"/>
                <w:color w:val="1A1A2E"/>
                <w:sz w:val="20"/>
              </w:rPr>
              <w:t>Word / Excel</w:t>
            </w:r>
          </w:p>
        </w:tc>
      </w:tr>
      <w:tr>
        <w:tc>
          <w:tcPr>
            <w:tcW w:w="3120" w:type="dxa"/>
            <w:shd w:val="clear" w:color="auto" w:fill="FFFFFF"/>
          </w:tcPr>
          <w:p>
            <w:pPr>
              <w:spacing w:before="40" w:after="40"/>
            </w:pPr>
            <w:r/>
            <w:r>
              <w:rPr>
                <w:rFonts w:ascii="Calibri" w:hAnsi="Calibri"/>
                <w:color w:val="1A1A2E"/>
                <w:sz w:val="20"/>
              </w:rPr>
              <w:t>Training Schedule</w:t>
            </w:r>
          </w:p>
        </w:tc>
        <w:tc>
          <w:tcPr>
            <w:tcW w:w="3120" w:type="dxa"/>
            <w:shd w:val="clear" w:color="auto" w:fill="FFFFFF"/>
          </w:tcPr>
          <w:p>
            <w:pPr>
              <w:spacing w:before="40" w:after="40"/>
            </w:pPr>
            <w:r/>
            <w:r>
              <w:rPr>
                <w:rFonts w:ascii="Calibri" w:hAnsi="Calibri"/>
                <w:color w:val="1A1A2E"/>
                <w:sz w:val="20"/>
              </w:rPr>
              <w:t>Training calendar, class types, and attendee lists by role</w:t>
            </w:r>
          </w:p>
        </w:tc>
        <w:tc>
          <w:tcPr>
            <w:tcW w:w="3120" w:type="dxa"/>
            <w:shd w:val="clear" w:color="auto" w:fill="FFFFFF"/>
          </w:tcPr>
          <w:p>
            <w:pPr>
              <w:spacing w:before="40" w:after="40"/>
            </w:pPr>
            <w:r/>
            <w:r>
              <w:rPr>
                <w:rFonts w:ascii="Calibri" w:hAnsi="Calibri"/>
                <w:color w:val="1A1A2E"/>
                <w:sz w:val="20"/>
              </w:rPr>
              <w:t>Excel</w:t>
            </w:r>
          </w:p>
        </w:tc>
      </w:tr>
      <w:tr>
        <w:tc>
          <w:tcPr>
            <w:tcW w:w="3120" w:type="dxa"/>
            <w:shd w:val="clear" w:color="auto" w:fill="F4F4F8"/>
          </w:tcPr>
          <w:p>
            <w:pPr>
              <w:spacing w:before="40" w:after="40"/>
            </w:pPr>
            <w:r/>
            <w:r>
              <w:rPr>
                <w:rFonts w:ascii="Calibri" w:hAnsi="Calibri"/>
                <w:color w:val="1A1A2E"/>
                <w:sz w:val="20"/>
              </w:rPr>
              <w:t>Training Materials</w:t>
            </w:r>
          </w:p>
        </w:tc>
        <w:tc>
          <w:tcPr>
            <w:tcW w:w="3120" w:type="dxa"/>
            <w:shd w:val="clear" w:color="auto" w:fill="F4F4F8"/>
          </w:tcPr>
          <w:p>
            <w:pPr>
              <w:spacing w:before="40" w:after="40"/>
            </w:pPr>
            <w:r/>
            <w:r>
              <w:rPr>
                <w:rFonts w:ascii="Calibri" w:hAnsi="Calibri"/>
                <w:color w:val="1A1A2E"/>
                <w:sz w:val="20"/>
              </w:rPr>
              <w:t>Custom materials configured to the client's system setup — per module</w:t>
            </w:r>
          </w:p>
        </w:tc>
        <w:tc>
          <w:tcPr>
            <w:tcW w:w="3120" w:type="dxa"/>
            <w:shd w:val="clear" w:color="auto" w:fill="F4F4F8"/>
          </w:tcPr>
          <w:p>
            <w:pPr>
              <w:spacing w:before="40" w:after="40"/>
            </w:pPr>
            <w:r/>
            <w:r>
              <w:rPr>
                <w:rFonts w:ascii="Calibri" w:hAnsi="Calibri"/>
                <w:color w:val="1A1A2E"/>
                <w:sz w:val="20"/>
              </w:rPr>
              <w:t>PowerPoint / PDF</w:t>
            </w:r>
          </w:p>
        </w:tc>
      </w:tr>
      <w:tr>
        <w:tc>
          <w:tcPr>
            <w:tcW w:w="3120" w:type="dxa"/>
            <w:shd w:val="clear" w:color="auto" w:fill="FFFFFF"/>
          </w:tcPr>
          <w:p>
            <w:pPr>
              <w:spacing w:before="40" w:after="40"/>
            </w:pPr>
            <w:r/>
            <w:r>
              <w:rPr>
                <w:rFonts w:ascii="Calibri" w:hAnsi="Calibri"/>
                <w:color w:val="1A1A2E"/>
                <w:sz w:val="20"/>
              </w:rPr>
              <w:t>Change Management / Communication Plan</w:t>
            </w:r>
          </w:p>
        </w:tc>
        <w:tc>
          <w:tcPr>
            <w:tcW w:w="3120" w:type="dxa"/>
            <w:shd w:val="clear" w:color="auto" w:fill="FFFFFF"/>
          </w:tcPr>
          <w:p>
            <w:pPr>
              <w:spacing w:before="40" w:after="40"/>
            </w:pPr>
            <w:r/>
            <w:r>
              <w:rPr>
                <w:rFonts w:ascii="Calibri" w:hAnsi="Calibri"/>
                <w:color w:val="1A1A2E"/>
                <w:sz w:val="20"/>
              </w:rPr>
              <w:t>Stakeholder communication calendar and change impact assessment</w:t>
            </w:r>
          </w:p>
        </w:tc>
        <w:tc>
          <w:tcPr>
            <w:tcW w:w="3120" w:type="dxa"/>
            <w:shd w:val="clear" w:color="auto" w:fill="FFFFFF"/>
          </w:tcPr>
          <w:p>
            <w:pPr>
              <w:spacing w:before="40" w:after="40"/>
            </w:pPr>
            <w:r/>
            <w:r>
              <w:rPr>
                <w:rFonts w:ascii="Calibri" w:hAnsi="Calibri"/>
                <w:color w:val="1A1A2E"/>
                <w:sz w:val="20"/>
              </w:rPr>
              <w:t>Word</w:t>
            </w:r>
          </w:p>
        </w:tc>
      </w:tr>
      <w:tr>
        <w:tc>
          <w:tcPr>
            <w:tcW w:w="3120" w:type="dxa"/>
            <w:shd w:val="clear" w:color="auto" w:fill="F4F4F8"/>
          </w:tcPr>
          <w:p>
            <w:pPr>
              <w:spacing w:before="40" w:after="40"/>
            </w:pPr>
            <w:r/>
            <w:r>
              <w:rPr>
                <w:rFonts w:ascii="Calibri" w:hAnsi="Calibri"/>
                <w:color w:val="1A1A2E"/>
                <w:sz w:val="20"/>
              </w:rPr>
              <w:t>Issue Tracker</w:t>
            </w:r>
          </w:p>
        </w:tc>
        <w:tc>
          <w:tcPr>
            <w:tcW w:w="3120" w:type="dxa"/>
            <w:shd w:val="clear" w:color="auto" w:fill="F4F4F8"/>
          </w:tcPr>
          <w:p>
            <w:pPr>
              <w:spacing w:before="40" w:after="40"/>
            </w:pPr>
            <w:r/>
            <w:r>
              <w:rPr>
                <w:rFonts w:ascii="Calibri" w:hAnsi="Calibri"/>
                <w:color w:val="1A1A2E"/>
                <w:sz w:val="20"/>
              </w:rPr>
              <w:t>Live log of open issues with severity, owner, and resolution status</w:t>
            </w:r>
          </w:p>
        </w:tc>
        <w:tc>
          <w:tcPr>
            <w:tcW w:w="3120" w:type="dxa"/>
            <w:shd w:val="clear" w:color="auto" w:fill="F4F4F8"/>
          </w:tcPr>
          <w:p>
            <w:pPr>
              <w:spacing w:before="40" w:after="40"/>
            </w:pPr>
            <w:r/>
            <w:r>
              <w:rPr>
                <w:rFonts w:ascii="Calibri" w:hAnsi="Calibri"/>
                <w:color w:val="1A1A2E"/>
                <w:sz w:val="20"/>
              </w:rPr>
              <w:t>Excel / Jira</w:t>
            </w:r>
          </w:p>
        </w:tc>
      </w:tr>
      <w:tr>
        <w:tc>
          <w:tcPr>
            <w:tcW w:w="3120" w:type="dxa"/>
            <w:shd w:val="clear" w:color="auto" w:fill="FFFFFF"/>
          </w:tcPr>
          <w:p>
            <w:pPr>
              <w:spacing w:before="40" w:after="40"/>
            </w:pPr>
            <w:r/>
            <w:r>
              <w:rPr>
                <w:rFonts w:ascii="Calibri" w:hAnsi="Calibri"/>
                <w:color w:val="1A1A2E"/>
                <w:sz w:val="20"/>
              </w:rPr>
              <w:t>Cutover Plan</w:t>
            </w:r>
          </w:p>
        </w:tc>
        <w:tc>
          <w:tcPr>
            <w:tcW w:w="3120" w:type="dxa"/>
            <w:shd w:val="clear" w:color="auto" w:fill="FFFFFF"/>
          </w:tcPr>
          <w:p>
            <w:pPr>
              <w:spacing w:before="40" w:after="40"/>
            </w:pPr>
            <w:r/>
            <w:r>
              <w:rPr>
                <w:rFonts w:ascii="Calibri" w:hAnsi="Calibri"/>
                <w:color w:val="1A1A2E"/>
                <w:sz w:val="20"/>
              </w:rPr>
              <w:t>Step-by-step migration checklist with go/no-go criteria and rollback plan</w:t>
            </w:r>
          </w:p>
        </w:tc>
        <w:tc>
          <w:tcPr>
            <w:tcW w:w="3120" w:type="dxa"/>
            <w:shd w:val="clear" w:color="auto" w:fill="FFFFFF"/>
          </w:tcPr>
          <w:p>
            <w:pPr>
              <w:spacing w:before="40" w:after="40"/>
            </w:pPr>
            <w:r/>
            <w:r>
              <w:rPr>
                <w:rFonts w:ascii="Calibri" w:hAnsi="Calibri"/>
                <w:color w:val="1A1A2E"/>
                <w:sz w:val="20"/>
              </w:rPr>
              <w:t>Excel</w:t>
            </w:r>
          </w:p>
        </w:tc>
      </w:tr>
      <w:tr>
        <w:tc>
          <w:tcPr>
            <w:tcW w:w="3120" w:type="dxa"/>
            <w:shd w:val="clear" w:color="auto" w:fill="F4F4F8"/>
          </w:tcPr>
          <w:p>
            <w:pPr>
              <w:spacing w:before="40" w:after="40"/>
            </w:pPr>
            <w:r/>
            <w:r>
              <w:rPr>
                <w:rFonts w:ascii="Calibri" w:hAnsi="Calibri"/>
                <w:color w:val="1A1A2E"/>
                <w:sz w:val="20"/>
              </w:rPr>
              <w:t>Go-Live Confirmation</w:t>
            </w:r>
          </w:p>
        </w:tc>
        <w:tc>
          <w:tcPr>
            <w:tcW w:w="3120" w:type="dxa"/>
            <w:shd w:val="clear" w:color="auto" w:fill="F4F4F8"/>
          </w:tcPr>
          <w:p>
            <w:pPr>
              <w:spacing w:before="40" w:after="40"/>
            </w:pPr>
            <w:r/>
            <w:r>
              <w:rPr>
                <w:rFonts w:ascii="Calibri" w:hAnsi="Calibri"/>
                <w:color w:val="1A1A2E"/>
                <w:sz w:val="20"/>
              </w:rPr>
              <w:t>Signed go-live authorization and production cutover completion report</w:t>
            </w:r>
          </w:p>
        </w:tc>
        <w:tc>
          <w:tcPr>
            <w:tcW w:w="3120" w:type="dxa"/>
            <w:shd w:val="clear" w:color="auto" w:fill="F4F4F8"/>
          </w:tcPr>
          <w:p>
            <w:pPr>
              <w:spacing w:before="40" w:after="40"/>
            </w:pPr>
            <w:r/>
            <w:r>
              <w:rPr>
                <w:rFonts w:ascii="Calibri" w:hAnsi="Calibri"/>
                <w:color w:val="1A1A2E"/>
                <w:sz w:val="20"/>
              </w:rPr>
              <w:t>PDF</w:t>
            </w:r>
          </w:p>
        </w:tc>
      </w:tr>
      <w:tr>
        <w:tc>
          <w:tcPr>
            <w:tcW w:w="3120" w:type="dxa"/>
            <w:shd w:val="clear" w:color="auto" w:fill="FFFFFF"/>
          </w:tcPr>
          <w:p>
            <w:pPr>
              <w:spacing w:before="40" w:after="40"/>
            </w:pPr>
            <w:r/>
            <w:r>
              <w:rPr>
                <w:rFonts w:ascii="Calibri" w:hAnsi="Calibri"/>
                <w:color w:val="1A1A2E"/>
                <w:sz w:val="20"/>
              </w:rPr>
              <w:t>Post-Implementation Support Completion</w:t>
            </w:r>
          </w:p>
        </w:tc>
        <w:tc>
          <w:tcPr>
            <w:tcW w:w="3120" w:type="dxa"/>
            <w:shd w:val="clear" w:color="auto" w:fill="FFFFFF"/>
          </w:tcPr>
          <w:p>
            <w:pPr>
              <w:spacing w:before="40" w:after="40"/>
            </w:pPr>
            <w:r/>
            <w:r>
              <w:rPr>
                <w:rFonts w:ascii="Calibri" w:hAnsi="Calibri"/>
                <w:color w:val="1A1A2E"/>
                <w:sz w:val="20"/>
              </w:rPr>
              <w:t>Hypercare closeout report with issue log and transition to managed services</w:t>
            </w:r>
          </w:p>
        </w:tc>
        <w:tc>
          <w:tcPr>
            <w:tcW w:w="3120" w:type="dxa"/>
            <w:shd w:val="clear" w:color="auto" w:fill="FFFFFF"/>
          </w:tcPr>
          <w:p>
            <w:pPr>
              <w:spacing w:before="40" w:after="40"/>
            </w:pPr>
            <w:r/>
            <w:r>
              <w:rPr>
                <w:rFonts w:ascii="Calibri" w:hAnsi="Calibri"/>
                <w:color w:val="1A1A2E"/>
                <w:sz w:val="20"/>
              </w:rPr>
              <w:t>PDF</w:t>
            </w:r>
          </w:p>
        </w:tc>
      </w:tr>
    </w:tbl>
    <w:p/>
    <w:p>
      <w:pPr>
        <w:spacing w:before="120" w:after="60"/>
      </w:pPr>
      <w:r>
        <w:rPr>
          <w:rFonts w:ascii="Calibri" w:hAnsi="Calibri"/>
          <w:b/>
          <w:i w:val="0"/>
          <w:color w:val="1A1A2E"/>
          <w:sz w:val="24"/>
        </w:rPr>
        <w:t>Tab 8 — Security: Standard Q&amp;A Responses</w:t>
      </w:r>
    </w:p>
    <w:p>
      <w:pPr>
        <w:spacing w:before="0" w:after="100" w:line="276" w:lineRule="auto"/>
        <w:jc w:val="left"/>
      </w:pPr>
      <w:r>
        <w:rPr>
          <w:rFonts w:ascii="Calibri" w:hAnsi="Calibri"/>
          <w:b w:val="0"/>
          <w:i w:val="0"/>
          <w:color w:val="1A1A2E"/>
          <w:sz w:val="22"/>
        </w:rPr>
        <w:t>Pre-approved Oracle Fusion Cloud security answers. Confirm client-specific items (SSO platform, compliance frameworks) before submitting.</w:t>
      </w:r>
    </w:p>
    <w:tbl>
      <w:tblPr>
        <w:tblW w:type="auto" w:w="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4680"/>
        <w:gridCol w:w="4680"/>
      </w:tblGrid>
      <w:tr>
        <w:tc>
          <w:tcPr>
            <w:tcW w:w="4680" w:type="dxa"/>
            <w:shd w:val="clear" w:color="auto" w:fill="1A1A2E"/>
          </w:tcPr>
          <w:p>
            <w:pPr>
              <w:spacing w:before="40" w:after="40"/>
            </w:pPr>
            <w:r/>
            <w:r>
              <w:rPr>
                <w:rFonts w:ascii="Calibri" w:hAnsi="Calibri"/>
                <w:b/>
                <w:color w:val="FFFFFF"/>
                <w:sz w:val="20"/>
              </w:rPr>
              <w:t>Question</w:t>
            </w:r>
          </w:p>
        </w:tc>
        <w:tc>
          <w:tcPr>
            <w:tcW w:w="4680" w:type="dxa"/>
            <w:shd w:val="clear" w:color="auto" w:fill="1A1A2E"/>
          </w:tcPr>
          <w:p>
            <w:pPr>
              <w:spacing w:before="40" w:after="40"/>
            </w:pPr>
            <w:r/>
            <w:r>
              <w:rPr>
                <w:rFonts w:ascii="Calibri" w:hAnsi="Calibri"/>
                <w:b/>
                <w:color w:val="FFFFFF"/>
                <w:sz w:val="20"/>
              </w:rPr>
              <w:t>iteria / Oracle Response</w:t>
            </w:r>
          </w:p>
        </w:tc>
      </w:tr>
      <w:tr>
        <w:tc>
          <w:tcPr>
            <w:tcW w:w="4680" w:type="dxa"/>
            <w:shd w:val="clear" w:color="auto" w:fill="FFFFFF"/>
          </w:tcPr>
          <w:p>
            <w:pPr>
              <w:spacing w:before="40" w:after="40"/>
            </w:pPr>
            <w:r/>
            <w:r>
              <w:rPr>
                <w:rFonts w:ascii="Calibri" w:hAnsi="Calibri"/>
                <w:color w:val="1A1A2E"/>
                <w:sz w:val="20"/>
              </w:rPr>
              <w:t>Is Active Directory / SSO integration supported?</w:t>
            </w:r>
          </w:p>
        </w:tc>
        <w:tc>
          <w:tcPr>
            <w:tcW w:w="4680" w:type="dxa"/>
            <w:shd w:val="clear" w:color="auto" w:fill="FFFFFF"/>
          </w:tcPr>
          <w:p>
            <w:pPr>
              <w:spacing w:before="40" w:after="40"/>
            </w:pPr>
            <w:r/>
            <w:r>
              <w:rPr>
                <w:rFonts w:ascii="Calibri" w:hAnsi="Calibri"/>
                <w:color w:val="1A1A2E"/>
                <w:sz w:val="20"/>
              </w:rPr>
              <w:t>Yes. Oracle Fusion supports federated SSO via SAML 2.0, compatible with Microsoft AD, Azure AD, Okta, and any SAML 2.0 provider. Credentials protected by TLS 1.2.</w:t>
            </w:r>
          </w:p>
        </w:tc>
      </w:tr>
      <w:tr>
        <w:tc>
          <w:tcPr>
            <w:tcW w:w="4680" w:type="dxa"/>
            <w:shd w:val="clear" w:color="auto" w:fill="F4F4F8"/>
          </w:tcPr>
          <w:p>
            <w:pPr>
              <w:spacing w:before="40" w:after="40"/>
            </w:pPr>
            <w:r/>
            <w:r>
              <w:rPr>
                <w:rFonts w:ascii="Calibri" w:hAnsi="Calibri"/>
                <w:color w:val="1A1A2E"/>
                <w:sz w:val="20"/>
              </w:rPr>
              <w:t>Is two-factor / MFA supported?</w:t>
            </w:r>
          </w:p>
        </w:tc>
        <w:tc>
          <w:tcPr>
            <w:tcW w:w="4680" w:type="dxa"/>
            <w:shd w:val="clear" w:color="auto" w:fill="F4F4F8"/>
          </w:tcPr>
          <w:p>
            <w:pPr>
              <w:spacing w:before="40" w:after="40"/>
            </w:pPr>
            <w:r/>
            <w:r>
              <w:rPr>
                <w:rFonts w:ascii="Calibri" w:hAnsi="Calibri"/>
                <w:color w:val="1A1A2E"/>
                <w:sz w:val="20"/>
              </w:rPr>
              <w:t>Yes. Oracle supports MFA natively. Compatible with Okta, Duo, and other SAML-based MFA solutions.</w:t>
            </w:r>
          </w:p>
        </w:tc>
      </w:tr>
      <w:tr>
        <w:tc>
          <w:tcPr>
            <w:tcW w:w="4680" w:type="dxa"/>
            <w:shd w:val="clear" w:color="auto" w:fill="FFFFFF"/>
          </w:tcPr>
          <w:p>
            <w:pPr>
              <w:spacing w:before="40" w:after="40"/>
            </w:pPr>
            <w:r/>
            <w:r>
              <w:rPr>
                <w:rFonts w:ascii="Calibri" w:hAnsi="Calibri"/>
                <w:color w:val="1A1A2E"/>
                <w:sz w:val="20"/>
              </w:rPr>
              <w:t>Can complex password requirements be enforced?</w:t>
            </w:r>
          </w:p>
        </w:tc>
        <w:tc>
          <w:tcPr>
            <w:tcW w:w="4680" w:type="dxa"/>
            <w:shd w:val="clear" w:color="auto" w:fill="FFFFFF"/>
          </w:tcPr>
          <w:p>
            <w:pPr>
              <w:spacing w:before="40" w:after="40"/>
            </w:pPr>
            <w:r/>
            <w:r>
              <w:rPr>
                <w:rFonts w:ascii="Calibri" w:hAnsi="Calibri"/>
                <w:color w:val="1A1A2E"/>
                <w:sz w:val="20"/>
              </w:rPr>
              <w:t>Yes — minimum length, complexity, and aging rules all configurable. SSO is recommended as the primary authentication method.</w:t>
            </w:r>
          </w:p>
        </w:tc>
      </w:tr>
      <w:tr>
        <w:tc>
          <w:tcPr>
            <w:tcW w:w="4680" w:type="dxa"/>
            <w:shd w:val="clear" w:color="auto" w:fill="F4F4F8"/>
          </w:tcPr>
          <w:p>
            <w:pPr>
              <w:spacing w:before="40" w:after="40"/>
            </w:pPr>
            <w:r/>
            <w:r>
              <w:rPr>
                <w:rFonts w:ascii="Calibri" w:hAnsi="Calibri"/>
                <w:color w:val="1A1A2E"/>
                <w:sz w:val="20"/>
              </w:rPr>
              <w:t>Can accounts be locked after failed login attempts?</w:t>
            </w:r>
          </w:p>
        </w:tc>
        <w:tc>
          <w:tcPr>
            <w:tcW w:w="4680" w:type="dxa"/>
            <w:shd w:val="clear" w:color="auto" w:fill="F4F4F8"/>
          </w:tcPr>
          <w:p>
            <w:pPr>
              <w:spacing w:before="40" w:after="40"/>
            </w:pPr>
            <w:r/>
            <w:r>
              <w:rPr>
                <w:rFonts w:ascii="Calibri" w:hAnsi="Calibri"/>
                <w:color w:val="1A1A2E"/>
                <w:sz w:val="20"/>
              </w:rPr>
              <w:t>Yes. Configurable lockout policy available in Oracle Identity Management.</w:t>
            </w:r>
          </w:p>
        </w:tc>
      </w:tr>
      <w:tr>
        <w:tc>
          <w:tcPr>
            <w:tcW w:w="4680" w:type="dxa"/>
            <w:shd w:val="clear" w:color="auto" w:fill="FFFFFF"/>
          </w:tcPr>
          <w:p>
            <w:pPr>
              <w:spacing w:before="40" w:after="40"/>
            </w:pPr>
            <w:r/>
            <w:r>
              <w:rPr>
                <w:rFonts w:ascii="Calibri" w:hAnsi="Calibri"/>
                <w:color w:val="1A1A2E"/>
                <w:sz w:val="20"/>
              </w:rPr>
              <w:t>Are session timeouts enforced?</w:t>
            </w:r>
          </w:p>
        </w:tc>
        <w:tc>
          <w:tcPr>
            <w:tcW w:w="4680" w:type="dxa"/>
            <w:shd w:val="clear" w:color="auto" w:fill="FFFFFF"/>
          </w:tcPr>
          <w:p>
            <w:pPr>
              <w:spacing w:before="40" w:after="40"/>
            </w:pPr>
            <w:r/>
            <w:r>
              <w:rPr>
                <w:rFonts w:ascii="Calibri" w:hAnsi="Calibri"/>
                <w:color w:val="1A1A2E"/>
                <w:sz w:val="20"/>
              </w:rPr>
              <w:t>Yes. Configurable session timeout rules are enforced across all Oracle Cloud applications.</w:t>
            </w:r>
          </w:p>
        </w:tc>
      </w:tr>
      <w:tr>
        <w:tc>
          <w:tcPr>
            <w:tcW w:w="4680" w:type="dxa"/>
            <w:shd w:val="clear" w:color="auto" w:fill="F4F4F8"/>
          </w:tcPr>
          <w:p>
            <w:pPr>
              <w:spacing w:before="40" w:after="40"/>
            </w:pPr>
            <w:r/>
            <w:r>
              <w:rPr>
                <w:rFonts w:ascii="Calibri" w:hAnsi="Calibri"/>
                <w:color w:val="1A1A2E"/>
                <w:sz w:val="20"/>
              </w:rPr>
              <w:t>Will iteria staff access systems from outside the US?</w:t>
            </w:r>
          </w:p>
        </w:tc>
        <w:tc>
          <w:tcPr>
            <w:tcW w:w="4680" w:type="dxa"/>
            <w:shd w:val="clear" w:color="auto" w:fill="F4F4F8"/>
          </w:tcPr>
          <w:p>
            <w:pPr>
              <w:spacing w:before="40" w:after="40"/>
            </w:pPr>
            <w:r/>
            <w:r>
              <w:rPr>
                <w:rFonts w:ascii="Calibri" w:hAnsi="Calibri"/>
                <w:color w:val="1A1A2E"/>
                <w:sz w:val="20"/>
              </w:rPr>
              <w:t>Yes. iteria uses onshore and offshore resources. All access is through a centralized, secured project repository. Client network access governed by client security policy.</w:t>
            </w:r>
          </w:p>
        </w:tc>
      </w:tr>
      <w:tr>
        <w:tc>
          <w:tcPr>
            <w:tcW w:w="4680" w:type="dxa"/>
            <w:shd w:val="clear" w:color="auto" w:fill="FFFFFF"/>
          </w:tcPr>
          <w:p>
            <w:pPr>
              <w:spacing w:before="40" w:after="40"/>
            </w:pPr>
            <w:r/>
            <w:r>
              <w:rPr>
                <w:rFonts w:ascii="Calibri" w:hAnsi="Calibri"/>
                <w:color w:val="1A1A2E"/>
                <w:sz w:val="20"/>
              </w:rPr>
              <w:t>Where are Oracle data centers located?</w:t>
            </w:r>
          </w:p>
        </w:tc>
        <w:tc>
          <w:tcPr>
            <w:tcW w:w="4680" w:type="dxa"/>
            <w:shd w:val="clear" w:color="auto" w:fill="FFFFFF"/>
          </w:tcPr>
          <w:p>
            <w:pPr>
              <w:spacing w:before="40" w:after="40"/>
            </w:pPr>
            <w:r/>
            <w:r>
              <w:rPr>
                <w:rFonts w:ascii="Calibri" w:hAnsi="Calibri"/>
                <w:color w:val="1A1A2E"/>
                <w:sz w:val="20"/>
              </w:rPr>
              <w:t>US data centers in Ashburn, VA and Phoenix, AZ. Oracle maintains N+1 redundancy on all critical infrastructure.</w:t>
            </w:r>
          </w:p>
        </w:tc>
      </w:tr>
      <w:tr>
        <w:tc>
          <w:tcPr>
            <w:tcW w:w="4680" w:type="dxa"/>
            <w:shd w:val="clear" w:color="auto" w:fill="F4F4F8"/>
          </w:tcPr>
          <w:p>
            <w:pPr>
              <w:spacing w:before="40" w:after="40"/>
            </w:pPr>
            <w:r/>
            <w:r>
              <w:rPr>
                <w:rFonts w:ascii="Calibri" w:hAnsi="Calibri"/>
                <w:color w:val="1A1A2E"/>
                <w:sz w:val="20"/>
              </w:rPr>
              <w:t>Is data encrypted at rest and in transit?</w:t>
            </w:r>
          </w:p>
        </w:tc>
        <w:tc>
          <w:tcPr>
            <w:tcW w:w="4680" w:type="dxa"/>
            <w:shd w:val="clear" w:color="auto" w:fill="F4F4F8"/>
          </w:tcPr>
          <w:p>
            <w:pPr>
              <w:spacing w:before="40" w:after="40"/>
            </w:pPr>
            <w:r/>
            <w:r>
              <w:rPr>
                <w:rFonts w:ascii="Calibri" w:hAnsi="Calibri"/>
                <w:color w:val="1A1A2E"/>
                <w:sz w:val="20"/>
              </w:rPr>
              <w:t>Yes. AES-256 encryption at rest. TLS 1.2+ in transit. All data logically segregated by tenant.</w:t>
            </w:r>
          </w:p>
        </w:tc>
      </w:tr>
      <w:tr>
        <w:tc>
          <w:tcPr>
            <w:tcW w:w="4680" w:type="dxa"/>
            <w:shd w:val="clear" w:color="auto" w:fill="FFFFFF"/>
          </w:tcPr>
          <w:p>
            <w:pPr>
              <w:spacing w:before="40" w:after="40"/>
            </w:pPr>
            <w:r/>
            <w:r>
              <w:rPr>
                <w:rFonts w:ascii="Calibri" w:hAnsi="Calibri"/>
                <w:color w:val="1A1A2E"/>
                <w:sz w:val="20"/>
              </w:rPr>
              <w:t>What compliance certifications does Oracle hold?</w:t>
            </w:r>
          </w:p>
        </w:tc>
        <w:tc>
          <w:tcPr>
            <w:tcW w:w="4680" w:type="dxa"/>
            <w:shd w:val="clear" w:color="auto" w:fill="FFFFFF"/>
          </w:tcPr>
          <w:p>
            <w:pPr>
              <w:spacing w:before="40" w:after="40"/>
            </w:pPr>
            <w:r/>
            <w:r>
              <w:rPr>
                <w:rFonts w:ascii="Calibri" w:hAnsi="Calibri"/>
                <w:color w:val="1A1A2E"/>
                <w:sz w:val="20"/>
              </w:rPr>
              <w:t>SOC 1 Type II, SOC 2 Type II, ISO 27001, FedRAMP Moderate, NIST 800-53, NIST 800-171, FISMA. Full list available under separate cover from Oracle.</w:t>
            </w:r>
          </w:p>
        </w:tc>
      </w:tr>
      <w:tr>
        <w:tc>
          <w:tcPr>
            <w:tcW w:w="4680" w:type="dxa"/>
            <w:shd w:val="clear" w:color="auto" w:fill="F4F4F8"/>
          </w:tcPr>
          <w:p>
            <w:pPr>
              <w:spacing w:before="40" w:after="40"/>
            </w:pPr>
            <w:r/>
            <w:r>
              <w:rPr>
                <w:rFonts w:ascii="Calibri" w:hAnsi="Calibri"/>
                <w:color w:val="1A1A2E"/>
                <w:sz w:val="20"/>
              </w:rPr>
              <w:t>What is Oracle's uptime SLA?</w:t>
            </w:r>
          </w:p>
        </w:tc>
        <w:tc>
          <w:tcPr>
            <w:tcW w:w="4680" w:type="dxa"/>
            <w:shd w:val="clear" w:color="auto" w:fill="F4F4F8"/>
          </w:tcPr>
          <w:p>
            <w:pPr>
              <w:spacing w:before="40" w:after="40"/>
            </w:pPr>
            <w:r/>
            <w:r>
              <w:rPr>
                <w:rFonts w:ascii="Calibri" w:hAnsi="Calibri"/>
                <w:color w:val="1A1A2E"/>
                <w:sz w:val="20"/>
              </w:rPr>
              <w:t>Oracle targets 99.5% uptime. Average application response time target: under 2 seconds for 90% of HTTP requests across Fusion ERP and HCM.</w:t>
            </w:r>
          </w:p>
        </w:tc>
      </w:tr>
      <w:tr>
        <w:tc>
          <w:tcPr>
            <w:tcW w:w="4680" w:type="dxa"/>
            <w:shd w:val="clear" w:color="auto" w:fill="FFFFFF"/>
          </w:tcPr>
          <w:p>
            <w:pPr>
              <w:spacing w:before="40" w:after="40"/>
            </w:pPr>
            <w:r/>
            <w:r>
              <w:rPr>
                <w:rFonts w:ascii="Calibri" w:hAnsi="Calibri"/>
                <w:color w:val="1A1A2E"/>
                <w:sz w:val="20"/>
              </w:rPr>
              <w:t>How is client data returned at contract end?</w:t>
            </w:r>
          </w:p>
        </w:tc>
        <w:tc>
          <w:tcPr>
            <w:tcW w:w="4680" w:type="dxa"/>
            <w:shd w:val="clear" w:color="auto" w:fill="FFFFFF"/>
          </w:tcPr>
          <w:p>
            <w:pPr>
              <w:spacing w:before="40" w:after="40"/>
            </w:pPr>
            <w:r/>
            <w:r>
              <w:rPr>
                <w:rFonts w:ascii="Calibri" w:hAnsi="Calibri"/>
                <w:color w:val="1A1A2E"/>
                <w:sz w:val="20"/>
              </w:rPr>
              <w:t>Client owns all data. Oracle provides data export in standard formats. No fees for data export under standard Oracle agreements.</w:t>
            </w:r>
          </w:p>
        </w:tc>
      </w:tr>
      <w:tr>
        <w:tc>
          <w:tcPr>
            <w:tcW w:w="4680" w:type="dxa"/>
            <w:shd w:val="clear" w:color="auto" w:fill="F4F4F8"/>
          </w:tcPr>
          <w:p>
            <w:pPr>
              <w:spacing w:before="40" w:after="40"/>
            </w:pPr>
            <w:r/>
            <w:r>
              <w:rPr>
                <w:rFonts w:ascii="Calibri" w:hAnsi="Calibri"/>
                <w:color w:val="1A1A2E"/>
                <w:sz w:val="20"/>
              </w:rPr>
              <w:t>Is disaster recovery included?</w:t>
            </w:r>
          </w:p>
        </w:tc>
        <w:tc>
          <w:tcPr>
            <w:tcW w:w="4680" w:type="dxa"/>
            <w:shd w:val="clear" w:color="auto" w:fill="F4F4F8"/>
          </w:tcPr>
          <w:p>
            <w:pPr>
              <w:spacing w:before="40" w:after="40"/>
            </w:pPr>
            <w:r/>
            <w:r>
              <w:rPr>
                <w:rFonts w:ascii="Calibri" w:hAnsi="Calibri"/>
                <w:color w:val="1A1A2E"/>
                <w:sz w:val="20"/>
              </w:rPr>
              <w:t>Yes. Oracle Cloud includes built-in DR with geographic redundancy across US data centers. DR details available from Oracle under NDA.</w:t>
            </w:r>
          </w:p>
        </w:tc>
      </w:tr>
    </w:tbl>
    <w:p/>
    <w:p>
      <w:pPr>
        <w:spacing w:before="0" w:after="100" w:line="276" w:lineRule="auto"/>
        <w:jc w:val="left"/>
      </w:pPr>
      <w:r>
        <w:rPr>
          <w:rFonts w:ascii="Calibri" w:hAnsi="Calibri"/>
          <w:b w:val="0"/>
          <w:i w:val="0"/>
          <w:color w:val="1A1A2E"/>
          <w:sz w:val="22"/>
        </w:rPr>
        <w:t>Architecture details beyond what is listed here are proprietary to Oracle and can be discussed under separate cover / NDA with Oracle Corporation.</w:t>
      </w:r>
    </w:p>
    <w:p>
      <w:pPr>
        <w:spacing w:before="120" w:after="60"/>
      </w:pPr>
      <w:r>
        <w:rPr>
          <w:rFonts w:ascii="Calibri" w:hAnsi="Calibri"/>
          <w:b/>
          <w:i w:val="0"/>
          <w:color w:val="1A1A2E"/>
          <w:sz w:val="24"/>
        </w:rPr>
        <w:t>Tab 1 — Subcontractor Certification</w:t>
      </w:r>
    </w:p>
    <w:p>
      <w:pPr>
        <w:spacing w:before="0" w:after="100" w:line="276" w:lineRule="auto"/>
        <w:jc w:val="left"/>
      </w:pPr>
      <w:r>
        <w:rPr>
          <w:rFonts w:ascii="Calibri" w:hAnsi="Calibri"/>
          <w:b w:val="0"/>
          <w:i w:val="0"/>
          <w:color w:val="1A1A2E"/>
          <w:sz w:val="22"/>
        </w:rPr>
        <w:t>Standard subcontractor table. Confirm partner names and contacts for each engagement before submission.</w:t>
      </w:r>
    </w:p>
    <w:tbl>
      <w:tblPr>
        <w:tblW w:type="auto" w:w="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1560"/>
        <w:gridCol w:w="1560"/>
        <w:gridCol w:w="1560"/>
        <w:gridCol w:w="1560"/>
        <w:gridCol w:w="1560"/>
        <w:gridCol w:w="1560"/>
      </w:tblGrid>
      <w:tr>
        <w:tc>
          <w:tcPr>
            <w:tcW w:w="1560" w:type="dxa"/>
            <w:shd w:val="clear" w:color="auto" w:fill="1A1A2E"/>
          </w:tcPr>
          <w:p>
            <w:pPr>
              <w:spacing w:before="40" w:after="40"/>
            </w:pPr>
            <w:r/>
            <w:r>
              <w:rPr>
                <w:rFonts w:ascii="Calibri" w:hAnsi="Calibri"/>
                <w:b/>
                <w:color w:val="FFFFFF"/>
                <w:sz w:val="20"/>
              </w:rPr>
              <w:t>Entity</w:t>
            </w:r>
          </w:p>
        </w:tc>
        <w:tc>
          <w:tcPr>
            <w:tcW w:w="1560" w:type="dxa"/>
            <w:shd w:val="clear" w:color="auto" w:fill="1A1A2E"/>
          </w:tcPr>
          <w:p>
            <w:pPr>
              <w:spacing w:before="40" w:after="40"/>
            </w:pPr>
            <w:r/>
            <w:r>
              <w:rPr>
                <w:rFonts w:ascii="Calibri" w:hAnsi="Calibri"/>
                <w:b/>
                <w:color w:val="FFFFFF"/>
                <w:sz w:val="20"/>
              </w:rPr>
              <w:t>Company</w:t>
            </w:r>
          </w:p>
        </w:tc>
        <w:tc>
          <w:tcPr>
            <w:tcW w:w="1560" w:type="dxa"/>
            <w:shd w:val="clear" w:color="auto" w:fill="1A1A2E"/>
          </w:tcPr>
          <w:p>
            <w:pPr>
              <w:spacing w:before="40" w:after="40"/>
            </w:pPr>
            <w:r/>
            <w:r>
              <w:rPr>
                <w:rFonts w:ascii="Calibri" w:hAnsi="Calibri"/>
                <w:b/>
                <w:color w:val="FFFFFF"/>
                <w:sz w:val="20"/>
              </w:rPr>
              <w:t>Representative</w:t>
            </w:r>
          </w:p>
        </w:tc>
        <w:tc>
          <w:tcPr>
            <w:tcW w:w="1560" w:type="dxa"/>
            <w:shd w:val="clear" w:color="auto" w:fill="1A1A2E"/>
          </w:tcPr>
          <w:p>
            <w:pPr>
              <w:spacing w:before="40" w:after="40"/>
            </w:pPr>
            <w:r/>
            <w:r>
              <w:rPr>
                <w:rFonts w:ascii="Calibri" w:hAnsi="Calibri"/>
                <w:b/>
                <w:color w:val="FFFFFF"/>
                <w:sz w:val="20"/>
              </w:rPr>
              <w:t>Title</w:t>
            </w:r>
          </w:p>
        </w:tc>
        <w:tc>
          <w:tcPr>
            <w:tcW w:w="1560" w:type="dxa"/>
            <w:shd w:val="clear" w:color="auto" w:fill="1A1A2E"/>
          </w:tcPr>
          <w:p>
            <w:pPr>
              <w:spacing w:before="40" w:after="40"/>
            </w:pPr>
            <w:r/>
            <w:r>
              <w:rPr>
                <w:rFonts w:ascii="Calibri" w:hAnsi="Calibri"/>
                <w:b/>
                <w:color w:val="FFFFFF"/>
                <w:sz w:val="20"/>
              </w:rPr>
              <w:t>Phone</w:t>
            </w:r>
          </w:p>
        </w:tc>
        <w:tc>
          <w:tcPr>
            <w:tcW w:w="1560" w:type="dxa"/>
            <w:shd w:val="clear" w:color="auto" w:fill="1A1A2E"/>
          </w:tcPr>
          <w:p>
            <w:pPr>
              <w:spacing w:before="40" w:after="40"/>
            </w:pPr>
            <w:r/>
            <w:r>
              <w:rPr>
                <w:rFonts w:ascii="Calibri" w:hAnsi="Calibri"/>
                <w:b/>
                <w:color w:val="FFFFFF"/>
                <w:sz w:val="20"/>
              </w:rPr>
              <w:t>Email</w:t>
            </w:r>
          </w:p>
        </w:tc>
      </w:tr>
      <w:tr>
        <w:tc>
          <w:tcPr>
            <w:tcW w:w="1560" w:type="dxa"/>
            <w:shd w:val="clear" w:color="auto" w:fill="FFFFFF"/>
          </w:tcPr>
          <w:p>
            <w:pPr>
              <w:spacing w:before="40" w:after="40"/>
            </w:pPr>
            <w:r/>
            <w:r>
              <w:rPr>
                <w:rFonts w:ascii="Calibri" w:hAnsi="Calibri"/>
                <w:color w:val="1A1A2E"/>
                <w:sz w:val="20"/>
              </w:rPr>
              <w:t>Proposer</w:t>
            </w:r>
          </w:p>
        </w:tc>
        <w:tc>
          <w:tcPr>
            <w:tcW w:w="1560" w:type="dxa"/>
            <w:shd w:val="clear" w:color="auto" w:fill="FFFFFF"/>
          </w:tcPr>
          <w:p>
            <w:pPr>
              <w:spacing w:before="40" w:after="40"/>
            </w:pPr>
            <w:r/>
            <w:r>
              <w:rPr>
                <w:rFonts w:ascii="Calibri" w:hAnsi="Calibri"/>
                <w:color w:val="1A1A2E"/>
                <w:sz w:val="20"/>
              </w:rPr>
              <w:t>iteria.us</w:t>
            </w:r>
          </w:p>
        </w:tc>
        <w:tc>
          <w:tcPr>
            <w:tcW w:w="1560" w:type="dxa"/>
            <w:shd w:val="clear" w:color="auto" w:fill="FFFFFF"/>
          </w:tcPr>
          <w:p>
            <w:pPr>
              <w:spacing w:before="40" w:after="40"/>
            </w:pPr>
            <w:r/>
            <w:r>
              <w:rPr>
                <w:rFonts w:ascii="Calibri" w:hAnsi="Calibri"/>
                <w:color w:val="1A1A2E"/>
                <w:sz w:val="20"/>
              </w:rPr>
              <w:t>Brian Schell</w:t>
            </w:r>
          </w:p>
        </w:tc>
        <w:tc>
          <w:tcPr>
            <w:tcW w:w="1560" w:type="dxa"/>
            <w:shd w:val="clear" w:color="auto" w:fill="FFFFFF"/>
          </w:tcPr>
          <w:p>
            <w:pPr>
              <w:spacing w:before="40" w:after="40"/>
            </w:pPr>
            <w:r/>
            <w:r>
              <w:rPr>
                <w:rFonts w:ascii="Calibri" w:hAnsi="Calibri"/>
                <w:color w:val="1A1A2E"/>
                <w:sz w:val="20"/>
              </w:rPr>
              <w:t>President &amp; CEO</w:t>
            </w:r>
          </w:p>
        </w:tc>
        <w:tc>
          <w:tcPr>
            <w:tcW w:w="1560" w:type="dxa"/>
            <w:shd w:val="clear" w:color="auto" w:fill="FFFFFF"/>
          </w:tcPr>
          <w:p>
            <w:pPr>
              <w:spacing w:before="40" w:after="40"/>
            </w:pPr>
            <w:r/>
            <w:r>
              <w:rPr>
                <w:rFonts w:ascii="Calibri" w:hAnsi="Calibri"/>
                <w:color w:val="1A1A2E"/>
                <w:sz w:val="20"/>
              </w:rPr>
              <w:t>630-240-4072</w:t>
            </w:r>
          </w:p>
        </w:tc>
        <w:tc>
          <w:tcPr>
            <w:tcW w:w="1560" w:type="dxa"/>
            <w:shd w:val="clear" w:color="auto" w:fill="FFFFFF"/>
          </w:tcPr>
          <w:p>
            <w:pPr>
              <w:spacing w:before="40" w:after="40"/>
            </w:pPr>
            <w:r/>
            <w:r>
              <w:rPr>
                <w:rFonts w:ascii="Calibri" w:hAnsi="Calibri"/>
                <w:color w:val="1A1A2E"/>
                <w:sz w:val="20"/>
              </w:rPr>
              <w:t>brian.schell@iteria.us</w:t>
            </w:r>
          </w:p>
        </w:tc>
      </w:tr>
      <w:tr>
        <w:tc>
          <w:tcPr>
            <w:tcW w:w="1560" w:type="dxa"/>
            <w:shd w:val="clear" w:color="auto" w:fill="F4F4F8"/>
          </w:tcPr>
          <w:p>
            <w:pPr>
              <w:spacing w:before="40" w:after="40"/>
            </w:pPr>
            <w:r/>
            <w:r>
              <w:rPr>
                <w:rFonts w:ascii="Calibri" w:hAnsi="Calibri"/>
                <w:color w:val="1A1A2E"/>
                <w:sz w:val="20"/>
              </w:rPr>
              <w:t>Software Partner</w:t>
            </w:r>
          </w:p>
        </w:tc>
        <w:tc>
          <w:tcPr>
            <w:tcW w:w="1560" w:type="dxa"/>
            <w:shd w:val="clear" w:color="auto" w:fill="F4F4F8"/>
          </w:tcPr>
          <w:p>
            <w:pPr>
              <w:spacing w:before="40" w:after="40"/>
            </w:pPr>
            <w:r/>
            <w:r>
              <w:rPr>
                <w:rFonts w:ascii="Calibri" w:hAnsi="Calibri"/>
                <w:color w:val="1A1A2E"/>
                <w:sz w:val="20"/>
              </w:rPr>
              <w:t>Oracle Corporation</w:t>
            </w:r>
          </w:p>
        </w:tc>
        <w:tc>
          <w:tcPr>
            <w:tcW w:w="1560" w:type="dxa"/>
            <w:shd w:val="clear" w:color="auto" w:fill="F4F4F8"/>
          </w:tcPr>
          <w:p>
            <w:pPr>
              <w:spacing w:before="40" w:after="40"/>
            </w:pPr>
            <w:r/>
            <w:r>
              <w:rPr>
                <w:rFonts w:ascii="Calibri" w:hAnsi="Calibri"/>
                <w:color w:val="1A1A2E"/>
                <w:sz w:val="20"/>
              </w:rPr>
              <w:t>Craig Loechler</w:t>
            </w:r>
          </w:p>
        </w:tc>
        <w:tc>
          <w:tcPr>
            <w:tcW w:w="1560" w:type="dxa"/>
            <w:shd w:val="clear" w:color="auto" w:fill="F4F4F8"/>
          </w:tcPr>
          <w:p>
            <w:pPr>
              <w:spacing w:before="40" w:after="40"/>
            </w:pPr>
            <w:r/>
            <w:r>
              <w:rPr>
                <w:rFonts w:ascii="Calibri" w:hAnsi="Calibri"/>
                <w:color w:val="1A1A2E"/>
                <w:sz w:val="20"/>
              </w:rPr>
              <w:t>Local Government Applications</w:t>
            </w:r>
          </w:p>
        </w:tc>
        <w:tc>
          <w:tcPr>
            <w:tcW w:w="1560" w:type="dxa"/>
            <w:shd w:val="clear" w:color="auto" w:fill="F4F4F8"/>
          </w:tcPr>
          <w:p>
            <w:pPr>
              <w:spacing w:before="40" w:after="40"/>
            </w:pPr>
            <w:r/>
            <w:r>
              <w:rPr>
                <w:rFonts w:ascii="Calibri" w:hAnsi="Calibri"/>
                <w:color w:val="1A1A2E"/>
                <w:sz w:val="20"/>
              </w:rPr>
              <w:t>507-272-9460</w:t>
            </w:r>
          </w:p>
        </w:tc>
        <w:tc>
          <w:tcPr>
            <w:tcW w:w="1560" w:type="dxa"/>
            <w:shd w:val="clear" w:color="auto" w:fill="F4F4F8"/>
          </w:tcPr>
          <w:p>
            <w:pPr>
              <w:spacing w:before="40" w:after="40"/>
            </w:pPr>
            <w:r/>
            <w:r>
              <w:rPr>
                <w:rFonts w:ascii="Calibri" w:hAnsi="Calibri"/>
                <w:color w:val="1A1A2E"/>
                <w:sz w:val="20"/>
              </w:rPr>
              <w:t>craig.loechler@oracle.com</w:t>
            </w:r>
          </w:p>
        </w:tc>
      </w:tr>
      <w:tr>
        <w:tc>
          <w:tcPr>
            <w:tcW w:w="1560" w:type="dxa"/>
            <w:shd w:val="clear" w:color="auto" w:fill="FFFFFF"/>
          </w:tcPr>
          <w:p>
            <w:pPr>
              <w:spacing w:before="40" w:after="40"/>
            </w:pPr>
            <w:r/>
            <w:r>
              <w:rPr>
                <w:rFonts w:ascii="Calibri" w:hAnsi="Calibri"/>
                <w:color w:val="1A1A2E"/>
                <w:sz w:val="20"/>
              </w:rPr>
              <w:t>Software Reseller</w:t>
            </w:r>
          </w:p>
        </w:tc>
        <w:tc>
          <w:tcPr>
            <w:tcW w:w="1560" w:type="dxa"/>
            <w:shd w:val="clear" w:color="auto" w:fill="FFFFFF"/>
          </w:tcPr>
          <w:p>
            <w:pPr>
              <w:spacing w:before="40" w:after="40"/>
            </w:pPr>
            <w:r/>
            <w:r>
              <w:rPr>
                <w:rFonts w:ascii="Calibri" w:hAnsi="Calibri"/>
                <w:color w:val="1A1A2E"/>
                <w:sz w:val="20"/>
              </w:rPr>
              <w:t>Mythics LLC</w:t>
            </w:r>
          </w:p>
        </w:tc>
        <w:tc>
          <w:tcPr>
            <w:tcW w:w="1560" w:type="dxa"/>
            <w:shd w:val="clear" w:color="auto" w:fill="FFFFFF"/>
          </w:tcPr>
          <w:p>
            <w:pPr>
              <w:spacing w:before="40" w:after="40"/>
            </w:pPr>
            <w:r/>
            <w:r>
              <w:rPr>
                <w:rFonts w:ascii="Calibri" w:hAnsi="Calibri"/>
                <w:color w:val="1A1A2E"/>
                <w:sz w:val="20"/>
              </w:rPr>
              <w:t>[Contact TBD]</w:t>
            </w:r>
          </w:p>
        </w:tc>
        <w:tc>
          <w:tcPr>
            <w:tcW w:w="1560" w:type="dxa"/>
            <w:shd w:val="clear" w:color="auto" w:fill="FFFFFF"/>
          </w:tcPr>
          <w:p>
            <w:pPr>
              <w:spacing w:before="40" w:after="40"/>
            </w:pPr>
            <w:r/>
            <w:r>
              <w:rPr>
                <w:rFonts w:ascii="Calibri" w:hAnsi="Calibri"/>
                <w:color w:val="1A1A2E"/>
                <w:sz w:val="20"/>
              </w:rPr>
              <w:t>Account Executive</w:t>
            </w:r>
          </w:p>
        </w:tc>
        <w:tc>
          <w:tcPr>
            <w:tcW w:w="1560" w:type="dxa"/>
            <w:shd w:val="clear" w:color="auto" w:fill="FFFFFF"/>
          </w:tcPr>
          <w:p>
            <w:pPr>
              <w:spacing w:before="40" w:after="40"/>
            </w:pPr>
            <w:r/>
            <w:r>
              <w:rPr>
                <w:rFonts w:ascii="Calibri" w:hAnsi="Calibri"/>
                <w:color w:val="1A1A2E"/>
                <w:sz w:val="20"/>
              </w:rPr>
              <w:t>—</w:t>
            </w:r>
          </w:p>
        </w:tc>
        <w:tc>
          <w:tcPr>
            <w:tcW w:w="1560" w:type="dxa"/>
            <w:shd w:val="clear" w:color="auto" w:fill="FFFFFF"/>
          </w:tcPr>
          <w:p>
            <w:pPr>
              <w:spacing w:before="40" w:after="40"/>
            </w:pPr>
            <w:r/>
            <w:r>
              <w:rPr>
                <w:rFonts w:ascii="Calibri" w:hAnsi="Calibri"/>
                <w:color w:val="1A1A2E"/>
                <w:sz w:val="20"/>
              </w:rPr>
              <w:t>—</w:t>
            </w:r>
          </w:p>
        </w:tc>
      </w:tr>
      <w:tr>
        <w:tc>
          <w:tcPr>
            <w:tcW w:w="1560" w:type="dxa"/>
            <w:shd w:val="clear" w:color="auto" w:fill="F4F4F8"/>
          </w:tcPr>
          <w:p>
            <w:pPr>
              <w:spacing w:before="40" w:after="40"/>
            </w:pPr>
            <w:r/>
            <w:r>
              <w:rPr>
                <w:rFonts w:ascii="Calibri" w:hAnsi="Calibri"/>
                <w:color w:val="1A1A2E"/>
                <w:sz w:val="20"/>
              </w:rPr>
              <w:t>Teller (if in scope)</w:t>
            </w:r>
          </w:p>
        </w:tc>
        <w:tc>
          <w:tcPr>
            <w:tcW w:w="1560" w:type="dxa"/>
            <w:shd w:val="clear" w:color="auto" w:fill="F4F4F8"/>
          </w:tcPr>
          <w:p>
            <w:pPr>
              <w:spacing w:before="40" w:after="40"/>
            </w:pPr>
            <w:r/>
            <w:r>
              <w:rPr>
                <w:rFonts w:ascii="Calibri" w:hAnsi="Calibri"/>
                <w:color w:val="1A1A2E"/>
                <w:sz w:val="20"/>
              </w:rPr>
              <w:t>CanAm Technologies, Inc.</w:t>
            </w:r>
          </w:p>
        </w:tc>
        <w:tc>
          <w:tcPr>
            <w:tcW w:w="1560" w:type="dxa"/>
            <w:shd w:val="clear" w:color="auto" w:fill="F4F4F8"/>
          </w:tcPr>
          <w:p>
            <w:pPr>
              <w:spacing w:before="40" w:after="40"/>
            </w:pPr>
            <w:r/>
            <w:r>
              <w:rPr>
                <w:rFonts w:ascii="Calibri" w:hAnsi="Calibri"/>
                <w:color w:val="1A1A2E"/>
                <w:sz w:val="20"/>
              </w:rPr>
              <w:t>Jim Blair</w:t>
            </w:r>
          </w:p>
        </w:tc>
        <w:tc>
          <w:tcPr>
            <w:tcW w:w="1560" w:type="dxa"/>
            <w:shd w:val="clear" w:color="auto" w:fill="F4F4F8"/>
          </w:tcPr>
          <w:p>
            <w:pPr>
              <w:spacing w:before="40" w:after="40"/>
            </w:pPr>
            <w:r/>
            <w:r>
              <w:rPr>
                <w:rFonts w:ascii="Calibri" w:hAnsi="Calibri"/>
                <w:color w:val="1A1A2E"/>
                <w:sz w:val="20"/>
              </w:rPr>
              <w:t>Director of Sales</w:t>
            </w:r>
          </w:p>
        </w:tc>
        <w:tc>
          <w:tcPr>
            <w:tcW w:w="1560" w:type="dxa"/>
            <w:shd w:val="clear" w:color="auto" w:fill="F4F4F8"/>
          </w:tcPr>
          <w:p>
            <w:pPr>
              <w:spacing w:before="40" w:after="40"/>
            </w:pPr>
            <w:r/>
            <w:r>
              <w:rPr>
                <w:rFonts w:ascii="Calibri" w:hAnsi="Calibri"/>
                <w:color w:val="1A1A2E"/>
                <w:sz w:val="20"/>
              </w:rPr>
              <w:t>(919) 346-4090</w:t>
            </w:r>
          </w:p>
        </w:tc>
        <w:tc>
          <w:tcPr>
            <w:tcW w:w="1560" w:type="dxa"/>
            <w:shd w:val="clear" w:color="auto" w:fill="F4F4F8"/>
          </w:tcPr>
          <w:p>
            <w:pPr>
              <w:spacing w:before="40" w:after="40"/>
            </w:pPr>
            <w:r/>
            <w:r>
              <w:rPr>
                <w:rFonts w:ascii="Calibri" w:hAnsi="Calibri"/>
                <w:color w:val="1A1A2E"/>
                <w:sz w:val="20"/>
              </w:rPr>
              <w:t>Jim.Blair@canamtechnologies.com</w:t>
            </w:r>
          </w:p>
        </w:tc>
      </w:tr>
    </w:tbl>
    <w:p/>
    <w:p>
      <w:pPr>
        <w:spacing w:before="0" w:after="100" w:line="276" w:lineRule="auto"/>
        <w:jc w:val="left"/>
      </w:pPr>
      <w:r>
        <w:rPr>
          <w:rFonts w:ascii="Calibri" w:hAnsi="Calibri"/>
          <w:b w:val="0"/>
          <w:i w:val="0"/>
          <w:color w:val="1A1A2E"/>
          <w:sz w:val="22"/>
        </w:rPr>
        <w:t>CanAm Technologies only included when Teller cashiering is in scope. Mythics contact updated per engagement. Oracle contact confirmed with local rep.</w:t>
      </w:r>
    </w:p>
    <w:p>
      <w:pPr>
        <w:spacing w:before="120" w:after="60"/>
      </w:pPr>
      <w:r>
        <w:rPr>
          <w:rFonts w:ascii="Calibri" w:hAnsi="Calibri"/>
          <w:b/>
          <w:i w:val="0"/>
          <w:color w:val="1A1A2E"/>
          <w:sz w:val="24"/>
        </w:rPr>
        <w:t>Tab 9 — Testing: Phase Definitions</w:t>
      </w:r>
    </w:p>
    <w:p>
      <w:pPr>
        <w:spacing w:before="0" w:after="100" w:line="276" w:lineRule="auto"/>
        <w:jc w:val="left"/>
      </w:pPr>
      <w:r>
        <w:rPr>
          <w:rFonts w:ascii="Calibri" w:hAnsi="Calibri"/>
          <w:b w:val="0"/>
          <w:i w:val="0"/>
          <w:color w:val="1A1A2E"/>
          <w:sz w:val="22"/>
        </w:rPr>
        <w:t>Standard testing phase summary used across all iteria RFP responses. Customize entry/exit criteria for client-specific requirements.</w:t>
      </w:r>
    </w:p>
    <w:tbl>
      <w:tblPr>
        <w:tblW w:type="auto" w:w="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2340"/>
        <w:gridCol w:w="2340"/>
        <w:gridCol w:w="2340"/>
        <w:gridCol w:w="2340"/>
      </w:tblGrid>
      <w:tr>
        <w:tc>
          <w:tcPr>
            <w:tcW w:w="2340" w:type="dxa"/>
            <w:shd w:val="clear" w:color="auto" w:fill="1A1A2E"/>
          </w:tcPr>
          <w:p>
            <w:pPr>
              <w:spacing w:before="40" w:after="40"/>
            </w:pPr>
            <w:r/>
            <w:r>
              <w:rPr>
                <w:rFonts w:ascii="Calibri" w:hAnsi="Calibri"/>
                <w:b/>
                <w:color w:val="FFFFFF"/>
                <w:sz w:val="20"/>
              </w:rPr>
              <w:t>Phase</w:t>
            </w:r>
          </w:p>
        </w:tc>
        <w:tc>
          <w:tcPr>
            <w:tcW w:w="2340" w:type="dxa"/>
            <w:shd w:val="clear" w:color="auto" w:fill="1A1A2E"/>
          </w:tcPr>
          <w:p>
            <w:pPr>
              <w:spacing w:before="40" w:after="40"/>
            </w:pPr>
            <w:r/>
            <w:r>
              <w:rPr>
                <w:rFonts w:ascii="Calibri" w:hAnsi="Calibri"/>
                <w:b/>
                <w:color w:val="FFFFFF"/>
                <w:sz w:val="20"/>
              </w:rPr>
              <w:t>Objective</w:t>
            </w:r>
          </w:p>
        </w:tc>
        <w:tc>
          <w:tcPr>
            <w:tcW w:w="2340" w:type="dxa"/>
            <w:shd w:val="clear" w:color="auto" w:fill="1A1A2E"/>
          </w:tcPr>
          <w:p>
            <w:pPr>
              <w:spacing w:before="40" w:after="40"/>
            </w:pPr>
            <w:r/>
            <w:r>
              <w:rPr>
                <w:rFonts w:ascii="Calibri" w:hAnsi="Calibri"/>
                <w:b/>
                <w:color w:val="FFFFFF"/>
                <w:sz w:val="20"/>
              </w:rPr>
              <w:t>Approach</w:t>
            </w:r>
          </w:p>
        </w:tc>
        <w:tc>
          <w:tcPr>
            <w:tcW w:w="2340" w:type="dxa"/>
            <w:shd w:val="clear" w:color="auto" w:fill="1A1A2E"/>
          </w:tcPr>
          <w:p>
            <w:pPr>
              <w:spacing w:before="40" w:after="40"/>
            </w:pPr>
            <w:r/>
            <w:r>
              <w:rPr>
                <w:rFonts w:ascii="Calibri" w:hAnsi="Calibri"/>
                <w:b/>
                <w:color w:val="FFFFFF"/>
                <w:sz w:val="20"/>
              </w:rPr>
              <w:t>Owner</w:t>
            </w:r>
          </w:p>
        </w:tc>
      </w:tr>
      <w:tr>
        <w:tc>
          <w:tcPr>
            <w:tcW w:w="2340" w:type="dxa"/>
            <w:shd w:val="clear" w:color="auto" w:fill="FFFFFF"/>
          </w:tcPr>
          <w:p>
            <w:pPr>
              <w:spacing w:before="40" w:after="40"/>
            </w:pPr>
            <w:r/>
            <w:r>
              <w:rPr>
                <w:rFonts w:ascii="Calibri" w:hAnsi="Calibri"/>
                <w:color w:val="1A1A2E"/>
                <w:sz w:val="20"/>
              </w:rPr>
              <w:t>CRP (Conference Room Pilot)</w:t>
            </w:r>
          </w:p>
        </w:tc>
        <w:tc>
          <w:tcPr>
            <w:tcW w:w="2340" w:type="dxa"/>
            <w:shd w:val="clear" w:color="auto" w:fill="FFFFFF"/>
          </w:tcPr>
          <w:p>
            <w:pPr>
              <w:spacing w:before="40" w:after="40"/>
            </w:pPr>
            <w:r/>
            <w:r>
              <w:rPr>
                <w:rFonts w:ascii="Calibri" w:hAnsi="Calibri"/>
                <w:color w:val="1A1A2E"/>
                <w:sz w:val="20"/>
              </w:rPr>
              <w:t>Validate business process flows and key configuration decisions with end users</w:t>
            </w:r>
          </w:p>
        </w:tc>
        <w:tc>
          <w:tcPr>
            <w:tcW w:w="2340" w:type="dxa"/>
            <w:shd w:val="clear" w:color="auto" w:fill="FFFFFF"/>
          </w:tcPr>
          <w:p>
            <w:pPr>
              <w:spacing w:before="40" w:after="40"/>
            </w:pPr>
            <w:r/>
            <w:r>
              <w:rPr>
                <w:rFonts w:ascii="Calibri" w:hAnsi="Calibri"/>
                <w:color w:val="1A1A2E"/>
                <w:sz w:val="20"/>
              </w:rPr>
              <w:t>Script-based walk-through of core business processes per module</w:t>
            </w:r>
          </w:p>
        </w:tc>
        <w:tc>
          <w:tcPr>
            <w:tcW w:w="2340" w:type="dxa"/>
            <w:shd w:val="clear" w:color="auto" w:fill="FFFFFF"/>
          </w:tcPr>
          <w:p>
            <w:pPr>
              <w:spacing w:before="40" w:after="40"/>
            </w:pPr>
            <w:r/>
            <w:r>
              <w:rPr>
                <w:rFonts w:ascii="Calibri" w:hAnsi="Calibri"/>
                <w:color w:val="1A1A2E"/>
                <w:sz w:val="20"/>
              </w:rPr>
              <w:t>iteria leads, client SMEs participate</w:t>
            </w:r>
          </w:p>
        </w:tc>
      </w:tr>
      <w:tr>
        <w:tc>
          <w:tcPr>
            <w:tcW w:w="2340" w:type="dxa"/>
            <w:shd w:val="clear" w:color="auto" w:fill="F4F4F8"/>
          </w:tcPr>
          <w:p>
            <w:pPr>
              <w:spacing w:before="40" w:after="40"/>
            </w:pPr>
            <w:r/>
            <w:r>
              <w:rPr>
                <w:rFonts w:ascii="Calibri" w:hAnsi="Calibri"/>
                <w:color w:val="1A1A2E"/>
                <w:sz w:val="20"/>
              </w:rPr>
              <w:t>SIT — System Integration Testing</w:t>
            </w:r>
          </w:p>
        </w:tc>
        <w:tc>
          <w:tcPr>
            <w:tcW w:w="2340" w:type="dxa"/>
            <w:shd w:val="clear" w:color="auto" w:fill="F4F4F8"/>
          </w:tcPr>
          <w:p>
            <w:pPr>
              <w:spacing w:before="40" w:after="40"/>
            </w:pPr>
            <w:r/>
            <w:r>
              <w:rPr>
                <w:rFonts w:ascii="Calibri" w:hAnsi="Calibri"/>
                <w:color w:val="1A1A2E"/>
                <w:sz w:val="20"/>
              </w:rPr>
              <w:t>Validate module-to-module integration, custom extensions, reports, and interfaces</w:t>
            </w:r>
          </w:p>
        </w:tc>
        <w:tc>
          <w:tcPr>
            <w:tcW w:w="2340" w:type="dxa"/>
            <w:shd w:val="clear" w:color="auto" w:fill="F4F4F8"/>
          </w:tcPr>
          <w:p>
            <w:pPr>
              <w:spacing w:before="40" w:after="40"/>
            </w:pPr>
            <w:r/>
            <w:r>
              <w:rPr>
                <w:rFonts w:ascii="Calibri" w:hAnsi="Calibri"/>
                <w:color w:val="1A1A2E"/>
                <w:sz w:val="20"/>
              </w:rPr>
              <w:t>2+ full iterations end-to-end across all in-scope modules and integrations</w:t>
            </w:r>
          </w:p>
        </w:tc>
        <w:tc>
          <w:tcPr>
            <w:tcW w:w="2340" w:type="dxa"/>
            <w:shd w:val="clear" w:color="auto" w:fill="F4F4F8"/>
          </w:tcPr>
          <w:p>
            <w:pPr>
              <w:spacing w:before="40" w:after="40"/>
            </w:pPr>
            <w:r/>
            <w:r>
              <w:rPr>
                <w:rFonts w:ascii="Calibri" w:hAnsi="Calibri"/>
                <w:color w:val="1A1A2E"/>
                <w:sz w:val="20"/>
              </w:rPr>
              <w:t>iteria leads, client tech team participates</w:t>
            </w:r>
          </w:p>
        </w:tc>
      </w:tr>
      <w:tr>
        <w:tc>
          <w:tcPr>
            <w:tcW w:w="2340" w:type="dxa"/>
            <w:shd w:val="clear" w:color="auto" w:fill="FFFFFF"/>
          </w:tcPr>
          <w:p>
            <w:pPr>
              <w:spacing w:before="40" w:after="40"/>
            </w:pPr>
            <w:r/>
            <w:r>
              <w:rPr>
                <w:rFonts w:ascii="Calibri" w:hAnsi="Calibri"/>
                <w:color w:val="1A1A2E"/>
                <w:sz w:val="20"/>
              </w:rPr>
              <w:t>UAT — User Acceptance Testing</w:t>
            </w:r>
          </w:p>
        </w:tc>
        <w:tc>
          <w:tcPr>
            <w:tcW w:w="2340" w:type="dxa"/>
            <w:shd w:val="clear" w:color="auto" w:fill="FFFFFF"/>
          </w:tcPr>
          <w:p>
            <w:pPr>
              <w:spacing w:before="40" w:after="40"/>
            </w:pPr>
            <w:r/>
            <w:r>
              <w:rPr>
                <w:rFonts w:ascii="Calibri" w:hAnsi="Calibri"/>
                <w:color w:val="1A1A2E"/>
                <w:sz w:val="20"/>
              </w:rPr>
              <w:t>Confirm all daily business activity is supported; final user sign-off before go-live</w:t>
            </w:r>
          </w:p>
        </w:tc>
        <w:tc>
          <w:tcPr>
            <w:tcW w:w="2340" w:type="dxa"/>
            <w:shd w:val="clear" w:color="auto" w:fill="FFFFFF"/>
          </w:tcPr>
          <w:p>
            <w:pPr>
              <w:spacing w:before="40" w:after="40"/>
            </w:pPr>
            <w:r/>
            <w:r>
              <w:rPr>
                <w:rFonts w:ascii="Calibri" w:hAnsi="Calibri"/>
                <w:color w:val="1A1A2E"/>
                <w:sz w:val="20"/>
              </w:rPr>
              <w:t>Test scenarios from SIT phase filtered to critical path; executed by client users</w:t>
            </w:r>
          </w:p>
        </w:tc>
        <w:tc>
          <w:tcPr>
            <w:tcW w:w="2340" w:type="dxa"/>
            <w:shd w:val="clear" w:color="auto" w:fill="FFFFFF"/>
          </w:tcPr>
          <w:p>
            <w:pPr>
              <w:spacing w:before="40" w:after="40"/>
            </w:pPr>
            <w:r/>
            <w:r>
              <w:rPr>
                <w:rFonts w:ascii="Calibri" w:hAnsi="Calibri"/>
                <w:color w:val="1A1A2E"/>
                <w:sz w:val="20"/>
              </w:rPr>
              <w:t>Client leads, iteria supports and tracks defects</w:t>
            </w:r>
          </w:p>
        </w:tc>
      </w:tr>
      <w:tr>
        <w:tc>
          <w:tcPr>
            <w:tcW w:w="2340" w:type="dxa"/>
            <w:shd w:val="clear" w:color="auto" w:fill="F4F4F8"/>
          </w:tcPr>
          <w:p>
            <w:pPr>
              <w:spacing w:before="40" w:after="40"/>
            </w:pPr>
            <w:r/>
            <w:r>
              <w:rPr>
                <w:rFonts w:ascii="Calibri" w:hAnsi="Calibri"/>
                <w:color w:val="1A1A2E"/>
                <w:sz w:val="20"/>
              </w:rPr>
              <w:t>Payroll Parallel Testing (if applicable)</w:t>
            </w:r>
          </w:p>
        </w:tc>
        <w:tc>
          <w:tcPr>
            <w:tcW w:w="2340" w:type="dxa"/>
            <w:shd w:val="clear" w:color="auto" w:fill="F4F4F8"/>
          </w:tcPr>
          <w:p>
            <w:pPr>
              <w:spacing w:before="40" w:after="40"/>
            </w:pPr>
            <w:r/>
            <w:r>
              <w:rPr>
                <w:rFonts w:ascii="Calibri" w:hAnsi="Calibri"/>
                <w:color w:val="1A1A2E"/>
                <w:sz w:val="20"/>
              </w:rPr>
              <w:t>Compare Fusion payroll output to legacy payroll for designated pay periods</w:t>
            </w:r>
          </w:p>
        </w:tc>
        <w:tc>
          <w:tcPr>
            <w:tcW w:w="2340" w:type="dxa"/>
            <w:shd w:val="clear" w:color="auto" w:fill="F4F4F8"/>
          </w:tcPr>
          <w:p>
            <w:pPr>
              <w:spacing w:before="40" w:after="40"/>
            </w:pPr>
            <w:r/>
            <w:r>
              <w:rPr>
                <w:rFonts w:ascii="Calibri" w:hAnsi="Calibri"/>
                <w:color w:val="1A1A2E"/>
                <w:sz w:val="20"/>
              </w:rPr>
              <w:t>Run parallel payroll cycles; document and resolve discrepancies before go-live</w:t>
            </w:r>
          </w:p>
        </w:tc>
        <w:tc>
          <w:tcPr>
            <w:tcW w:w="2340" w:type="dxa"/>
            <w:shd w:val="clear" w:color="auto" w:fill="F4F4F8"/>
          </w:tcPr>
          <w:p>
            <w:pPr>
              <w:spacing w:before="40" w:after="40"/>
            </w:pPr>
            <w:r/>
            <w:r>
              <w:rPr>
                <w:rFonts w:ascii="Calibri" w:hAnsi="Calibri"/>
                <w:color w:val="1A1A2E"/>
                <w:sz w:val="20"/>
              </w:rPr>
              <w:t>Client payroll team executes, iteria compares and resolves</w:t>
            </w:r>
          </w:p>
        </w:tc>
      </w:tr>
      <w:tr>
        <w:tc>
          <w:tcPr>
            <w:tcW w:w="2340" w:type="dxa"/>
            <w:shd w:val="clear" w:color="auto" w:fill="FFFFFF"/>
          </w:tcPr>
          <w:p>
            <w:pPr>
              <w:spacing w:before="40" w:after="40"/>
            </w:pPr>
            <w:r/>
            <w:r>
              <w:rPr>
                <w:rFonts w:ascii="Calibri" w:hAnsi="Calibri"/>
                <w:color w:val="1A1A2E"/>
                <w:sz w:val="20"/>
              </w:rPr>
              <w:t>Regression Testing</w:t>
            </w:r>
          </w:p>
        </w:tc>
        <w:tc>
          <w:tcPr>
            <w:tcW w:w="2340" w:type="dxa"/>
            <w:shd w:val="clear" w:color="auto" w:fill="FFFFFF"/>
          </w:tcPr>
          <w:p>
            <w:pPr>
              <w:spacing w:before="40" w:after="40"/>
            </w:pPr>
            <w:r/>
            <w:r>
              <w:rPr>
                <w:rFonts w:ascii="Calibri" w:hAnsi="Calibri"/>
                <w:color w:val="1A1A2E"/>
                <w:sz w:val="20"/>
              </w:rPr>
              <w:t>Validate that Oracle quarterly patches do not break tested functionality</w:t>
            </w:r>
          </w:p>
        </w:tc>
        <w:tc>
          <w:tcPr>
            <w:tcW w:w="2340" w:type="dxa"/>
            <w:shd w:val="clear" w:color="auto" w:fill="FFFFFF"/>
          </w:tcPr>
          <w:p>
            <w:pPr>
              <w:spacing w:before="40" w:after="40"/>
            </w:pPr>
            <w:r/>
            <w:r>
              <w:rPr>
                <w:rFonts w:ascii="Calibri" w:hAnsi="Calibri"/>
                <w:color w:val="1A1A2E"/>
                <w:sz w:val="20"/>
              </w:rPr>
              <w:t>Playbook of critical business functions executed in DEV/TEST before patch applied to PROD</w:t>
            </w:r>
          </w:p>
        </w:tc>
        <w:tc>
          <w:tcPr>
            <w:tcW w:w="2340" w:type="dxa"/>
            <w:shd w:val="clear" w:color="auto" w:fill="FFFFFF"/>
          </w:tcPr>
          <w:p>
            <w:pPr>
              <w:spacing w:before="40" w:after="40"/>
            </w:pPr>
            <w:r/>
            <w:r>
              <w:rPr>
                <w:rFonts w:ascii="Calibri" w:hAnsi="Calibri"/>
                <w:color w:val="1A1A2E"/>
                <w:sz w:val="20"/>
              </w:rPr>
              <w:t>iteria coordinates; VALIDATE platform automates regression scripts</w:t>
            </w:r>
          </w:p>
        </w:tc>
      </w:tr>
    </w:tbl>
    <w:p/>
    <w:p>
      <w:r>
        <w:br w:type="page"/>
      </w:r>
    </w:p>
    <w:p>
      <w:r>
        <w:br w:type="page"/>
      </w:r>
    </w:p>
    <w:p>
      <w:pPr>
        <w:spacing w:before="0" w:after="0"/>
      </w:pPr>
      <w:r>
        <w:rPr>
          <w:rFonts w:ascii="Calibri" w:hAnsi="Calibri"/>
          <w:b/>
          <w:i w:val="0"/>
          <w:color w:val="F0530A"/>
          <w:sz w:val="80"/>
        </w:rPr>
        <w:t>17</w:t>
      </w:r>
    </w:p>
    <w:p>
      <w:pPr>
        <w:pBdr>
          <w:bottom w:val="single" w:sz="14" w:space="4" w:color="F0530A"/>
        </w:pBdr>
        <w:spacing w:before="0" w:after="80"/>
      </w:pPr>
      <w:r>
        <w:rPr>
          <w:rFonts w:ascii="Calibri" w:hAnsi="Calibri"/>
          <w:b/>
          <w:i w:val="0"/>
          <w:color w:val="1A1A2E"/>
          <w:sz w:val="40"/>
        </w:rPr>
        <w:t>Vendor Questionnaire</w:t>
      </w:r>
    </w:p>
    <w:p>
      <w:pPr>
        <w:spacing w:before="0" w:after="80"/>
      </w:pPr>
    </w:p>
    <w:p>
      <w:pPr>
        <w:spacing w:before="0" w:after="100" w:line="276" w:lineRule="auto"/>
        <w:jc w:val="left"/>
      </w:pPr>
      <w:r>
        <w:rPr>
          <w:rFonts w:ascii="Calibri" w:hAnsi="Calibri"/>
          <w:b w:val="0"/>
          <w:i w:val="0"/>
          <w:color w:val="1A1A2E"/>
          <w:sz w:val="22"/>
        </w:rPr>
        <w:t xml:space="preserve">The following information is provided in response to the Vendor Questionnaire requirements of RFP-26-078, Enterprise Resource Planning (ERP) Software Modernization, issued by the City of St. Petersburg, Florida.</w:t>
      </w:r>
    </w:p>
    <w:p>
      <w:pPr>
        <w:spacing w:before="60" w:after="100"/>
      </w:pPr>
      <w:r>
        <w:rPr>
          <w:rFonts w:ascii="Calibri" w:hAnsi="Calibri"/>
          <w:b/>
          <w:color w:val="F0530A"/>
          <w:sz w:val="18"/>
        </w:rPr>
        <w:t xml:space="preserve">⚠  Items marked [VERIFY] must be confirmed with Brian Schell prior to submission. Q18 (Federal Tax ID) is provided under separate cover.</w:t>
      </w:r>
    </w:p>
    <w:p>
      <w:pPr>
        <w:spacing w:before="0" w:after="80"/>
      </w:pPr>
    </w:p>
    <w:tbl>
      <w:tblPr>
        <w:tblW w:type="dxa" w:w="936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480"/>
        <w:gridCol w:w="3200"/>
        <w:gridCol w:w="5680"/>
      </w:tblGrid>
      <w:tr>
        <w:tc>
          <w:tcPr>
            <w:tcW w:w="48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w:t>
            </w:r>
          </w:p>
        </w:tc>
        <w:tc>
          <w:tcPr>
            <w:tcW w:w="32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Question</w:t>
            </w:r>
          </w:p>
        </w:tc>
        <w:tc>
          <w:tcPr>
            <w:tcW w:w="568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iteria Response</w:t>
            </w:r>
          </w:p>
        </w:tc>
      </w:tr>
      <w:tr>
        <w:tc>
          <w:tcPr>
            <w:tcW w:w="48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Q1</w:t>
            </w:r>
          </w:p>
        </w:tc>
        <w:tc>
          <w:tcPr>
            <w:tcW w:w="320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Name of Business Organization (as it appears on legal documents)</w:t>
            </w:r>
          </w:p>
        </w:tc>
        <w:tc>
          <w:tcPr>
            <w:tcW w:w="5680" w:type="dxa"/>
            <w:shd w:val="clear" w:color="auto" w:fill="FFFFFF"/>
            <w:tcMar>
              <w:top w:w="80" w:type="dxa"/>
              <w:start w:w="120" w:type="dxa"/>
              <w:bottom w:w="80" w:type="dxa"/>
              <w:end w:w="120" w:type="dxa"/>
            </w:tcMar>
          </w:tcPr>
          <w:p>
            <w:pPr>
              <w:spacing w:before="0" w:after="40"/>
            </w:pPr>
            <w:r>
              <w:rPr>
                <w:rFonts w:ascii="Calibri" w:hAnsi="Calibri"/>
                <w:b w:val="0"/>
                <w:color w:val="1A1A2E"/>
                <w:sz w:val="20"/>
              </w:rPr>
              <w:t xml:space="preserve">iteria.us, Inc. (S Corporation)</w:t>
            </w:r>
          </w:p>
        </w:tc>
      </w:tr>
      <w:tr>
        <w:tc>
          <w:tcPr>
            <w:tcW w:w="48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Q2</w:t>
            </w:r>
          </w:p>
        </w:tc>
        <w:tc>
          <w:tcPr>
            <w:tcW w:w="320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State of Incorporation or Organization</w:t>
            </w:r>
          </w:p>
        </w:tc>
        <w:tc>
          <w:tcPr>
            <w:tcW w:w="5680" w:type="dxa"/>
            <w:shd w:val="clear" w:color="auto" w:fill="F4F4F8"/>
            <w:tcMar>
              <w:top w:w="80" w:type="dxa"/>
              <w:start w:w="120" w:type="dxa"/>
              <w:bottom w:w="80" w:type="dxa"/>
              <w:end w:w="120" w:type="dxa"/>
            </w:tcMar>
          </w:tcPr>
          <w:p>
            <w:pPr>
              <w:spacing w:before="0" w:after="40"/>
            </w:pPr>
            <w:r>
              <w:rPr>
                <w:rFonts w:ascii="Calibri" w:hAnsi="Calibri"/>
                <w:b w:val="0"/>
                <w:color w:val="1A1A2E"/>
                <w:sz w:val="20"/>
              </w:rPr>
              <w:t xml:space="preserve">Wyoming</w:t>
            </w:r>
          </w:p>
        </w:tc>
      </w:tr>
      <w:tr>
        <w:tc>
          <w:tcPr>
            <w:tcW w:w="48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Q3</w:t>
            </w:r>
          </w:p>
        </w:tc>
        <w:tc>
          <w:tcPr>
            <w:tcW w:w="320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Is your firm organized, chartered, or licensed in the State of Florida? Is your firm a certified Small Business Enterprise (SBE) or Minority/Women-owned Business Enterprise (MWBE)?</w:t>
            </w:r>
          </w:p>
        </w:tc>
        <w:tc>
          <w:tcPr>
            <w:tcW w:w="5680" w:type="dxa"/>
            <w:shd w:val="clear" w:color="auto" w:fill="FFFFFF"/>
            <w:tcMar>
              <w:top w:w="80" w:type="dxa"/>
              <w:start w:w="120" w:type="dxa"/>
              <w:bottom w:w="80" w:type="dxa"/>
              <w:end w:w="120" w:type="dxa"/>
            </w:tcMar>
          </w:tcPr>
          <w:p>
            <w:pPr>
              <w:spacing w:before="0" w:after="40"/>
            </w:pPr>
            <w:r>
              <w:rPr>
                <w:rFonts w:ascii="Calibri" w:hAnsi="Calibri"/>
                <w:b w:val="0"/>
                <w:color w:val="1A1A2E"/>
                <w:sz w:val="20"/>
              </w:rPr>
              <w:t xml:space="preserve">iteria is not currently organized, chartered, or licensed in the State of Florida; however,</w:t>
            </w:r>
          </w:p>
          <w:p>
            <w:pPr>
              <w:spacing w:before="0" w:after="40"/>
            </w:pPr>
            <w:r>
              <w:rPr>
                <w:rFonts w:ascii="Calibri" w:hAnsi="Calibri"/>
                <w:b w:val="0"/>
                <w:color w:val="1A1A2E"/>
                <w:sz w:val="20"/>
              </w:rPr>
              <w:t xml:space="preserve">iteria is registered to do business in Florida and will obtain all required local business</w:t>
            </w:r>
          </w:p>
          <w:p>
            <w:pPr>
              <w:spacing w:before="0" w:after="40"/>
            </w:pPr>
            <w:r>
              <w:rPr>
                <w:rFonts w:ascii="Calibri" w:hAnsi="Calibri"/>
                <w:b w:val="0"/>
                <w:color w:val="1A1A2E"/>
                <w:sz w:val="20"/>
              </w:rPr>
              <w:t xml:space="preserve">licenses prior to contract execution. iteria is not certified as an SBE or MWBE in the State</w:t>
            </w:r>
          </w:p>
          <w:p>
            <w:pPr>
              <w:spacing w:before="0" w:after="40"/>
            </w:pPr>
            <w:r>
              <w:rPr>
                <w:rFonts w:ascii="Calibri" w:hAnsi="Calibri"/>
                <w:b w:val="0"/>
                <w:color w:val="1A1A2E"/>
                <w:sz w:val="20"/>
              </w:rPr>
              <w:t xml:space="preserve">of Florida. [VERIFY: confirm Florida registration status with Brian Schell prior to submission]</w:t>
            </w:r>
          </w:p>
        </w:tc>
      </w:tr>
      <w:tr>
        <w:tc>
          <w:tcPr>
            <w:tcW w:w="48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Q4</w:t>
            </w:r>
          </w:p>
        </w:tc>
        <w:tc>
          <w:tcPr>
            <w:tcW w:w="320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Street Address</w:t>
            </w:r>
          </w:p>
        </w:tc>
        <w:tc>
          <w:tcPr>
            <w:tcW w:w="5680" w:type="dxa"/>
            <w:shd w:val="clear" w:color="auto" w:fill="F4F4F8"/>
            <w:tcMar>
              <w:top w:w="80" w:type="dxa"/>
              <w:start w:w="120" w:type="dxa"/>
              <w:bottom w:w="80" w:type="dxa"/>
              <w:end w:w="120" w:type="dxa"/>
            </w:tcMar>
          </w:tcPr>
          <w:p>
            <w:pPr>
              <w:spacing w:before="0" w:after="40"/>
            </w:pPr>
            <w:r>
              <w:rPr>
                <w:rFonts w:ascii="Calibri" w:hAnsi="Calibri"/>
                <w:b w:val="0"/>
                <w:color w:val="1A1A2E"/>
                <w:sz w:val="20"/>
              </w:rPr>
              <w:t xml:space="preserve">1712 Pioneer Ave, Suite 1983</w:t>
            </w:r>
          </w:p>
        </w:tc>
      </w:tr>
      <w:tr>
        <w:tc>
          <w:tcPr>
            <w:tcW w:w="48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Q5</w:t>
            </w:r>
          </w:p>
        </w:tc>
        <w:tc>
          <w:tcPr>
            <w:tcW w:w="320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City, State, ZIP Code</w:t>
            </w:r>
          </w:p>
        </w:tc>
        <w:tc>
          <w:tcPr>
            <w:tcW w:w="5680" w:type="dxa"/>
            <w:shd w:val="clear" w:color="auto" w:fill="FFFFFF"/>
            <w:tcMar>
              <w:top w:w="80" w:type="dxa"/>
              <w:start w:w="120" w:type="dxa"/>
              <w:bottom w:w="80" w:type="dxa"/>
              <w:end w:w="120" w:type="dxa"/>
            </w:tcMar>
          </w:tcPr>
          <w:p>
            <w:pPr>
              <w:spacing w:before="0" w:after="40"/>
            </w:pPr>
            <w:r>
              <w:rPr>
                <w:rFonts w:ascii="Calibri" w:hAnsi="Calibri"/>
                <w:b w:val="0"/>
                <w:color w:val="1A1A2E"/>
                <w:sz w:val="20"/>
              </w:rPr>
              <w:t xml:space="preserve">Cheyenne, WY 82001</w:t>
            </w:r>
          </w:p>
        </w:tc>
      </w:tr>
      <w:tr>
        <w:tc>
          <w:tcPr>
            <w:tcW w:w="48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Q6</w:t>
            </w:r>
          </w:p>
        </w:tc>
        <w:tc>
          <w:tcPr>
            <w:tcW w:w="320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Phone Number / Fax Number</w:t>
            </w:r>
          </w:p>
        </w:tc>
        <w:tc>
          <w:tcPr>
            <w:tcW w:w="5680" w:type="dxa"/>
            <w:shd w:val="clear" w:color="auto" w:fill="F4F4F8"/>
            <w:tcMar>
              <w:top w:w="80" w:type="dxa"/>
              <w:start w:w="120" w:type="dxa"/>
              <w:bottom w:w="80" w:type="dxa"/>
              <w:end w:w="120" w:type="dxa"/>
            </w:tcMar>
          </w:tcPr>
          <w:p>
            <w:pPr>
              <w:spacing w:before="0" w:after="40"/>
            </w:pPr>
            <w:r>
              <w:rPr>
                <w:rFonts w:ascii="Calibri" w:hAnsi="Calibri"/>
                <w:b w:val="0"/>
                <w:color w:val="1A1A2E"/>
                <w:sz w:val="20"/>
              </w:rPr>
              <w:t xml:space="preserve">Phone: (630) 240-4072 | Fax: Not applicable</w:t>
            </w:r>
          </w:p>
        </w:tc>
      </w:tr>
      <w:tr>
        <w:tc>
          <w:tcPr>
            <w:tcW w:w="48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Q7</w:t>
            </w:r>
          </w:p>
        </w:tc>
        <w:tc>
          <w:tcPr>
            <w:tcW w:w="320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Website Address</w:t>
            </w:r>
          </w:p>
        </w:tc>
        <w:tc>
          <w:tcPr>
            <w:tcW w:w="5680" w:type="dxa"/>
            <w:shd w:val="clear" w:color="auto" w:fill="FFFFFF"/>
            <w:tcMar>
              <w:top w:w="80" w:type="dxa"/>
              <w:start w:w="120" w:type="dxa"/>
              <w:bottom w:w="80" w:type="dxa"/>
              <w:end w:w="120" w:type="dxa"/>
            </w:tcMar>
          </w:tcPr>
          <w:p>
            <w:pPr>
              <w:spacing w:before="0" w:after="40"/>
            </w:pPr>
            <w:r>
              <w:rPr>
                <w:rFonts w:ascii="Calibri" w:hAnsi="Calibri"/>
                <w:b w:val="0"/>
                <w:color w:val="1A1A2E"/>
                <w:sz w:val="20"/>
              </w:rPr>
              <w:t xml:space="preserve">www.iteria.us</w:t>
            </w:r>
          </w:p>
        </w:tc>
      </w:tr>
      <w:tr>
        <w:tc>
          <w:tcPr>
            <w:tcW w:w="48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Q8</w:t>
            </w:r>
          </w:p>
        </w:tc>
        <w:tc>
          <w:tcPr>
            <w:tcW w:w="320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Designated Contact Person for this Proposal</w:t>
            </w:r>
          </w:p>
        </w:tc>
        <w:tc>
          <w:tcPr>
            <w:tcW w:w="5680" w:type="dxa"/>
            <w:shd w:val="clear" w:color="auto" w:fill="F4F4F8"/>
            <w:tcMar>
              <w:top w:w="80" w:type="dxa"/>
              <w:start w:w="120" w:type="dxa"/>
              <w:bottom w:w="80" w:type="dxa"/>
              <w:end w:w="120" w:type="dxa"/>
            </w:tcMar>
          </w:tcPr>
          <w:p>
            <w:pPr>
              <w:spacing w:before="0" w:after="40"/>
            </w:pPr>
            <w:r>
              <w:rPr>
                <w:rFonts w:ascii="Calibri" w:hAnsi="Calibri"/>
                <w:b w:val="0"/>
                <w:color w:val="1A1A2E"/>
                <w:sz w:val="20"/>
              </w:rPr>
              <w:t xml:space="preserve">Brian Schell, President &amp; CEO</w:t>
            </w:r>
          </w:p>
        </w:tc>
      </w:tr>
      <w:tr>
        <w:tc>
          <w:tcPr>
            <w:tcW w:w="48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Q9</w:t>
            </w:r>
          </w:p>
        </w:tc>
        <w:tc>
          <w:tcPr>
            <w:tcW w:w="320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Contact Title</w:t>
            </w:r>
          </w:p>
        </w:tc>
        <w:tc>
          <w:tcPr>
            <w:tcW w:w="5680" w:type="dxa"/>
            <w:shd w:val="clear" w:color="auto" w:fill="FFFFFF"/>
            <w:tcMar>
              <w:top w:w="80" w:type="dxa"/>
              <w:start w:w="120" w:type="dxa"/>
              <w:bottom w:w="80" w:type="dxa"/>
              <w:end w:w="120" w:type="dxa"/>
            </w:tcMar>
          </w:tcPr>
          <w:p>
            <w:pPr>
              <w:spacing w:before="0" w:after="40"/>
            </w:pPr>
            <w:r>
              <w:rPr>
                <w:rFonts w:ascii="Calibri" w:hAnsi="Calibri"/>
                <w:b w:val="0"/>
                <w:color w:val="1A1A2E"/>
                <w:sz w:val="20"/>
              </w:rPr>
              <w:t xml:space="preserve">President &amp; Chief Executive Officer</w:t>
            </w:r>
          </w:p>
        </w:tc>
      </w:tr>
      <w:tr>
        <w:tc>
          <w:tcPr>
            <w:tcW w:w="48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Q10</w:t>
            </w:r>
          </w:p>
        </w:tc>
        <w:tc>
          <w:tcPr>
            <w:tcW w:w="320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Contact Email Address</w:t>
            </w:r>
          </w:p>
        </w:tc>
        <w:tc>
          <w:tcPr>
            <w:tcW w:w="5680" w:type="dxa"/>
            <w:shd w:val="clear" w:color="auto" w:fill="F4F4F8"/>
            <w:tcMar>
              <w:top w:w="80" w:type="dxa"/>
              <w:start w:w="120" w:type="dxa"/>
              <w:bottom w:w="80" w:type="dxa"/>
              <w:end w:w="120" w:type="dxa"/>
            </w:tcMar>
          </w:tcPr>
          <w:p>
            <w:pPr>
              <w:spacing w:before="0" w:after="40"/>
            </w:pPr>
            <w:r>
              <w:rPr>
                <w:rFonts w:ascii="Calibri" w:hAnsi="Calibri"/>
                <w:b w:val="0"/>
                <w:color w:val="1A1A2E"/>
                <w:sz w:val="20"/>
              </w:rPr>
              <w:t xml:space="preserve">brian.schell@iteria.us</w:t>
            </w:r>
          </w:p>
        </w:tc>
      </w:tr>
      <w:tr>
        <w:tc>
          <w:tcPr>
            <w:tcW w:w="48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Q11</w:t>
            </w:r>
          </w:p>
        </w:tc>
        <w:tc>
          <w:tcPr>
            <w:tcW w:w="320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Provide a brief description of your company, including the type of work performed.</w:t>
            </w:r>
          </w:p>
        </w:tc>
        <w:tc>
          <w:tcPr>
            <w:tcW w:w="5680" w:type="dxa"/>
            <w:shd w:val="clear" w:color="auto" w:fill="FFFFFF"/>
            <w:tcMar>
              <w:top w:w="80" w:type="dxa"/>
              <w:start w:w="120" w:type="dxa"/>
              <w:bottom w:w="80" w:type="dxa"/>
              <w:end w:w="120" w:type="dxa"/>
            </w:tcMar>
          </w:tcPr>
          <w:p>
            <w:pPr>
              <w:spacing w:before="0" w:after="40"/>
            </w:pPr>
            <w:r>
              <w:rPr>
                <w:rFonts w:ascii="Calibri" w:hAnsi="Calibri"/>
                <w:b w:val="0"/>
                <w:color w:val="1A1A2E"/>
                <w:sz w:val="20"/>
              </w:rPr>
              <w:t xml:space="preserve">iteria.us is a 100% Oracle-focused enterprise resource planning (ERP) implementation firm</w:t>
            </w:r>
          </w:p>
          <w:p>
            <w:pPr>
              <w:spacing w:before="0" w:after="40"/>
            </w:pPr>
            <w:r>
              <w:rPr>
                <w:rFonts w:ascii="Calibri" w:hAnsi="Calibri"/>
                <w:b w:val="0"/>
                <w:color w:val="1A1A2E"/>
                <w:sz w:val="20"/>
              </w:rPr>
              <w:t xml:space="preserve">founded in 2015 and headquartered in Cheyenne, Wyoming. iteria provides Oracle Fusion Cloud</w:t>
            </w:r>
          </w:p>
          <w:p>
            <w:pPr>
              <w:spacing w:before="0" w:after="40"/>
            </w:pPr>
            <w:r>
              <w:rPr>
                <w:rFonts w:ascii="Calibri" w:hAnsi="Calibri"/>
                <w:b w:val="0"/>
                <w:color w:val="1A1A2E"/>
                <w:sz w:val="20"/>
              </w:rPr>
              <w:t xml:space="preserve">implementation services, data migration, organizational change management, post go-live</w:t>
            </w:r>
          </w:p>
          <w:p>
            <w:pPr>
              <w:spacing w:before="0" w:after="40"/>
            </w:pPr>
            <w:r>
              <w:rPr>
                <w:rFonts w:ascii="Calibri" w:hAnsi="Calibri"/>
                <w:b w:val="0"/>
                <w:color w:val="1A1A2E"/>
                <w:sz w:val="20"/>
              </w:rPr>
              <w:t xml:space="preserve">managed services, and ongoing system support. iteria implements no ERP system other than</w:t>
            </w:r>
          </w:p>
          <w:p>
            <w:pPr>
              <w:spacing w:before="0" w:after="40"/>
            </w:pPr>
            <w:r>
              <w:rPr>
                <w:rFonts w:ascii="Calibri" w:hAnsi="Calibri"/>
                <w:b w:val="0"/>
                <w:color w:val="1A1A2E"/>
                <w:sz w:val="20"/>
              </w:rPr>
              <w:t xml:space="preserve">Oracle. Every engagement is an Oracle engagement and every consultant is an Oracle specialist.</w:t>
            </w:r>
          </w:p>
          <w:p>
            <w:pPr>
              <w:spacing w:before="0" w:after="40"/>
            </w:pPr>
            <w:r>
              <w:rPr>
                <w:rFonts w:ascii="Calibri" w:hAnsi="Calibri"/>
                <w:b w:val="0"/>
                <w:color w:val="1A1A2E"/>
                <w:sz w:val="20"/>
              </w:rPr>
              <w:t xml:space="preserve">iteria has completed full-suite Oracle Fusion Cloud go-lives for county governments, transit</w:t>
            </w:r>
          </w:p>
          <w:p>
            <w:pPr>
              <w:spacing w:before="0" w:after="40"/>
            </w:pPr>
            <w:r>
              <w:rPr>
                <w:rFonts w:ascii="Calibri" w:hAnsi="Calibri"/>
                <w:b w:val="0"/>
                <w:color w:val="1A1A2E"/>
                <w:sz w:val="20"/>
              </w:rPr>
              <w:t xml:space="preserve">authorities, non-profit organizations, utilities, and school districts across the United States,</w:t>
            </w:r>
          </w:p>
          <w:p>
            <w:pPr>
              <w:spacing w:before="0" w:after="40"/>
            </w:pPr>
            <w:r>
              <w:rPr>
                <w:rFonts w:ascii="Calibri" w:hAnsi="Calibri"/>
                <w:b w:val="0"/>
                <w:color w:val="1A1A2E"/>
                <w:sz w:val="20"/>
              </w:rPr>
              <w:t xml:space="preserve">including Fond du Lac County (Wisconsin, December 2024) and Outagamie County (Wisconsin, 2025).</w:t>
            </w:r>
          </w:p>
          <w:p>
            <w:pPr>
              <w:spacing w:before="0" w:after="40"/>
            </w:pPr>
            <w:r>
              <w:rPr>
                <w:rFonts w:ascii="Calibri" w:hAnsi="Calibri"/>
                <w:b w:val="0"/>
                <w:color w:val="1A1A2E"/>
                <w:sz w:val="20"/>
              </w:rPr>
              <w:t xml:space="preserve">iteria is organized as an S Corporation with regional staff in Wisconsin, Illinois, and Texas,</w:t>
            </w:r>
          </w:p>
          <w:p>
            <w:pPr>
              <w:spacing w:before="0" w:after="40"/>
            </w:pPr>
            <w:r>
              <w:rPr>
                <w:rFonts w:ascii="Calibri" w:hAnsi="Calibri"/>
                <w:b w:val="0"/>
                <w:color w:val="1A1A2E"/>
                <w:sz w:val="20"/>
              </w:rPr>
              <w:t xml:space="preserve">plus offshore delivery resources in Bangalore and Hyderabad, India.</w:t>
            </w:r>
          </w:p>
        </w:tc>
      </w:tr>
      <w:tr>
        <w:tc>
          <w:tcPr>
            <w:tcW w:w="48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Q12</w:t>
            </w:r>
          </w:p>
        </w:tc>
        <w:tc>
          <w:tcPr>
            <w:tcW w:w="320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Year Business Established</w:t>
            </w:r>
          </w:p>
        </w:tc>
        <w:tc>
          <w:tcPr>
            <w:tcW w:w="5680" w:type="dxa"/>
            <w:shd w:val="clear" w:color="auto" w:fill="F4F4F8"/>
            <w:tcMar>
              <w:top w:w="80" w:type="dxa"/>
              <w:start w:w="120" w:type="dxa"/>
              <w:bottom w:w="80" w:type="dxa"/>
              <w:end w:w="120" w:type="dxa"/>
            </w:tcMar>
          </w:tcPr>
          <w:p>
            <w:pPr>
              <w:spacing w:before="0" w:after="40"/>
            </w:pPr>
            <w:r>
              <w:rPr>
                <w:rFonts w:ascii="Calibri" w:hAnsi="Calibri"/>
                <w:b w:val="0"/>
                <w:color w:val="1A1A2E"/>
                <w:sz w:val="20"/>
              </w:rPr>
              <w:t xml:space="preserve">2015</w:t>
            </w:r>
          </w:p>
        </w:tc>
      </w:tr>
      <w:tr>
        <w:tc>
          <w:tcPr>
            <w:tcW w:w="48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Q13</w:t>
            </w:r>
          </w:p>
        </w:tc>
        <w:tc>
          <w:tcPr>
            <w:tcW w:w="320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Name and Address of Bank(s) or Other Financing Sources</w:t>
            </w:r>
          </w:p>
        </w:tc>
        <w:tc>
          <w:tcPr>
            <w:tcW w:w="5680" w:type="dxa"/>
            <w:shd w:val="clear" w:color="auto" w:fill="FFFFFF"/>
            <w:tcMar>
              <w:top w:w="80" w:type="dxa"/>
              <w:start w:w="120" w:type="dxa"/>
              <w:bottom w:w="80" w:type="dxa"/>
              <w:end w:w="120" w:type="dxa"/>
            </w:tcMar>
          </w:tcPr>
          <w:p>
            <w:pPr>
              <w:spacing w:before="0" w:after="40"/>
            </w:pPr>
            <w:r>
              <w:rPr>
                <w:rFonts w:ascii="Calibri" w:hAnsi="Calibri"/>
                <w:b w:val="0"/>
                <w:color w:val="1A1A2E"/>
                <w:sz w:val="20"/>
              </w:rPr>
              <w:t xml:space="preserve">Bank of Commerce</w:t>
            </w:r>
          </w:p>
          <w:p>
            <w:pPr>
              <w:spacing w:before="0" w:after="40"/>
            </w:pPr>
            <w:r>
              <w:rPr>
                <w:rFonts w:ascii="Calibri" w:hAnsi="Calibri"/>
                <w:b w:val="0"/>
                <w:color w:val="1A1A2E"/>
                <w:sz w:val="20"/>
              </w:rPr>
              <w:t xml:space="preserve">2507 Pioneer Ave, Cheyenne, WY 82001</w:t>
            </w:r>
          </w:p>
          <w:p>
            <w:pPr>
              <w:spacing w:before="0" w:after="40"/>
            </w:pPr>
            <w:r>
              <w:rPr>
                <w:rFonts w:ascii="Calibri" w:hAnsi="Calibri"/>
                <w:b w:val="0"/>
                <w:color w:val="1A1A2E"/>
                <w:sz w:val="20"/>
              </w:rPr>
              <w:t xml:space="preserve">[VERIFY: confirm current banking relationship with Brian Schell]</w:t>
            </w:r>
          </w:p>
        </w:tc>
      </w:tr>
      <w:tr>
        <w:tc>
          <w:tcPr>
            <w:tcW w:w="48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Q14</w:t>
            </w:r>
          </w:p>
        </w:tc>
        <w:tc>
          <w:tcPr>
            <w:tcW w:w="320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Are there any judgments, claims, arbitration proceedings, or lawsuits currently pending or outstanding against your firm, its principals, or its officers?</w:t>
            </w:r>
          </w:p>
        </w:tc>
        <w:tc>
          <w:tcPr>
            <w:tcW w:w="5680" w:type="dxa"/>
            <w:shd w:val="clear" w:color="auto" w:fill="F4F4F8"/>
            <w:tcMar>
              <w:top w:w="80" w:type="dxa"/>
              <w:start w:w="120" w:type="dxa"/>
              <w:bottom w:w="80" w:type="dxa"/>
              <w:end w:w="120" w:type="dxa"/>
            </w:tcMar>
          </w:tcPr>
          <w:p>
            <w:pPr>
              <w:spacing w:before="0" w:after="40"/>
            </w:pPr>
            <w:r>
              <w:rPr>
                <w:rFonts w:ascii="Calibri" w:hAnsi="Calibri"/>
                <w:b w:val="0"/>
                <w:color w:val="1A1A2E"/>
                <w:sz w:val="20"/>
              </w:rPr>
              <w:t xml:space="preserve">No. iteria has no pending or outstanding judgments, claims, arbitration proceedings, or lawsuits against the firm, its principals, or its officers as of the date of this submission.</w:t>
            </w:r>
          </w:p>
        </w:tc>
      </w:tr>
      <w:tr>
        <w:tc>
          <w:tcPr>
            <w:tcW w:w="48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Q15</w:t>
            </w:r>
          </w:p>
        </w:tc>
        <w:tc>
          <w:tcPr>
            <w:tcW w:w="320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Have any contracts held by your firm with the City or any other public agency been terminated for default or non-performance during the past five (5) years?</w:t>
            </w:r>
          </w:p>
        </w:tc>
        <w:tc>
          <w:tcPr>
            <w:tcW w:w="5680" w:type="dxa"/>
            <w:shd w:val="clear" w:color="auto" w:fill="FFFFFF"/>
            <w:tcMar>
              <w:top w:w="80" w:type="dxa"/>
              <w:start w:w="120" w:type="dxa"/>
              <w:bottom w:w="80" w:type="dxa"/>
              <w:end w:w="120" w:type="dxa"/>
            </w:tcMar>
          </w:tcPr>
          <w:p>
            <w:pPr>
              <w:spacing w:before="0" w:after="40"/>
            </w:pPr>
            <w:r>
              <w:rPr>
                <w:rFonts w:ascii="Calibri" w:hAnsi="Calibri"/>
                <w:b w:val="0"/>
                <w:color w:val="1A1A2E"/>
                <w:sz w:val="20"/>
              </w:rPr>
              <w:t xml:space="preserve">No. iteria has not had any contract with the City or any other public agency terminated for default or non-performance within the past five (5) years.</w:t>
            </w:r>
          </w:p>
        </w:tc>
      </w:tr>
      <w:tr>
        <w:tc>
          <w:tcPr>
            <w:tcW w:w="48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Q16</w:t>
            </w:r>
          </w:p>
        </w:tc>
        <w:tc>
          <w:tcPr>
            <w:tcW w:w="320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Has your firm, any principal, officer, or employee ever been debarred, suspended, or disqualified from doing business with any governmental agency?</w:t>
            </w:r>
          </w:p>
        </w:tc>
        <w:tc>
          <w:tcPr>
            <w:tcW w:w="5680" w:type="dxa"/>
            <w:shd w:val="clear" w:color="auto" w:fill="F4F4F8"/>
            <w:tcMar>
              <w:top w:w="80" w:type="dxa"/>
              <w:start w:w="120" w:type="dxa"/>
              <w:bottom w:w="80" w:type="dxa"/>
              <w:end w:w="120" w:type="dxa"/>
            </w:tcMar>
          </w:tcPr>
          <w:p>
            <w:pPr>
              <w:spacing w:before="0" w:after="40"/>
            </w:pPr>
            <w:r>
              <w:rPr>
                <w:rFonts w:ascii="Calibri" w:hAnsi="Calibri"/>
                <w:b w:val="0"/>
                <w:color w:val="1A1A2E"/>
                <w:sz w:val="20"/>
              </w:rPr>
              <w:t xml:space="preserve">No. iteria, its principals, officers, and employees have not been debarred, suspended, or otherwise disqualified from doing business with any federal, state, or local governmental agency.</w:t>
            </w:r>
          </w:p>
        </w:tc>
      </w:tr>
      <w:tr>
        <w:tc>
          <w:tcPr>
            <w:tcW w:w="48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Q17</w:t>
            </w:r>
          </w:p>
        </w:tc>
        <w:tc>
          <w:tcPr>
            <w:tcW w:w="320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Does your firm certify that it is not listed on the Federal Excluded Parties List System (SAM.gov) or any applicable state debarment list?</w:t>
            </w:r>
          </w:p>
        </w:tc>
        <w:tc>
          <w:tcPr>
            <w:tcW w:w="5680" w:type="dxa"/>
            <w:shd w:val="clear" w:color="auto" w:fill="FFFFFF"/>
            <w:tcMar>
              <w:top w:w="80" w:type="dxa"/>
              <w:start w:w="120" w:type="dxa"/>
              <w:bottom w:w="80" w:type="dxa"/>
              <w:end w:w="120" w:type="dxa"/>
            </w:tcMar>
          </w:tcPr>
          <w:p>
            <w:pPr>
              <w:spacing w:before="0" w:after="40"/>
            </w:pPr>
            <w:r>
              <w:rPr>
                <w:rFonts w:ascii="Calibri" w:hAnsi="Calibri"/>
                <w:b w:val="0"/>
                <w:color w:val="1A1A2E"/>
                <w:sz w:val="20"/>
              </w:rPr>
              <w:t xml:space="preserve">Yes. iteria certifies that it is not listed on the Federal Excluded Parties List System</w:t>
            </w:r>
          </w:p>
          <w:p>
            <w:pPr>
              <w:spacing w:before="0" w:after="40"/>
            </w:pPr>
            <w:r>
              <w:rPr>
                <w:rFonts w:ascii="Calibri" w:hAnsi="Calibri"/>
                <w:b w:val="0"/>
                <w:color w:val="1A1A2E"/>
                <w:sz w:val="20"/>
              </w:rPr>
              <w:t xml:space="preserve">(SAM.gov) and has not been excluded, debarred, suspended, or otherwise made ineligible to</w:t>
            </w:r>
          </w:p>
          <w:p>
            <w:pPr>
              <w:spacing w:before="0" w:after="40"/>
            </w:pPr>
            <w:r>
              <w:rPr>
                <w:rFonts w:ascii="Calibri" w:hAnsi="Calibri"/>
                <w:b w:val="0"/>
                <w:color w:val="1A1A2E"/>
                <w:sz w:val="20"/>
              </w:rPr>
              <w:t xml:space="preserve">participate in federal or state assistance programs or contracts.</w:t>
            </w:r>
          </w:p>
        </w:tc>
      </w:tr>
      <w:tr>
        <w:tc>
          <w:tcPr>
            <w:tcW w:w="48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Q18</w:t>
            </w:r>
          </w:p>
        </w:tc>
        <w:tc>
          <w:tcPr>
            <w:tcW w:w="3200" w:type="dxa"/>
            <w:shd w:val="clear" w:color="auto" w:fill="F4F4F8"/>
            <w:tcMar>
              <w:top w:w="80" w:type="dxa"/>
              <w:start w:w="120" w:type="dxa"/>
              <w:bottom w:w="80" w:type="dxa"/>
              <w:end w:w="120" w:type="dxa"/>
            </w:tcMar>
          </w:tcPr>
          <w:p>
            <w:pPr>
              <w:spacing w:before="0" w:after="40"/>
            </w:pPr>
            <w:r>
              <w:rPr>
                <w:rFonts w:ascii="Calibri" w:hAnsi="Calibri"/>
                <w:b/>
                <w:color w:val="1A1A2E"/>
                <w:sz w:val="20"/>
              </w:rPr>
              <w:t xml:space="preserve">Federal Tax Identification Number (FEIN)</w:t>
            </w:r>
          </w:p>
        </w:tc>
        <w:tc>
          <w:tcPr>
            <w:tcW w:w="5680" w:type="dxa"/>
            <w:shd w:val="clear" w:color="auto" w:fill="F4F4F8"/>
            <w:tcMar>
              <w:top w:w="80" w:type="dxa"/>
              <w:start w:w="120" w:type="dxa"/>
              <w:bottom w:w="80" w:type="dxa"/>
              <w:end w:w="120" w:type="dxa"/>
            </w:tcMar>
          </w:tcPr>
          <w:p>
            <w:pPr>
              <w:spacing w:before="0" w:after="40"/>
            </w:pPr>
            <w:r>
              <w:rPr>
                <w:rFonts w:ascii="Calibri" w:hAnsi="Calibri"/>
                <w:b w:val="0"/>
                <w:color w:val="1A1A2E"/>
                <w:sz w:val="20"/>
              </w:rPr>
              <w:t xml:space="preserve">[CONFIDENTIAL — Federal Tax ID provided under separate cover per RFP instructions. Contact brian.schell@iteria.us to obtain under NDA if required before the submission deadline.]</w:t>
            </w:r>
          </w:p>
        </w:tc>
      </w:tr>
      <w:tr>
        <w:tc>
          <w:tcPr>
            <w:tcW w:w="48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Q19</w:t>
            </w:r>
          </w:p>
        </w:tc>
        <w:tc>
          <w:tcPr>
            <w:tcW w:w="3200" w:type="dxa"/>
            <w:shd w:val="clear" w:color="auto" w:fill="FFFFFF"/>
            <w:tcMar>
              <w:top w:w="80" w:type="dxa"/>
              <w:start w:w="120" w:type="dxa"/>
              <w:bottom w:w="80" w:type="dxa"/>
              <w:end w:w="120" w:type="dxa"/>
            </w:tcMar>
          </w:tcPr>
          <w:p>
            <w:pPr>
              <w:spacing w:before="0" w:after="40"/>
            </w:pPr>
            <w:r>
              <w:rPr>
                <w:rFonts w:ascii="Calibri" w:hAnsi="Calibri"/>
                <w:b/>
                <w:color w:val="1A1A2E"/>
                <w:sz w:val="20"/>
              </w:rPr>
              <w:t xml:space="preserve">Does your firm hold any of the following certifications? (MBE, WBE, SBE, DBE, DVBE, SDVOSB, or other)</w:t>
            </w:r>
          </w:p>
        </w:tc>
        <w:tc>
          <w:tcPr>
            <w:tcW w:w="5680" w:type="dxa"/>
            <w:shd w:val="clear" w:color="auto" w:fill="FFFFFF"/>
            <w:tcMar>
              <w:top w:w="80" w:type="dxa"/>
              <w:start w:w="120" w:type="dxa"/>
              <w:bottom w:w="80" w:type="dxa"/>
              <w:end w:w="120" w:type="dxa"/>
            </w:tcMar>
          </w:tcPr>
          <w:p>
            <w:pPr>
              <w:spacing w:before="0" w:after="40"/>
            </w:pPr>
            <w:r>
              <w:rPr>
                <w:rFonts w:ascii="Calibri" w:hAnsi="Calibri"/>
                <w:b w:val="0"/>
                <w:color w:val="1A1A2E"/>
                <w:sz w:val="20"/>
              </w:rPr>
              <w:t xml:space="preserve">iteria does not currently hold MBE, WBE, SBE, DBE, DVBE, or SDVOSB certification. iteria is</w:t>
            </w:r>
          </w:p>
          <w:p>
            <w:pPr>
              <w:spacing w:before="0" w:after="40"/>
            </w:pPr>
            <w:r>
              <w:rPr>
                <w:rFonts w:ascii="Calibri" w:hAnsi="Calibri"/>
                <w:b w:val="0"/>
                <w:color w:val="1A1A2E"/>
                <w:sz w:val="20"/>
              </w:rPr>
              <w:t xml:space="preserve">a privately held S Corporation led by Brian Schell (President &amp; CEO). The firm does not meet</w:t>
            </w:r>
          </w:p>
          <w:p>
            <w:pPr>
              <w:spacing w:before="0" w:after="40"/>
            </w:pPr>
            <w:r>
              <w:rPr>
                <w:rFonts w:ascii="Calibri" w:hAnsi="Calibri"/>
                <w:b w:val="0"/>
                <w:color w:val="1A1A2E"/>
                <w:sz w:val="20"/>
              </w:rPr>
              <w:t xml:space="preserve">the threshold ownership and control criteria for any of the above certifications at this time.</w:t>
            </w:r>
          </w:p>
          <w:p>
            <w:pPr>
              <w:spacing w:before="0" w:after="40"/>
            </w:pPr>
            <w:r>
              <w:rPr>
                <w:rFonts w:ascii="Calibri" w:hAnsi="Calibri"/>
                <w:b w:val="0"/>
                <w:color w:val="1A1A2E"/>
                <w:sz w:val="20"/>
              </w:rPr>
              <w:t xml:space="preserve">[VERIFY: confirm certification status has not changed at time of submission]</w:t>
            </w:r>
          </w:p>
        </w:tc>
      </w:tr>
    </w:tbl>
    <w:p>
      <w:pPr>
        <w:spacing w:before="60" w:after="60"/>
      </w:pPr>
      <w:r>
        <w:rPr>
          <w:rFonts w:ascii="Calibri" w:hAnsi="Calibri"/>
          <w:b w:val="0"/>
          <w:i/>
          <w:color w:val="AAAAAA"/>
          <w:sz w:val="18"/>
        </w:rPr>
        <w:t xml:space="preserve">Generated from iteria firm data as of March 16, 2026. Responses are factual statements. Any item marked [VERIFY] requires human confirmation before submission.</w:t>
      </w:r>
    </w:p>
    <w:p>
      <w:r>
        <w:br w:type="page"/>
      </w:r>
    </w:p>
    <w:p>
      <w:pPr>
        <w:spacing w:before="0" w:after="0"/>
      </w:pPr>
      <w:r>
        <w:rPr>
          <w:rFonts w:ascii="Calibri" w:hAnsi="Calibri"/>
          <w:b/>
          <w:i w:val="0"/>
          <w:color w:val="F0530A"/>
          <w:sz w:val="80"/>
        </w:rPr>
        <w:t>18</w:t>
      </w:r>
    </w:p>
    <w:p>
      <w:pPr>
        <w:pBdr>
          <w:bottom w:val="single" w:sz="14" w:space="4" w:color="F0530A"/>
        </w:pBdr>
        <w:spacing w:before="0" w:after="80"/>
      </w:pPr>
      <w:r>
        <w:rPr>
          <w:rFonts w:ascii="Calibri" w:hAnsi="Calibri"/>
          <w:b/>
          <w:i w:val="0"/>
          <w:color w:val="1A1A2E"/>
          <w:sz w:val="40"/>
        </w:rPr>
        <w:t>Cost Proposal</w:t>
      </w:r>
    </w:p>
    <w:p>
      <w:pPr>
        <w:spacing w:before="0" w:after="80"/>
      </w:pPr>
    </w:p>
    <w:p>
      <w:pPr>
        <w:spacing w:before="0" w:after="100" w:line="276" w:lineRule="auto"/>
        <w:jc w:val="left"/>
      </w:pPr>
      <w:r>
        <w:rPr>
          <w:rFonts w:ascii="Calibri" w:hAnsi="Calibri"/>
          <w:b w:val="0"/>
          <w:i w:val="0"/>
          <w:color w:val="1A1A2E"/>
          <w:sz w:val="22"/>
        </w:rPr>
        <w:t xml:space="preserve">The following cost proposal is organized into three exhibits as required: (A) Implementation Services Fee, (B) Annual Oracle Software Subscription Fee (Usage Fee), and (C) Other Associated Costs. All implementation services are priced as a fixed-fee engagement — not time-and-materials. Payments are milestone-based and tied to deliverable acceptance.</w:t>
      </w:r>
    </w:p>
    <w:p>
      <w:pPr>
        <w:spacing w:before="0" w:after="100" w:line="276" w:lineRule="auto"/>
        <w:jc w:val="left"/>
      </w:pPr>
      <w:r>
        <w:rPr>
          <w:rFonts w:ascii="Calibri" w:hAnsi="Calibri"/>
          <w:b w:val="0"/>
          <w:i w:val="0"/>
          <w:color w:val="1A1A2E"/>
          <w:sz w:val="22"/>
        </w:rPr>
        <w:t xml:space="preserve">NOTE: All line items marked $[CONFIRM] are placeholders. Replace with actual pricing confirmed with Brian Schell (brian.schell@iteria.us | 630-240-4072) before submission. Oracle software pricing (Exhibit B) is provided by Mythics LLC and requires a current Oracle quote at time of submission.</w:t>
      </w:r>
    </w:p>
    <w:p>
      <w:pPr>
        <w:spacing w:before="0" w:after="80"/>
      </w:pPr>
    </w:p>
    <w:p>
      <w:pPr>
        <w:spacing w:before="200" w:after="80"/>
      </w:pPr>
      <w:r>
        <w:rPr>
          <w:rFonts w:ascii="Calibri" w:hAnsi="Calibri"/>
          <w:b/>
          <w:i w:val="0"/>
          <w:color w:val="1A1A2E"/>
          <w:sz w:val="26"/>
        </w:rPr>
        <w:t>Exhibit A — Implementation Services Fee (Fixed-Fee Engagement)</w:t>
      </w:r>
    </w:p>
    <w:p>
      <w:pPr>
        <w:spacing w:before="0" w:after="100" w:line="276" w:lineRule="auto"/>
        <w:jc w:val="left"/>
      </w:pPr>
      <w:r>
        <w:rPr>
          <w:rFonts w:ascii="Calibri" w:hAnsi="Calibri"/>
          <w:b w:val="0"/>
          <w:i w:val="0"/>
          <w:color w:val="1A1A2E"/>
          <w:sz w:val="22"/>
        </w:rPr>
        <w:t xml:space="preserve">iteria’s implementation services are priced as a fixed-fee engagement. The City of St. Petersburg pays for completed deliverables, not for hours spent. This structure aligns iteria’s incentives directly with the City’s success — iteria is motivated to deliver on schedule because payment milestones are tied to acceptance, not to elapsed time. No change orders will be issued for items that should have been in scope at contract execution.</w:t>
      </w:r>
    </w:p>
    <w:tbl>
      <w:tblPr>
        <w:tblW w:type="dxa" w:w="936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3800"/>
        <w:gridCol w:w="1100"/>
        <w:gridCol w:w="1460"/>
        <w:gridCol w:w="3000"/>
      </w:tblGrid>
      <w:tr>
        <w:tc>
          <w:tcPr>
            <w:tcW w:w="38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Line Item / Service</w:t>
            </w:r>
          </w:p>
        </w:tc>
        <w:tc>
          <w:tcPr>
            <w:tcW w:w="11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Pricing Type</w:t>
            </w:r>
          </w:p>
        </w:tc>
        <w:tc>
          <w:tcPr>
            <w:tcW w:w="146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Amount</w:t>
            </w:r>
          </w:p>
        </w:tc>
        <w:tc>
          <w:tcPr>
            <w:tcW w:w="30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Notes</w:t>
            </w:r>
          </w:p>
        </w:tc>
      </w:tr>
      <w:tr>
        <w:tc>
          <w:tcPr>
            <w:tcW w:w="38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Project Initiation &amp; Boundary Confirmation</w:t>
            </w:r>
          </w:p>
        </w:tc>
        <w:tc>
          <w:tcPr>
            <w:tcW w:w="11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Kick-off, current-state documentation, project plan</w:t>
            </w:r>
          </w:p>
        </w:tc>
      </w:tr>
      <w:tr>
        <w:tc>
          <w:tcPr>
            <w:tcW w:w="38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Oracle Fusion Financials Configuration &amp; Go-Live</w:t>
            </w:r>
          </w:p>
        </w:tc>
        <w:tc>
          <w:tcPr>
            <w:tcW w:w="11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GL, AP, AR, FA, Purchasing, Cash Management, Budgetary Control</w:t>
            </w:r>
          </w:p>
        </w:tc>
      </w:tr>
      <w:tr>
        <w:tc>
          <w:tcPr>
            <w:tcW w:w="38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Oracle Fusion HCM Configuration &amp; Go-Live</w:t>
            </w:r>
          </w:p>
        </w:tc>
        <w:tc>
          <w:tcPr>
            <w:tcW w:w="11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Core HR, Payroll, Benefits, Time &amp; Labor, Absence Management</w:t>
            </w:r>
          </w:p>
        </w:tc>
      </w:tr>
      <w:tr>
        <w:tc>
          <w:tcPr>
            <w:tcW w:w="38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Oracle Fusion Procurement</w:t>
            </w:r>
          </w:p>
        </w:tc>
        <w:tc>
          <w:tcPr>
            <w:tcW w:w="11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Procurement, Sourcing, Supplier Portal</w:t>
            </w:r>
          </w:p>
        </w:tc>
      </w:tr>
      <w:tr>
        <w:tc>
          <w:tcPr>
            <w:tcW w:w="38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Oracle EPM (Enterprise Performance Management)</w:t>
            </w:r>
          </w:p>
        </w:tc>
        <w:tc>
          <w:tcPr>
            <w:tcW w:w="11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Budgeting, Planning, Forecasting</w:t>
            </w:r>
          </w:p>
        </w:tc>
      </w:tr>
      <w:tr>
        <w:tc>
          <w:tcPr>
            <w:tcW w:w="38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Oracle Integration Cloud (OIC) — Interfaces</w:t>
            </w:r>
          </w:p>
        </w:tc>
        <w:tc>
          <w:tcPr>
            <w:tcW w:w="11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OIC-based integrations; interface count confirmed at BC</w:t>
            </w:r>
          </w:p>
        </w:tc>
      </w:tr>
      <w:tr>
        <w:tc>
          <w:tcPr>
            <w:tcW w:w="38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UKG Time &amp; Attendance Integration</w:t>
            </w:r>
          </w:p>
        </w:tc>
        <w:tc>
          <w:tcPr>
            <w:tcW w:w="11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Bi-directional; existing iteria Outagamie artifacts applicable</w:t>
            </w:r>
          </w:p>
        </w:tc>
      </w:tr>
      <w:tr>
        <w:tc>
          <w:tcPr>
            <w:tcW w:w="38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Data Migration — Financials</w:t>
            </w:r>
          </w:p>
        </w:tc>
        <w:tc>
          <w:tcPr>
            <w:tcW w:w="11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FBDI templates; up to 4 mock conversion passes</w:t>
            </w:r>
          </w:p>
        </w:tc>
      </w:tr>
      <w:tr>
        <w:tc>
          <w:tcPr>
            <w:tcW w:w="38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Data Migration — HCM / Payroll</w:t>
            </w:r>
          </w:p>
        </w:tc>
        <w:tc>
          <w:tcPr>
            <w:tcW w:w="11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HDL templates; up to 4 mock conversion passes</w:t>
            </w:r>
          </w:p>
        </w:tc>
      </w:tr>
      <w:tr>
        <w:tc>
          <w:tcPr>
            <w:tcW w:w="38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VALIDATE Automated Testing Platform</w:t>
            </w:r>
          </w:p>
        </w:tc>
        <w:tc>
          <w:tcPr>
            <w:tcW w:w="11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Included</w:t>
            </w:r>
          </w:p>
        </w:tc>
        <w:tc>
          <w:tcPr>
            <w:tcW w:w="14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$0</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500+ automated regression scripts; platform access through go-live</w:t>
            </w:r>
          </w:p>
        </w:tc>
      </w:tr>
      <w:tr>
        <w:tc>
          <w:tcPr>
            <w:tcW w:w="38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Organizational Change Management (OCM)</w:t>
            </w:r>
          </w:p>
        </w:tc>
        <w:tc>
          <w:tcPr>
            <w:tcW w:w="11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Stakeholder analysis, communication plan, change impact assessment</w:t>
            </w:r>
          </w:p>
        </w:tc>
      </w:tr>
      <w:tr>
        <w:tc>
          <w:tcPr>
            <w:tcW w:w="38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Training (Train-the-Trainer Model)</w:t>
            </w:r>
          </w:p>
        </w:tc>
        <w:tc>
          <w:tcPr>
            <w:tcW w:w="11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Module-by-module; all materials included; on-site delivery</w:t>
            </w:r>
          </w:p>
        </w:tc>
      </w:tr>
      <w:tr>
        <w:tc>
          <w:tcPr>
            <w:tcW w:w="38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Project Management</w:t>
            </w:r>
          </w:p>
        </w:tc>
        <w:tc>
          <w:tcPr>
            <w:tcW w:w="11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Fixed Fee</w:t>
            </w:r>
          </w:p>
        </w:tc>
        <w:tc>
          <w:tcPr>
            <w:tcW w:w="14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Full-time PM through go-live and hypercare period</w:t>
            </w:r>
          </w:p>
        </w:tc>
      </w:tr>
      <w:tr>
        <w:tc>
          <w:tcPr>
            <w:tcW w:w="38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Post Go-Live Hypercare (4 weeks)</w:t>
            </w:r>
          </w:p>
        </w:tc>
        <w:tc>
          <w:tcPr>
            <w:tcW w:w="11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Included</w:t>
            </w:r>
          </w:p>
        </w:tc>
        <w:tc>
          <w:tcPr>
            <w:tcW w:w="14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$0</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100% on-site weeks 1–2; remote structured support weeks 3–4</w:t>
            </w:r>
          </w:p>
        </w:tc>
      </w:tr>
      <w:tr>
        <w:tc>
          <w:tcPr>
            <w:tcW w:w="38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Travel &amp; Expenses (Estimated)</w:t>
            </w:r>
          </w:p>
        </w:tc>
        <w:tc>
          <w:tcPr>
            <w:tcW w:w="11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Reimbursable</w:t>
            </w:r>
          </w:p>
        </w:tc>
        <w:tc>
          <w:tcPr>
            <w:tcW w:w="14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At-cost per receipts; estimate provided at contract signing</w:t>
            </w:r>
          </w:p>
        </w:tc>
      </w:tr>
      <w:tr>
        <w:tc>
          <w:tcPr>
            <w:tcW w:w="38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Total Implementation Services (Fixed Fee)</w:t>
            </w:r>
          </w:p>
        </w:tc>
        <w:tc>
          <w:tcPr>
            <w:tcW w:w="11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
            </w:r>
          </w:p>
        </w:tc>
        <w:tc>
          <w:tcPr>
            <w:tcW w:w="14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Milestone-based payment schedule; see payment structure below</w:t>
            </w:r>
          </w:p>
        </w:tc>
      </w:tr>
    </w:tbl>
    <w:p>
      <w:pPr>
        <w:spacing w:before="0" w:after="60"/>
      </w:pPr>
    </w:p>
    <w:p>
      <w:pPr>
        <w:spacing w:before="60" w:after="60"/>
      </w:pPr>
      <w:r>
        <w:rPr>
          <w:rFonts w:ascii="Calibri" w:hAnsi="Calibri"/>
          <w:b w:val="0"/>
          <w:i/>
          <w:color w:val="AAAAAA"/>
          <w:sz w:val="18"/>
        </w:rPr>
        <w:t xml:space="preserve">Travel billed at cost with receipts. VALIDATE platform access and hypercare included at no additional charge. All other fees are fixed regardless of hours required to complete.</w:t>
      </w:r>
    </w:p>
    <w:p>
      <w:pPr>
        <w:spacing w:before="0" w:after="80"/>
      </w:pPr>
    </w:p>
    <w:p>
      <w:pPr>
        <w:spacing w:before="200" w:after="80"/>
      </w:pPr>
      <w:r>
        <w:rPr>
          <w:rFonts w:ascii="Calibri" w:hAnsi="Calibri"/>
          <w:b/>
          <w:i w:val="0"/>
          <w:color w:val="1A1A2E"/>
          <w:sz w:val="26"/>
        </w:rPr>
        <w:t>Exhibit B — Annual Oracle Software Subscription Fee (Usage Fee)</w:t>
      </w:r>
    </w:p>
    <w:p>
      <w:pPr>
        <w:spacing w:before="0" w:after="100" w:line="276" w:lineRule="auto"/>
        <w:jc w:val="left"/>
      </w:pPr>
      <w:r>
        <w:rPr>
          <w:rFonts w:ascii="Calibri" w:hAnsi="Calibri"/>
          <w:b w:val="0"/>
          <w:i w:val="0"/>
          <w:color w:val="1A1A2E"/>
          <w:sz w:val="22"/>
        </w:rPr>
        <w:t xml:space="preserve">Oracle Fusion Cloud is licensed as Software-as-a-Service (SaaS). Annual subscription fees are quoted and invoiced by Mythics LLC, iteria’s Oracle authorized reseller. Licensing is based on employee count and module selection. Oracle subscriptions include: all quarterly updates and patches, hosting on Oracle Cloud Infrastructure (US data centers in Ashburn, VA and Phoenix, AZ), 24/7 Oracle support for Severity 1 issues, and disaster recovery at no additional charge. The City contracts directly with Oracle / Mythics for software licensing; iteria is not a party to that contract.</w:t>
      </w:r>
    </w:p>
    <w:tbl>
      <w:tblPr>
        <w:tblW w:type="dxa" w:w="936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3600"/>
        <w:gridCol w:w="1200"/>
        <w:gridCol w:w="1560"/>
        <w:gridCol w:w="3000"/>
      </w:tblGrid>
      <w:tr>
        <w:tc>
          <w:tcPr>
            <w:tcW w:w="36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Oracle Product / Module</w:t>
            </w:r>
          </w:p>
        </w:tc>
        <w:tc>
          <w:tcPr>
            <w:tcW w:w="12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Part Number</w:t>
            </w:r>
          </w:p>
        </w:tc>
        <w:tc>
          <w:tcPr>
            <w:tcW w:w="156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Annual Fee</w:t>
            </w:r>
          </w:p>
        </w:tc>
        <w:tc>
          <w:tcPr>
            <w:tcW w:w="30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Notes</w:t>
            </w:r>
          </w:p>
        </w:tc>
      </w:tr>
      <w:tr>
        <w:tc>
          <w:tcPr>
            <w:tcW w:w="36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Oracle Fusion Cloud ERP (Financials)</w:t>
            </w:r>
          </w:p>
        </w:tc>
        <w:tc>
          <w:tcPr>
            <w:tcW w:w="12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B85800</w:t>
            </w:r>
          </w:p>
        </w:tc>
        <w:tc>
          <w:tcPr>
            <w:tcW w:w="15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[See Mythics Exhibit]</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Annual SaaS — General Ledger, AP, AR, FA, Cash, Procurement</w:t>
            </w:r>
          </w:p>
        </w:tc>
      </w:tr>
      <w:tr>
        <w:tc>
          <w:tcPr>
            <w:tcW w:w="36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Oracle Fusion Cloud HCM</w:t>
            </w:r>
          </w:p>
        </w:tc>
        <w:tc>
          <w:tcPr>
            <w:tcW w:w="12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B91086</w:t>
            </w:r>
          </w:p>
        </w:tc>
        <w:tc>
          <w:tcPr>
            <w:tcW w:w="15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[See Mythics Exhibit]</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Annual SaaS — Core HR, Time &amp; Labor, Absence, Talent</w:t>
            </w:r>
          </w:p>
        </w:tc>
      </w:tr>
      <w:tr>
        <w:tc>
          <w:tcPr>
            <w:tcW w:w="36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Oracle Fusion Cloud Payroll</w:t>
            </w:r>
          </w:p>
        </w:tc>
        <w:tc>
          <w:tcPr>
            <w:tcW w:w="12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B91064</w:t>
            </w:r>
          </w:p>
        </w:tc>
        <w:tc>
          <w:tcPr>
            <w:tcW w:w="15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[See Mythics Exhibit]</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Annual SaaS — per employee processed</w:t>
            </w:r>
          </w:p>
        </w:tc>
      </w:tr>
      <w:tr>
        <w:tc>
          <w:tcPr>
            <w:tcW w:w="36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Oracle Fusion Cloud Benefits</w:t>
            </w:r>
          </w:p>
        </w:tc>
        <w:tc>
          <w:tcPr>
            <w:tcW w:w="12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B91074</w:t>
            </w:r>
          </w:p>
        </w:tc>
        <w:tc>
          <w:tcPr>
            <w:tcW w:w="15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[See Mythics Exhibit]</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Annual SaaS — Benefits Administration</w:t>
            </w:r>
          </w:p>
        </w:tc>
      </w:tr>
      <w:tr>
        <w:tc>
          <w:tcPr>
            <w:tcW w:w="36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Oracle Fusion Cloud Project Management</w:t>
            </w:r>
          </w:p>
        </w:tc>
        <w:tc>
          <w:tcPr>
            <w:tcW w:w="12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B91084</w:t>
            </w:r>
          </w:p>
        </w:tc>
        <w:tc>
          <w:tcPr>
            <w:tcW w:w="15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[See Mythics Exhibit]</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Annual SaaS — Projects, Grants, Project Accounting</w:t>
            </w:r>
          </w:p>
        </w:tc>
      </w:tr>
      <w:tr>
        <w:tc>
          <w:tcPr>
            <w:tcW w:w="36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Oracle Fusion Cloud Maintenance (EAM)</w:t>
            </w:r>
          </w:p>
        </w:tc>
        <w:tc>
          <w:tcPr>
            <w:tcW w:w="12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B91088</w:t>
            </w:r>
          </w:p>
        </w:tc>
        <w:tc>
          <w:tcPr>
            <w:tcW w:w="15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[See Mythics Exhibit]</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Annual SaaS — Enterprise Asset Management, Work Orders</w:t>
            </w:r>
          </w:p>
        </w:tc>
      </w:tr>
      <w:tr>
        <w:tc>
          <w:tcPr>
            <w:tcW w:w="36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Oracle Enterprise Performance Management (EPM)</w:t>
            </w:r>
          </w:p>
        </w:tc>
        <w:tc>
          <w:tcPr>
            <w:tcW w:w="12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B88519</w:t>
            </w:r>
          </w:p>
        </w:tc>
        <w:tc>
          <w:tcPr>
            <w:tcW w:w="15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[See Mythics Exhibit]</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Annual SaaS — Budgeting, Planning, Forecasting</w:t>
            </w:r>
          </w:p>
        </w:tc>
      </w:tr>
      <w:tr>
        <w:tc>
          <w:tcPr>
            <w:tcW w:w="36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Oracle Integration Cloud (OIC)</w:t>
            </w:r>
          </w:p>
        </w:tc>
        <w:tc>
          <w:tcPr>
            <w:tcW w:w="12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B89639</w:t>
            </w:r>
          </w:p>
        </w:tc>
        <w:tc>
          <w:tcPr>
            <w:tcW w:w="15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[See Mythics Exhibit]</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Annual SaaS — integration platform for all interfaces</w:t>
            </w:r>
          </w:p>
        </w:tc>
      </w:tr>
      <w:tr>
        <w:tc>
          <w:tcPr>
            <w:tcW w:w="36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Oracle Analytics Cloud (OAC)</w:t>
            </w:r>
          </w:p>
        </w:tc>
        <w:tc>
          <w:tcPr>
            <w:tcW w:w="12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B90728</w:t>
            </w:r>
          </w:p>
        </w:tc>
        <w:tc>
          <w:tcPr>
            <w:tcW w:w="15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[See Mythics Exhibit]</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Annual SaaS — enterprise reporting and dashboards</w:t>
            </w:r>
          </w:p>
        </w:tc>
      </w:tr>
      <w:tr>
        <w:tc>
          <w:tcPr>
            <w:tcW w:w="36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Total Annual Oracle SaaS Fee (Year 1)</w:t>
            </w:r>
          </w:p>
        </w:tc>
        <w:tc>
          <w:tcPr>
            <w:tcW w:w="12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w:t>
            </w:r>
          </w:p>
        </w:tc>
        <w:tc>
          <w:tcPr>
            <w:tcW w:w="15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Per Mythics LLC Oracle quote; subject to final module count and employee census</w:t>
            </w:r>
          </w:p>
        </w:tc>
      </w:tr>
    </w:tbl>
    <w:p>
      <w:pPr>
        <w:spacing w:before="0" w:after="60"/>
      </w:pPr>
    </w:p>
    <w:p>
      <w:pPr>
        <w:spacing w:before="60" w:after="60"/>
      </w:pPr>
      <w:r>
        <w:rPr>
          <w:rFonts w:ascii="Calibri" w:hAnsi="Calibri"/>
          <w:b w:val="0"/>
          <w:i/>
          <w:color w:val="AAAAAA"/>
          <w:sz w:val="18"/>
        </w:rPr>
        <w:t xml:space="preserve">Oracle software pricing is subject to Oracle’s current price list at time of contract execution. Mythics LLC quote provided under separate cover. Pricing based on employee census provided by the City; final count confirmed during contract negotiation.</w:t>
      </w:r>
    </w:p>
    <w:p>
      <w:pPr>
        <w:spacing w:before="0" w:after="80"/>
      </w:pPr>
    </w:p>
    <w:p>
      <w:pPr>
        <w:spacing w:before="200" w:after="80"/>
      </w:pPr>
      <w:r>
        <w:rPr>
          <w:rFonts w:ascii="Calibri" w:hAnsi="Calibri"/>
          <w:b/>
          <w:i w:val="0"/>
          <w:color w:val="1A1A2E"/>
          <w:sz w:val="26"/>
        </w:rPr>
        <w:t>Exhibit C — Other Associated Costs</w:t>
      </w:r>
    </w:p>
    <w:p>
      <w:pPr>
        <w:spacing w:before="0" w:after="100" w:line="276" w:lineRule="auto"/>
        <w:jc w:val="left"/>
      </w:pPr>
      <w:r>
        <w:rPr>
          <w:rFonts w:ascii="Calibri" w:hAnsi="Calibri"/>
          <w:b w:val="0"/>
          <w:i w:val="0"/>
          <w:color w:val="1A1A2E"/>
          <w:sz w:val="22"/>
        </w:rPr>
        <w:t xml:space="preserve">The following items represent optional or scope-dependent costs. All figures are contingent on scope confirmation during the Boundary Confirmation phase. Items not confirmed as in-scope are excluded from the fixed implementation fee.</w:t>
      </w:r>
    </w:p>
    <w:tbl>
      <w:tblPr>
        <w:tblW w:type="dxa" w:w="936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3600"/>
        <w:gridCol w:w="1200"/>
        <w:gridCol w:w="1560"/>
        <w:gridCol w:w="3000"/>
      </w:tblGrid>
      <w:tr>
        <w:tc>
          <w:tcPr>
            <w:tcW w:w="36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Item</w:t>
            </w:r>
          </w:p>
        </w:tc>
        <w:tc>
          <w:tcPr>
            <w:tcW w:w="12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One-Time Cost</w:t>
            </w:r>
          </w:p>
        </w:tc>
        <w:tc>
          <w:tcPr>
            <w:tcW w:w="156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Annual Cost</w:t>
            </w:r>
          </w:p>
        </w:tc>
        <w:tc>
          <w:tcPr>
            <w:tcW w:w="30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Notes</w:t>
            </w:r>
          </w:p>
        </w:tc>
      </w:tr>
      <w:tr>
        <w:tc>
          <w:tcPr>
            <w:tcW w:w="36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CanAm Technologies Teller Cashiering</w:t>
            </w:r>
          </w:p>
        </w:tc>
        <w:tc>
          <w:tcPr>
            <w:tcW w:w="120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15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License + iteria integration to Oracle AR/GL; confirm scope at BC</w:t>
            </w:r>
          </w:p>
        </w:tc>
      </w:tr>
      <w:tr>
        <w:tc>
          <w:tcPr>
            <w:tcW w:w="36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Sympro Investment Management</w:t>
            </w:r>
          </w:p>
        </w:tc>
        <w:tc>
          <w:tcPr>
            <w:tcW w:w="12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15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Sympro-to-Oracle GL integration; confirm scope at BC</w:t>
            </w:r>
          </w:p>
        </w:tc>
      </w:tr>
      <w:tr>
        <w:tc>
          <w:tcPr>
            <w:tcW w:w="36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Third-Party Pension / DROP-PROP Solution</w:t>
            </w:r>
          </w:p>
        </w:tc>
        <w:tc>
          <w:tcPr>
            <w:tcW w:w="120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15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Pricing contingent on pension scope confirmed at BC; TPA or native Oracle</w:t>
            </w:r>
          </w:p>
        </w:tc>
      </w:tr>
      <w:tr>
        <w:tc>
          <w:tcPr>
            <w:tcW w:w="36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TimeClock Plus / Celeritime (if applicable)</w:t>
            </w:r>
          </w:p>
        </w:tc>
        <w:tc>
          <w:tcPr>
            <w:tcW w:w="12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15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Time clock integration to Oracle HCM Time &amp; Labor; confirm scope at BC</w:t>
            </w:r>
          </w:p>
        </w:tc>
      </w:tr>
      <w:tr>
        <w:tc>
          <w:tcPr>
            <w:tcW w:w="36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Oracle Managed Services (Post Go-Live, optional)</w:t>
            </w:r>
          </w:p>
        </w:tc>
        <w:tc>
          <w:tcPr>
            <w:tcW w:w="120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N/A</w:t>
            </w:r>
          </w:p>
        </w:tc>
        <w:tc>
          <w:tcPr>
            <w:tcW w:w="156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Monthly support retainer; optional after hypercare; billed separately</w:t>
            </w:r>
          </w:p>
        </w:tc>
      </w:tr>
      <w:tr>
        <w:tc>
          <w:tcPr>
            <w:tcW w:w="36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Total Other Associated Costs</w:t>
            </w:r>
          </w:p>
        </w:tc>
        <w:tc>
          <w:tcPr>
            <w:tcW w:w="12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156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$[CONFIRM]</w:t>
            </w:r>
          </w:p>
        </w:tc>
        <w:tc>
          <w:tcPr>
            <w:tcW w:w="30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All figures contingent on scope confirmation at Boundary Confirmation</w:t>
            </w:r>
          </w:p>
        </w:tc>
      </w:tr>
    </w:tbl>
    <w:p>
      <w:pPr>
        <w:spacing w:before="0" w:after="80"/>
      </w:pPr>
    </w:p>
    <w:p>
      <w:pPr>
        <w:spacing w:before="200" w:after="80"/>
      </w:pPr>
      <w:r>
        <w:rPr>
          <w:rFonts w:ascii="Calibri" w:hAnsi="Calibri"/>
          <w:b/>
          <w:i w:val="0"/>
          <w:color w:val="1A1A2E"/>
          <w:sz w:val="26"/>
        </w:rPr>
        <w:t>Payment Milestone Structure</w:t>
      </w:r>
    </w:p>
    <w:p>
      <w:pPr>
        <w:spacing w:before="0" w:after="100" w:line="276" w:lineRule="auto"/>
        <w:jc w:val="left"/>
      </w:pPr>
      <w:r>
        <w:rPr>
          <w:rFonts w:ascii="Calibri" w:hAnsi="Calibri"/>
          <w:b w:val="0"/>
          <w:i w:val="0"/>
          <w:color w:val="1A1A2E"/>
          <w:sz w:val="22"/>
        </w:rPr>
        <w:t xml:space="preserve">Implementation services are invoiced according to the following milestone schedule. No invoice is submitted until the City formally accepts the deliverable associated with that milestone. The 10% holdback in Milestone 6 is released upon written acceptance of the hypercare closeout report.</w:t>
      </w:r>
    </w:p>
    <w:tbl>
      <w:tblPr>
        <w:tblW w:type="dxa" w:w="9360"/>
        <w:jc w:val="left"/>
        <w:tblBorders>
          <w:top w:val="single" w:sz="4" w:space="0" w:color="CCCCDD"/>
          <w:start w:val="single" w:sz="4" w:space="0" w:color="CCCCDD"/>
          <w:bottom w:val="single" w:sz="4" w:space="0" w:color="CCCCDD"/>
          <w:end w:val="single" w:sz="4" w:space="0" w:color="CCCCDD"/>
          <w:insideH w:val="single" w:sz="4" w:space="0" w:color="CCCCDD"/>
          <w:insideV w:val="single" w:sz="4" w:space="0" w:color="CCCCDD"/>
        </w:tblBorders>
        <w:tblLook w:firstColumn="1" w:firstRow="1" w:lastColumn="0" w:lastRow="0" w:noHBand="0" w:noVBand="1" w:val="04A0"/>
      </w:tblPr>
      <w:tblGrid>
        <w:gridCol w:w="2400"/>
        <w:gridCol w:w="1200"/>
        <w:gridCol w:w="2160"/>
        <w:gridCol w:w="3600"/>
      </w:tblGrid>
      <w:tr>
        <w:tc>
          <w:tcPr>
            <w:tcW w:w="24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Milestone</w:t>
            </w:r>
          </w:p>
        </w:tc>
        <w:tc>
          <w:tcPr>
            <w:tcW w:w="12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Payment %</w:t>
            </w:r>
          </w:p>
        </w:tc>
        <w:tc>
          <w:tcPr>
            <w:tcW w:w="216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Trigger Event</w:t>
            </w:r>
          </w:p>
        </w:tc>
        <w:tc>
          <w:tcPr>
            <w:tcW w:w="3600" w:type="dxa"/>
            <w:shd w:val="clear" w:color="auto" w:fill="1A1A2E"/>
            <w:tcMar>
              <w:top w:w="80" w:type="dxa"/>
              <w:start w:w="120" w:type="dxa"/>
              <w:bottom w:w="80" w:type="dxa"/>
              <w:end w:w="120" w:type="dxa"/>
            </w:tcMar>
          </w:tcPr>
          <w:p>
            <w:pPr>
              <w:spacing w:before="40" w:after="40"/>
            </w:pPr>
            <w:r>
              <w:rPr>
                <w:rFonts w:ascii="Calibri" w:hAnsi="Calibri"/>
                <w:b/>
                <w:color w:val="FFFFFF"/>
                <w:sz w:val="20"/>
              </w:rPr>
              <w:t xml:space="preserve">Completion Criteria</w:t>
            </w:r>
          </w:p>
        </w:tc>
      </w:tr>
      <w:tr>
        <w:tc>
          <w:tcPr>
            <w:tcW w:w="240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Milestone 1</w:t>
            </w:r>
          </w:p>
        </w:tc>
        <w:tc>
          <w:tcPr>
            <w:tcW w:w="120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10%</w:t>
            </w:r>
          </w:p>
        </w:tc>
        <w:tc>
          <w:tcPr>
            <w:tcW w:w="216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Contract Execution</w:t>
            </w:r>
          </w:p>
        </w:tc>
        <w:tc>
          <w:tcPr>
            <w:tcW w:w="36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Project kickoff authorized; project plan in progress</w:t>
            </w:r>
          </w:p>
        </w:tc>
      </w:tr>
      <w:tr>
        <w:tc>
          <w:tcPr>
            <w:tcW w:w="24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Milestone 2</w:t>
            </w:r>
          </w:p>
        </w:tc>
        <w:tc>
          <w:tcPr>
            <w:tcW w:w="12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20%</w:t>
            </w:r>
          </w:p>
        </w:tc>
        <w:tc>
          <w:tcPr>
            <w:tcW w:w="216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Boundary Confirmation Accept.</w:t>
            </w:r>
          </w:p>
        </w:tc>
        <w:tc>
          <w:tcPr>
            <w:tcW w:w="36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Requirements documented; fit-gap complete; project baselined</w:t>
            </w:r>
          </w:p>
        </w:tc>
      </w:tr>
      <w:tr>
        <w:tc>
          <w:tcPr>
            <w:tcW w:w="240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Milestone 3</w:t>
            </w:r>
          </w:p>
        </w:tc>
        <w:tc>
          <w:tcPr>
            <w:tcW w:w="120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20%</w:t>
            </w:r>
          </w:p>
        </w:tc>
        <w:tc>
          <w:tcPr>
            <w:tcW w:w="216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CRP Completion</w:t>
            </w:r>
          </w:p>
        </w:tc>
        <w:tc>
          <w:tcPr>
            <w:tcW w:w="36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All modules demonstrated in conference room pilot; accepted by City</w:t>
            </w:r>
          </w:p>
        </w:tc>
      </w:tr>
      <w:tr>
        <w:tc>
          <w:tcPr>
            <w:tcW w:w="24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Milestone 4</w:t>
            </w:r>
          </w:p>
        </w:tc>
        <w:tc>
          <w:tcPr>
            <w:tcW w:w="12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20%</w:t>
            </w:r>
          </w:p>
        </w:tc>
        <w:tc>
          <w:tcPr>
            <w:tcW w:w="216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UAT Sign-Off</w:t>
            </w:r>
          </w:p>
        </w:tc>
        <w:tc>
          <w:tcPr>
            <w:tcW w:w="36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City users complete UAT; UAT exit criteria met; sign-off received</w:t>
            </w:r>
          </w:p>
        </w:tc>
      </w:tr>
      <w:tr>
        <w:tc>
          <w:tcPr>
            <w:tcW w:w="240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Milestone 5</w:t>
            </w:r>
          </w:p>
        </w:tc>
        <w:tc>
          <w:tcPr>
            <w:tcW w:w="1200" w:type="dxa"/>
            <w:shd w:val="clear" w:color="auto" w:fill="FFFFFF"/>
            <w:tcMar>
              <w:top w:w="80" w:type="dxa"/>
              <w:start w:w="120" w:type="dxa"/>
              <w:bottom w:w="80" w:type="dxa"/>
              <w:end w:w="120" w:type="dxa"/>
            </w:tcMar>
          </w:tcPr>
          <w:p>
            <w:pPr>
              <w:spacing w:before="40" w:after="40"/>
            </w:pPr>
            <w:r>
              <w:rPr>
                <w:rFonts w:ascii="Calibri" w:hAnsi="Calibri"/>
                <w:b/>
                <w:color w:val="1A1A2E"/>
                <w:sz w:val="20"/>
              </w:rPr>
              <w:t xml:space="preserve">20%</w:t>
            </w:r>
          </w:p>
        </w:tc>
        <w:tc>
          <w:tcPr>
            <w:tcW w:w="216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Go-Live</w:t>
            </w:r>
          </w:p>
        </w:tc>
        <w:tc>
          <w:tcPr>
            <w:tcW w:w="3600" w:type="dxa"/>
            <w:shd w:val="clear" w:color="auto" w:fill="FFFFFF"/>
            <w:tcMar>
              <w:top w:w="80" w:type="dxa"/>
              <w:start w:w="120" w:type="dxa"/>
              <w:bottom w:w="80" w:type="dxa"/>
              <w:end w:w="120" w:type="dxa"/>
            </w:tcMar>
          </w:tcPr>
          <w:p>
            <w:pPr>
              <w:spacing w:before="40" w:after="40"/>
            </w:pPr>
            <w:r>
              <w:rPr>
                <w:rFonts w:ascii="Calibri" w:hAnsi="Calibri"/>
                <w:b w:val="0"/>
                <w:color w:val="1A1A2E"/>
                <w:sz w:val="20"/>
              </w:rPr>
              <w:t xml:space="preserve">Production cutover complete; Day 1 operations confirmed</w:t>
            </w:r>
          </w:p>
        </w:tc>
      </w:tr>
      <w:tr>
        <w:tc>
          <w:tcPr>
            <w:tcW w:w="24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Milestone 6</w:t>
            </w:r>
          </w:p>
        </w:tc>
        <w:tc>
          <w:tcPr>
            <w:tcW w:w="1200" w:type="dxa"/>
            <w:shd w:val="clear" w:color="auto" w:fill="F4F4F8"/>
            <w:tcMar>
              <w:top w:w="80" w:type="dxa"/>
              <w:start w:w="120" w:type="dxa"/>
              <w:bottom w:w="80" w:type="dxa"/>
              <w:end w:w="120" w:type="dxa"/>
            </w:tcMar>
          </w:tcPr>
          <w:p>
            <w:pPr>
              <w:spacing w:before="40" w:after="40"/>
            </w:pPr>
            <w:r>
              <w:rPr>
                <w:rFonts w:ascii="Calibri" w:hAnsi="Calibri"/>
                <w:b/>
                <w:color w:val="1A1A2E"/>
                <w:sz w:val="20"/>
              </w:rPr>
              <w:t xml:space="preserve">10%</w:t>
            </w:r>
          </w:p>
        </w:tc>
        <w:tc>
          <w:tcPr>
            <w:tcW w:w="216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Hypercare Completion</w:t>
            </w:r>
          </w:p>
        </w:tc>
        <w:tc>
          <w:tcPr>
            <w:tcW w:w="3600" w:type="dxa"/>
            <w:shd w:val="clear" w:color="auto" w:fill="F4F4F8"/>
            <w:tcMar>
              <w:top w:w="80" w:type="dxa"/>
              <w:start w:w="120" w:type="dxa"/>
              <w:bottom w:w="80" w:type="dxa"/>
              <w:end w:w="120" w:type="dxa"/>
            </w:tcMar>
          </w:tcPr>
          <w:p>
            <w:pPr>
              <w:spacing w:before="40" w:after="40"/>
            </w:pPr>
            <w:r>
              <w:rPr>
                <w:rFonts w:ascii="Calibri" w:hAnsi="Calibri"/>
                <w:b w:val="0"/>
                <w:color w:val="1A1A2E"/>
                <w:sz w:val="20"/>
              </w:rPr>
              <w:t xml:space="preserve">4-week hypercare complete; all open Sev 1-2 issues resolved; closeout report accepted</w:t>
            </w:r>
          </w:p>
        </w:tc>
      </w:tr>
    </w:tbl>
    <w:p>
      <w:pPr>
        <w:spacing w:before="0" w:after="60"/>
      </w:pPr>
    </w:p>
    <w:p>
      <w:pPr>
        <w:spacing w:before="60" w:after="60"/>
      </w:pPr>
      <w:r>
        <w:rPr>
          <w:rFonts w:ascii="Calibri" w:hAnsi="Calibri"/>
          <w:b w:val="0"/>
          <w:i/>
          <w:color w:val="AAAAAA"/>
          <w:sz w:val="18"/>
        </w:rPr>
        <w:t xml:space="preserve">Exact payment amounts for each milestone calculated by applying the percentage to the total fixed fee confirmed at contract execution. Milestone descriptions and completion criteria finalized during contract negotiation.</w:t>
      </w:r>
    </w:p>
    <w:p>
      <w:pPr>
        <w:spacing w:before="0" w:after="80"/>
      </w:pPr>
    </w:p>
    <w:p>
      <w:pPr>
        <w:spacing w:before="200" w:after="80"/>
      </w:pPr>
      <w:r>
        <w:rPr>
          <w:rFonts w:ascii="Calibri" w:hAnsi="Calibri"/>
          <w:b/>
          <w:i w:val="0"/>
          <w:color w:val="1A1A2E"/>
          <w:sz w:val="26"/>
        </w:rPr>
        <w:t>Pricing Assumptions</w:t>
      </w:r>
    </w:p>
    <w:p>
      <w:pPr>
        <w:spacing w:before="0" w:after="100" w:line="276" w:lineRule="auto"/>
        <w:jc w:val="left"/>
      </w:pPr>
      <w:r>
        <w:rPr>
          <w:rFonts w:ascii="Calibri" w:hAnsi="Calibri"/>
          <w:b w:val="0"/>
          <w:i w:val="0"/>
          <w:color w:val="1A1A2E"/>
          <w:sz w:val="22"/>
        </w:rPr>
        <w:t xml:space="preserve">The following assumptions govern this cost proposal. Any material change to these assumptions may require a formal scope change:</w:t>
      </w:r>
    </w:p>
    <w:p>
      <w:pPr>
        <w:spacing w:before="0" w:after="100" w:line="276" w:lineRule="auto"/>
        <w:jc w:val="left"/>
      </w:pPr>
      <w:r>
        <w:rPr>
          <w:rFonts w:ascii="Calibri" w:hAnsi="Calibri"/>
          <w:b w:val="0"/>
          <w:i w:val="0"/>
          <w:color w:val="1A1A2E"/>
          <w:sz w:val="22"/>
        </w:rPr>
        <w:t xml:space="preserve">1.  Scope is as defined in this proposal and the attached Scope of Work exhibit. Additional modules or integrations identified during Boundary Confirmation are priced via change request.</w:t>
      </w:r>
    </w:p>
    <w:p>
      <w:pPr>
        <w:spacing w:before="0" w:after="100" w:line="276" w:lineRule="auto"/>
        <w:jc w:val="left"/>
      </w:pPr>
      <w:r>
        <w:rPr>
          <w:rFonts w:ascii="Calibri" w:hAnsi="Calibri"/>
          <w:b w:val="0"/>
          <w:i w:val="0"/>
          <w:color w:val="1A1A2E"/>
          <w:sz w:val="22"/>
        </w:rPr>
        <w:t xml:space="preserve">2.  The City provides timely access to subject matter experts (SMEs) for requirements sessions, CRP, SIT, and UAT. Delays attributable to City resource unavailability may require timeline adjustment.</w:t>
      </w:r>
    </w:p>
    <w:p>
      <w:pPr>
        <w:spacing w:before="0" w:after="100" w:line="276" w:lineRule="auto"/>
        <w:jc w:val="left"/>
      </w:pPr>
      <w:r>
        <w:rPr>
          <w:rFonts w:ascii="Calibri" w:hAnsi="Calibri"/>
          <w:b w:val="0"/>
          <w:i w:val="0"/>
          <w:color w:val="1A1A2E"/>
          <w:sz w:val="22"/>
        </w:rPr>
        <w:t xml:space="preserve">3.  Data cleansing and data extract from legacy systems (Oracle EBS / other) is a City-led activity. iteria provides templates and guidance; the City provides cleansed data on schedule.</w:t>
      </w:r>
    </w:p>
    <w:p>
      <w:pPr>
        <w:spacing w:before="0" w:after="100" w:line="276" w:lineRule="auto"/>
        <w:jc w:val="left"/>
      </w:pPr>
      <w:r>
        <w:rPr>
          <w:rFonts w:ascii="Calibri" w:hAnsi="Calibri"/>
          <w:b w:val="0"/>
          <w:i w:val="0"/>
          <w:color w:val="1A1A2E"/>
          <w:sz w:val="22"/>
        </w:rPr>
        <w:t xml:space="preserve">4.  Oracle licensing terms are per the current Oracle price list at time of contracting. Mythics LLC provides the Oracle quote under separate cover.</w:t>
      </w:r>
    </w:p>
    <w:p>
      <w:pPr>
        <w:spacing w:before="0" w:after="100" w:line="276" w:lineRule="auto"/>
        <w:jc w:val="left"/>
      </w:pPr>
      <w:r>
        <w:rPr>
          <w:rFonts w:ascii="Calibri" w:hAnsi="Calibri"/>
          <w:b w:val="0"/>
          <w:i w:val="0"/>
          <w:color w:val="1A1A2E"/>
          <w:sz w:val="22"/>
        </w:rPr>
        <w:t xml:space="preserve">5.  Pension management scope (DROP/PROP) is to be confirmed at Boundary Confirmation. Native Oracle Pension or third-party TPA integration is priced separately; it is not included in the base fixed fee above.</w:t>
      </w:r>
    </w:p>
    <w:p>
      <w:pPr>
        <w:spacing w:before="0" w:after="100" w:line="276" w:lineRule="auto"/>
        <w:jc w:val="left"/>
      </w:pPr>
      <w:r>
        <w:rPr>
          <w:rFonts w:ascii="Calibri" w:hAnsi="Calibri"/>
          <w:b w:val="0"/>
          <w:i w:val="0"/>
          <w:color w:val="1A1A2E"/>
          <w:sz w:val="22"/>
        </w:rPr>
        <w:t xml:space="preserve">6.  CanAm Technologies, Sympro, and any other third-party product integrations are priced separately and are not included in the base implementation fee unless specifically confirmed in writing.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jc w:val="center"/>
    </w:pPr>
    <w:r>
      <w:rPr>
        <w:rFonts w:ascii="Calibri" w:hAnsi="Calibri"/>
        <w:b w:val="0"/>
        <w:i w:val="0"/>
        <w:color w:val="888888"/>
        <w:sz w:val="16"/>
      </w:rPr>
      <w:t xml:space="preserve">iteria.us  ·  Certified Oracle Partner  ·  Confidential  ·  Page </w:t>
    </w:r>
    <w:r>
      <w:fldChar w:fldCharType="begin"/>
    </w:r>
    <w:r>
      <w:instrText xml:space="preserve"> PAGE </w:instrText>
    </w:r>
    <w:r>
      <w:fldChar w:fldCharType="end"/>
    </w:r>
    <w:r>
      <w:rPr>
        <w:rFonts w:ascii="Calibri" w:hAnsi="Calibri"/>
        <w:b w:val="0"/>
        <w:i w:val="0"/>
        <w:color w:val="888888"/>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F0530A"/>
      </w:pBdr>
      <w:spacing w:before="0" w:after="0"/>
      <w:jc w:val="right"/>
    </w:pPr>
    <w:r>
      <w:rPr>
        <w:rFonts w:ascii="Calibri" w:hAnsi="Calibri"/>
        <w:b/>
        <w:i w:val="0"/>
        <w:color w:val="F0530A"/>
        <w:sz w:val="18"/>
      </w:rPr>
      <w:t>iteria.us</w:t>
    </w:r>
    <w:r>
      <w:rPr>
        <w:rFonts w:ascii="Calibri" w:hAnsi="Calibri"/>
        <w:b w:val="0"/>
        <w:i w:val="0"/>
        <w:color w:val="888888"/>
        <w:sz w:val="18"/>
      </w:rPr>
      <w:t xml:space="preserve">  ·  RFP-26-078</w:t>
    </w:r>
    <w:r>
      <w:rPr>
        <w:rFonts w:ascii="Calibri" w:hAnsi="Calibri"/>
        <w:b w:val="0"/>
        <w:i w:val="0"/>
        <w:color w:val="888888"/>
        <w:sz w:val="18"/>
      </w:rPr>
      <w:t xml:space="preser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