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6814758"/>
        <w:docPartObj>
          <w:docPartGallery w:val="Cover Pages"/>
          <w:docPartUnique/>
        </w:docPartObj>
      </w:sdtPr>
      <w:sdtEndPr/>
      <w:sdtContent>
        <w:p w14:paraId="522C57A4" w14:textId="72549388" w:rsidR="00F2139E" w:rsidRDefault="00F2139E">
          <w:r>
            <w:rPr>
              <w:noProof/>
            </w:rPr>
            <mc:AlternateContent>
              <mc:Choice Requires="wpg">
                <w:drawing>
                  <wp:anchor distT="0" distB="0" distL="114300" distR="114300" simplePos="0" relativeHeight="251659264" behindDoc="1" locked="0" layoutInCell="1" allowOverlap="1" wp14:anchorId="0A2AFEC1" wp14:editId="2E7BF33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F2F3320" w14:textId="0BFFFD51" w:rsidR="00F2139E" w:rsidRDefault="000D35C6">
                                      <w:pPr>
                                        <w:pStyle w:val="NoSpacing"/>
                                        <w:rPr>
                                          <w:color w:val="FFFFFF" w:themeColor="background1"/>
                                          <w:sz w:val="32"/>
                                          <w:szCs w:val="32"/>
                                        </w:rPr>
                                      </w:pPr>
                                      <w:r>
                                        <w:rPr>
                                          <w:color w:val="FFFFFF" w:themeColor="background1"/>
                                          <w:sz w:val="32"/>
                                          <w:szCs w:val="32"/>
                                        </w:rPr>
                                        <w:t>Oladipupo Hilton</w:t>
                                      </w:r>
                                    </w:p>
                                  </w:sdtContent>
                                </w:sdt>
                                <w:p w14:paraId="40C922B9" w14:textId="55B23B84" w:rsidR="00F2139E" w:rsidRDefault="005A5C9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2139E">
                                        <w:rPr>
                                          <w:caps/>
                                          <w:color w:val="FFFFFF" w:themeColor="background1"/>
                                        </w:rPr>
                                        <w:t>De Montfort University</w:t>
                                      </w:r>
                                    </w:sdtContent>
                                  </w:sdt>
                                  <w:r w:rsidR="00F2139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2139E">
                                        <w:rPr>
                                          <w:caps/>
                                          <w:color w:val="FFFFFF" w:themeColor="background1"/>
                                        </w:rPr>
                                        <w:t>2686917</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5F3B6" w14:textId="7A9BF460" w:rsidR="00F2139E" w:rsidRDefault="005A5C9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F2139E">
                                        <w:rPr>
                                          <w:rFonts w:asciiTheme="majorHAnsi" w:eastAsiaTheme="majorEastAsia" w:hAnsiTheme="majorHAnsi" w:cstheme="majorBidi"/>
                                          <w:color w:val="595959" w:themeColor="text1" w:themeTint="A6"/>
                                          <w:sz w:val="108"/>
                                          <w:szCs w:val="108"/>
                                        </w:rPr>
                                        <w:t>Report on Guided Learning Hours in Sixth Form and Further Education Colleges</w:t>
                                      </w:r>
                                    </w:sdtContent>
                                  </w:sdt>
                                  <w:r w:rsidR="00F2139E">
                                    <w:rPr>
                                      <w:rFonts w:asciiTheme="majorHAnsi" w:eastAsiaTheme="majorEastAsia" w:hAnsiTheme="majorHAnsi" w:cstheme="majorBidi"/>
                                      <w:color w:val="595959" w:themeColor="text1" w:themeTint="A6"/>
                                      <w:sz w:val="108"/>
                                      <w:szCs w:val="108"/>
                                    </w:rPr>
                                    <w:t xml:space="preserve"> </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A38B86" w14:textId="4E332F41" w:rsidR="00F2139E" w:rsidRDefault="00F2139E">
                                      <w:pPr>
                                        <w:pStyle w:val="NoSpacing"/>
                                        <w:spacing w:before="240"/>
                                        <w:rPr>
                                          <w:caps/>
                                          <w:color w:val="44546A" w:themeColor="text2"/>
                                          <w:sz w:val="36"/>
                                          <w:szCs w:val="36"/>
                                        </w:rPr>
                                      </w:pPr>
                                      <w:r>
                                        <w:rPr>
                                          <w:caps/>
                                          <w:color w:val="44546A" w:themeColor="text2"/>
                                          <w:sz w:val="36"/>
                                          <w:szCs w:val="36"/>
                                        </w:rPr>
                                        <w:t>IMAT5168: ANALYTICS PROGRAMMING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2AFEC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F2F3320" w14:textId="0BFFFD51" w:rsidR="00F2139E" w:rsidRDefault="000D35C6">
                                <w:pPr>
                                  <w:pStyle w:val="NoSpacing"/>
                                  <w:rPr>
                                    <w:color w:val="FFFFFF" w:themeColor="background1"/>
                                    <w:sz w:val="32"/>
                                    <w:szCs w:val="32"/>
                                  </w:rPr>
                                </w:pPr>
                                <w:r>
                                  <w:rPr>
                                    <w:color w:val="FFFFFF" w:themeColor="background1"/>
                                    <w:sz w:val="32"/>
                                    <w:szCs w:val="32"/>
                                  </w:rPr>
                                  <w:t>Oladipupo Hilton</w:t>
                                </w:r>
                              </w:p>
                            </w:sdtContent>
                          </w:sdt>
                          <w:p w14:paraId="40C922B9" w14:textId="55B23B84" w:rsidR="00F2139E" w:rsidRDefault="005A5C9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2139E">
                                  <w:rPr>
                                    <w:caps/>
                                    <w:color w:val="FFFFFF" w:themeColor="background1"/>
                                  </w:rPr>
                                  <w:t>De Montfort University</w:t>
                                </w:r>
                              </w:sdtContent>
                            </w:sdt>
                            <w:r w:rsidR="00F2139E">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2139E">
                                  <w:rPr>
                                    <w:caps/>
                                    <w:color w:val="FFFFFF" w:themeColor="background1"/>
                                  </w:rPr>
                                  <w:t>2686917</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F45F3B6" w14:textId="7A9BF460" w:rsidR="00F2139E" w:rsidRDefault="005A5C9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F2139E">
                                  <w:rPr>
                                    <w:rFonts w:asciiTheme="majorHAnsi" w:eastAsiaTheme="majorEastAsia" w:hAnsiTheme="majorHAnsi" w:cstheme="majorBidi"/>
                                    <w:color w:val="595959" w:themeColor="text1" w:themeTint="A6"/>
                                    <w:sz w:val="108"/>
                                    <w:szCs w:val="108"/>
                                  </w:rPr>
                                  <w:t>Report on Guided Learning Hours in Sixth Form and Further Education Colleges</w:t>
                                </w:r>
                              </w:sdtContent>
                            </w:sdt>
                            <w:r w:rsidR="00F2139E">
                              <w:rPr>
                                <w:rFonts w:asciiTheme="majorHAnsi" w:eastAsiaTheme="majorEastAsia" w:hAnsiTheme="majorHAnsi" w:cstheme="majorBidi"/>
                                <w:color w:val="595959" w:themeColor="text1" w:themeTint="A6"/>
                                <w:sz w:val="108"/>
                                <w:szCs w:val="108"/>
                              </w:rPr>
                              <w:t xml:space="preserve"> </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A38B86" w14:textId="4E332F41" w:rsidR="00F2139E" w:rsidRDefault="00F2139E">
                                <w:pPr>
                                  <w:pStyle w:val="NoSpacing"/>
                                  <w:spacing w:before="240"/>
                                  <w:rPr>
                                    <w:caps/>
                                    <w:color w:val="44546A" w:themeColor="text2"/>
                                    <w:sz w:val="36"/>
                                    <w:szCs w:val="36"/>
                                  </w:rPr>
                                </w:pPr>
                                <w:r>
                                  <w:rPr>
                                    <w:caps/>
                                    <w:color w:val="44546A" w:themeColor="text2"/>
                                    <w:sz w:val="36"/>
                                    <w:szCs w:val="36"/>
                                  </w:rPr>
                                  <w:t>IMAT5168: ANALYTICS PROGRAMMING</w:t>
                                </w:r>
                              </w:p>
                            </w:sdtContent>
                          </w:sdt>
                        </w:txbxContent>
                      </v:textbox>
                    </v:shape>
                    <w10:wrap anchorx="page" anchory="page"/>
                  </v:group>
                </w:pict>
              </mc:Fallback>
            </mc:AlternateContent>
          </w:r>
        </w:p>
        <w:p w14:paraId="6591A16F" w14:textId="5329AB46" w:rsidR="00547624" w:rsidRDefault="00F2139E" w:rsidP="000D35C6">
          <w:pPr>
            <w:spacing w:line="259" w:lineRule="auto"/>
            <w:jc w:val="left"/>
          </w:pPr>
          <w:r>
            <w:br w:type="page"/>
          </w:r>
        </w:p>
      </w:sdtContent>
    </w:sdt>
    <w:sdt>
      <w:sdtPr>
        <w:rPr>
          <w:rFonts w:asciiTheme="minorHAnsi" w:eastAsiaTheme="minorEastAsia" w:hAnsiTheme="minorHAnsi" w:cstheme="minorBidi"/>
          <w:color w:val="auto"/>
          <w:sz w:val="22"/>
          <w:szCs w:val="22"/>
        </w:rPr>
        <w:id w:val="340206869"/>
        <w:docPartObj>
          <w:docPartGallery w:val="Table of Contents"/>
          <w:docPartUnique/>
        </w:docPartObj>
      </w:sdtPr>
      <w:sdtEndPr>
        <w:rPr>
          <w:rFonts w:ascii="Times New Roman" w:hAnsi="Times New Roman" w:cs="Times New Roman"/>
          <w:noProof/>
        </w:rPr>
      </w:sdtEndPr>
      <w:sdtContent>
        <w:p w14:paraId="1EEB0AC6" w14:textId="74F2C28C" w:rsidR="00547624" w:rsidRPr="00F2139E" w:rsidRDefault="00DF226D" w:rsidP="001F6E55">
          <w:pPr>
            <w:pStyle w:val="TOCHeading"/>
            <w:rPr>
              <w:rFonts w:asciiTheme="minorHAnsi" w:hAnsiTheme="minorHAnsi" w:cstheme="minorBidi"/>
            </w:rPr>
          </w:pPr>
          <w:r>
            <w:t>CONTENTS</w:t>
          </w:r>
        </w:p>
        <w:p w14:paraId="115BEA1D" w14:textId="35BB28E9" w:rsidR="00D24FA4" w:rsidRDefault="00547624">
          <w:pPr>
            <w:pStyle w:val="TOC1"/>
            <w:tabs>
              <w:tab w:val="left" w:pos="440"/>
              <w:tab w:val="right" w:leader="dot" w:pos="9019"/>
            </w:tabs>
            <w:rPr>
              <w:rFonts w:asciiTheme="minorHAnsi" w:hAnsiTheme="minorHAnsi" w:cstheme="minorBidi"/>
              <w:noProof/>
              <w:lang w:val="en-GB" w:eastAsia="en-GB"/>
            </w:rPr>
          </w:pPr>
          <w:r>
            <w:fldChar w:fldCharType="begin"/>
          </w:r>
          <w:r>
            <w:instrText xml:space="preserve"> TOC \o "1-3" \h \z \u </w:instrText>
          </w:r>
          <w:r>
            <w:fldChar w:fldCharType="separate"/>
          </w:r>
          <w:hyperlink w:anchor="_Toc104199479" w:history="1">
            <w:r w:rsidR="00D24FA4" w:rsidRPr="002A56E5">
              <w:rPr>
                <w:rStyle w:val="Hyperlink"/>
                <w:noProof/>
              </w:rPr>
              <w:t>1.</w:t>
            </w:r>
            <w:r w:rsidR="00D24FA4">
              <w:rPr>
                <w:rFonts w:asciiTheme="minorHAnsi" w:hAnsiTheme="minorHAnsi" w:cstheme="minorBidi"/>
                <w:noProof/>
                <w:lang w:val="en-GB" w:eastAsia="en-GB"/>
              </w:rPr>
              <w:tab/>
            </w:r>
            <w:r w:rsidR="00D24FA4" w:rsidRPr="002A56E5">
              <w:rPr>
                <w:rStyle w:val="Hyperlink"/>
                <w:noProof/>
              </w:rPr>
              <w:t>SUMMARY</w:t>
            </w:r>
            <w:r w:rsidR="00D24FA4">
              <w:rPr>
                <w:noProof/>
                <w:webHidden/>
              </w:rPr>
              <w:tab/>
            </w:r>
            <w:r w:rsidR="00D24FA4">
              <w:rPr>
                <w:noProof/>
                <w:webHidden/>
              </w:rPr>
              <w:fldChar w:fldCharType="begin"/>
            </w:r>
            <w:r w:rsidR="00D24FA4">
              <w:rPr>
                <w:noProof/>
                <w:webHidden/>
              </w:rPr>
              <w:instrText xml:space="preserve"> PAGEREF _Toc104199479 \h </w:instrText>
            </w:r>
            <w:r w:rsidR="00D24FA4">
              <w:rPr>
                <w:noProof/>
                <w:webHidden/>
              </w:rPr>
            </w:r>
            <w:r w:rsidR="00D24FA4">
              <w:rPr>
                <w:noProof/>
                <w:webHidden/>
              </w:rPr>
              <w:fldChar w:fldCharType="separate"/>
            </w:r>
            <w:r w:rsidR="00D24FA4">
              <w:rPr>
                <w:noProof/>
                <w:webHidden/>
              </w:rPr>
              <w:t>2</w:t>
            </w:r>
            <w:r w:rsidR="00D24FA4">
              <w:rPr>
                <w:noProof/>
                <w:webHidden/>
              </w:rPr>
              <w:fldChar w:fldCharType="end"/>
            </w:r>
          </w:hyperlink>
        </w:p>
        <w:p w14:paraId="0E3127A4" w14:textId="0A5865E1" w:rsidR="00D24FA4" w:rsidRDefault="00D24FA4">
          <w:pPr>
            <w:pStyle w:val="TOC1"/>
            <w:tabs>
              <w:tab w:val="right" w:leader="dot" w:pos="9019"/>
            </w:tabs>
            <w:rPr>
              <w:rFonts w:asciiTheme="minorHAnsi" w:hAnsiTheme="minorHAnsi" w:cstheme="minorBidi"/>
              <w:noProof/>
              <w:lang w:val="en-GB" w:eastAsia="en-GB"/>
            </w:rPr>
          </w:pPr>
          <w:hyperlink w:anchor="_Toc104199480" w:history="1">
            <w:r w:rsidRPr="002A56E5">
              <w:rPr>
                <w:rStyle w:val="Hyperlink"/>
                <w:noProof/>
              </w:rPr>
              <w:t>2.METHODS</w:t>
            </w:r>
            <w:r>
              <w:rPr>
                <w:noProof/>
                <w:webHidden/>
              </w:rPr>
              <w:tab/>
            </w:r>
            <w:r>
              <w:rPr>
                <w:noProof/>
                <w:webHidden/>
              </w:rPr>
              <w:fldChar w:fldCharType="begin"/>
            </w:r>
            <w:r>
              <w:rPr>
                <w:noProof/>
                <w:webHidden/>
              </w:rPr>
              <w:instrText xml:space="preserve"> PAGEREF _Toc104199480 \h </w:instrText>
            </w:r>
            <w:r>
              <w:rPr>
                <w:noProof/>
                <w:webHidden/>
              </w:rPr>
            </w:r>
            <w:r>
              <w:rPr>
                <w:noProof/>
                <w:webHidden/>
              </w:rPr>
              <w:fldChar w:fldCharType="separate"/>
            </w:r>
            <w:r>
              <w:rPr>
                <w:noProof/>
                <w:webHidden/>
              </w:rPr>
              <w:t>3</w:t>
            </w:r>
            <w:r>
              <w:rPr>
                <w:noProof/>
                <w:webHidden/>
              </w:rPr>
              <w:fldChar w:fldCharType="end"/>
            </w:r>
          </w:hyperlink>
        </w:p>
        <w:p w14:paraId="0ECA6E89" w14:textId="32ABE687" w:rsidR="00D24FA4" w:rsidRDefault="00D24FA4">
          <w:pPr>
            <w:pStyle w:val="TOC2"/>
            <w:tabs>
              <w:tab w:val="right" w:leader="dot" w:pos="9019"/>
            </w:tabs>
            <w:rPr>
              <w:rFonts w:asciiTheme="minorHAnsi" w:hAnsiTheme="minorHAnsi" w:cstheme="minorBidi"/>
              <w:noProof/>
              <w:lang w:val="en-GB" w:eastAsia="en-GB"/>
            </w:rPr>
          </w:pPr>
          <w:hyperlink w:anchor="_Toc104199481" w:history="1">
            <w:r w:rsidRPr="002A56E5">
              <w:rPr>
                <w:rStyle w:val="Hyperlink"/>
                <w:rFonts w:eastAsia="Times New Roman"/>
                <w:noProof/>
              </w:rPr>
              <w:t>DATA IMPORTATION AND CLEANING</w:t>
            </w:r>
            <w:r>
              <w:rPr>
                <w:noProof/>
                <w:webHidden/>
              </w:rPr>
              <w:tab/>
            </w:r>
            <w:r>
              <w:rPr>
                <w:noProof/>
                <w:webHidden/>
              </w:rPr>
              <w:fldChar w:fldCharType="begin"/>
            </w:r>
            <w:r>
              <w:rPr>
                <w:noProof/>
                <w:webHidden/>
              </w:rPr>
              <w:instrText xml:space="preserve"> PAGEREF _Toc104199481 \h </w:instrText>
            </w:r>
            <w:r>
              <w:rPr>
                <w:noProof/>
                <w:webHidden/>
              </w:rPr>
            </w:r>
            <w:r>
              <w:rPr>
                <w:noProof/>
                <w:webHidden/>
              </w:rPr>
              <w:fldChar w:fldCharType="separate"/>
            </w:r>
            <w:r>
              <w:rPr>
                <w:noProof/>
                <w:webHidden/>
              </w:rPr>
              <w:t>3</w:t>
            </w:r>
            <w:r>
              <w:rPr>
                <w:noProof/>
                <w:webHidden/>
              </w:rPr>
              <w:fldChar w:fldCharType="end"/>
            </w:r>
          </w:hyperlink>
        </w:p>
        <w:p w14:paraId="06FF3AD7" w14:textId="758BE533" w:rsidR="00D24FA4" w:rsidRDefault="00D24FA4">
          <w:pPr>
            <w:pStyle w:val="TOC2"/>
            <w:tabs>
              <w:tab w:val="right" w:leader="dot" w:pos="9019"/>
            </w:tabs>
            <w:rPr>
              <w:rFonts w:asciiTheme="minorHAnsi" w:hAnsiTheme="minorHAnsi" w:cstheme="minorBidi"/>
              <w:noProof/>
              <w:lang w:val="en-GB" w:eastAsia="en-GB"/>
            </w:rPr>
          </w:pPr>
          <w:hyperlink w:anchor="_Toc104199482" w:history="1">
            <w:r w:rsidRPr="002A56E5">
              <w:rPr>
                <w:rStyle w:val="Hyperlink"/>
                <w:noProof/>
              </w:rPr>
              <w:t>IDENTIFYING ANOMALIES</w:t>
            </w:r>
            <w:r>
              <w:rPr>
                <w:noProof/>
                <w:webHidden/>
              </w:rPr>
              <w:tab/>
            </w:r>
            <w:r>
              <w:rPr>
                <w:noProof/>
                <w:webHidden/>
              </w:rPr>
              <w:fldChar w:fldCharType="begin"/>
            </w:r>
            <w:r>
              <w:rPr>
                <w:noProof/>
                <w:webHidden/>
              </w:rPr>
              <w:instrText xml:space="preserve"> PAGEREF _Toc104199482 \h </w:instrText>
            </w:r>
            <w:r>
              <w:rPr>
                <w:noProof/>
                <w:webHidden/>
              </w:rPr>
            </w:r>
            <w:r>
              <w:rPr>
                <w:noProof/>
                <w:webHidden/>
              </w:rPr>
              <w:fldChar w:fldCharType="separate"/>
            </w:r>
            <w:r>
              <w:rPr>
                <w:noProof/>
                <w:webHidden/>
              </w:rPr>
              <w:t>3</w:t>
            </w:r>
            <w:r>
              <w:rPr>
                <w:noProof/>
                <w:webHidden/>
              </w:rPr>
              <w:fldChar w:fldCharType="end"/>
            </w:r>
          </w:hyperlink>
        </w:p>
        <w:p w14:paraId="0880FF02" w14:textId="4878C025" w:rsidR="00D24FA4" w:rsidRDefault="00D24FA4">
          <w:pPr>
            <w:pStyle w:val="TOC2"/>
            <w:tabs>
              <w:tab w:val="right" w:leader="dot" w:pos="9019"/>
            </w:tabs>
            <w:rPr>
              <w:rFonts w:asciiTheme="minorHAnsi" w:hAnsiTheme="minorHAnsi" w:cstheme="minorBidi"/>
              <w:noProof/>
              <w:lang w:val="en-GB" w:eastAsia="en-GB"/>
            </w:rPr>
          </w:pPr>
          <w:hyperlink w:anchor="_Toc104199483" w:history="1">
            <w:r w:rsidRPr="002A56E5">
              <w:rPr>
                <w:rStyle w:val="Hyperlink"/>
                <w:noProof/>
              </w:rPr>
              <w:t>Exploratory data analysis</w:t>
            </w:r>
            <w:r>
              <w:rPr>
                <w:noProof/>
                <w:webHidden/>
              </w:rPr>
              <w:tab/>
            </w:r>
            <w:r>
              <w:rPr>
                <w:noProof/>
                <w:webHidden/>
              </w:rPr>
              <w:fldChar w:fldCharType="begin"/>
            </w:r>
            <w:r>
              <w:rPr>
                <w:noProof/>
                <w:webHidden/>
              </w:rPr>
              <w:instrText xml:space="preserve"> PAGEREF _Toc104199483 \h </w:instrText>
            </w:r>
            <w:r>
              <w:rPr>
                <w:noProof/>
                <w:webHidden/>
              </w:rPr>
            </w:r>
            <w:r>
              <w:rPr>
                <w:noProof/>
                <w:webHidden/>
              </w:rPr>
              <w:fldChar w:fldCharType="separate"/>
            </w:r>
            <w:r>
              <w:rPr>
                <w:noProof/>
                <w:webHidden/>
              </w:rPr>
              <w:t>4</w:t>
            </w:r>
            <w:r>
              <w:rPr>
                <w:noProof/>
                <w:webHidden/>
              </w:rPr>
              <w:fldChar w:fldCharType="end"/>
            </w:r>
          </w:hyperlink>
        </w:p>
        <w:p w14:paraId="57C3AC58" w14:textId="564F5503" w:rsidR="00D24FA4" w:rsidRDefault="00D24FA4">
          <w:pPr>
            <w:pStyle w:val="TOC3"/>
            <w:tabs>
              <w:tab w:val="right" w:leader="dot" w:pos="9019"/>
            </w:tabs>
            <w:rPr>
              <w:rFonts w:asciiTheme="minorHAnsi" w:hAnsiTheme="minorHAnsi" w:cstheme="minorBidi"/>
              <w:noProof/>
              <w:lang w:val="en-GB" w:eastAsia="en-GB"/>
            </w:rPr>
          </w:pPr>
          <w:hyperlink w:anchor="_Toc104199484" w:history="1">
            <w:r w:rsidRPr="002A56E5">
              <w:rPr>
                <w:rStyle w:val="Hyperlink"/>
                <w:noProof/>
              </w:rPr>
              <w:t>Checking for Normal Distribution of Data</w:t>
            </w:r>
            <w:r>
              <w:rPr>
                <w:noProof/>
                <w:webHidden/>
              </w:rPr>
              <w:tab/>
            </w:r>
            <w:r>
              <w:rPr>
                <w:noProof/>
                <w:webHidden/>
              </w:rPr>
              <w:fldChar w:fldCharType="begin"/>
            </w:r>
            <w:r>
              <w:rPr>
                <w:noProof/>
                <w:webHidden/>
              </w:rPr>
              <w:instrText xml:space="preserve"> PAGEREF _Toc104199484 \h </w:instrText>
            </w:r>
            <w:r>
              <w:rPr>
                <w:noProof/>
                <w:webHidden/>
              </w:rPr>
            </w:r>
            <w:r>
              <w:rPr>
                <w:noProof/>
                <w:webHidden/>
              </w:rPr>
              <w:fldChar w:fldCharType="separate"/>
            </w:r>
            <w:r>
              <w:rPr>
                <w:noProof/>
                <w:webHidden/>
              </w:rPr>
              <w:t>4</w:t>
            </w:r>
            <w:r>
              <w:rPr>
                <w:noProof/>
                <w:webHidden/>
              </w:rPr>
              <w:fldChar w:fldCharType="end"/>
            </w:r>
          </w:hyperlink>
        </w:p>
        <w:p w14:paraId="08B783CA" w14:textId="1BFC43F7" w:rsidR="00D24FA4" w:rsidRDefault="00D24FA4">
          <w:pPr>
            <w:pStyle w:val="TOC3"/>
            <w:tabs>
              <w:tab w:val="right" w:leader="dot" w:pos="9019"/>
            </w:tabs>
            <w:rPr>
              <w:rFonts w:asciiTheme="minorHAnsi" w:hAnsiTheme="minorHAnsi" w:cstheme="minorBidi"/>
              <w:noProof/>
              <w:lang w:val="en-GB" w:eastAsia="en-GB"/>
            </w:rPr>
          </w:pPr>
          <w:hyperlink w:anchor="_Toc104199485" w:history="1">
            <w:r w:rsidRPr="002A56E5">
              <w:rPr>
                <w:rStyle w:val="Hyperlink"/>
                <w:noProof/>
              </w:rPr>
              <w:t>Data Transformation</w:t>
            </w:r>
            <w:r>
              <w:rPr>
                <w:noProof/>
                <w:webHidden/>
              </w:rPr>
              <w:tab/>
            </w:r>
            <w:r>
              <w:rPr>
                <w:noProof/>
                <w:webHidden/>
              </w:rPr>
              <w:fldChar w:fldCharType="begin"/>
            </w:r>
            <w:r>
              <w:rPr>
                <w:noProof/>
                <w:webHidden/>
              </w:rPr>
              <w:instrText xml:space="preserve"> PAGEREF _Toc104199485 \h </w:instrText>
            </w:r>
            <w:r>
              <w:rPr>
                <w:noProof/>
                <w:webHidden/>
              </w:rPr>
            </w:r>
            <w:r>
              <w:rPr>
                <w:noProof/>
                <w:webHidden/>
              </w:rPr>
              <w:fldChar w:fldCharType="separate"/>
            </w:r>
            <w:r>
              <w:rPr>
                <w:noProof/>
                <w:webHidden/>
              </w:rPr>
              <w:t>4</w:t>
            </w:r>
            <w:r>
              <w:rPr>
                <w:noProof/>
                <w:webHidden/>
              </w:rPr>
              <w:fldChar w:fldCharType="end"/>
            </w:r>
          </w:hyperlink>
        </w:p>
        <w:p w14:paraId="03478B5E" w14:textId="3219178F" w:rsidR="00D24FA4" w:rsidRDefault="00D24FA4">
          <w:pPr>
            <w:pStyle w:val="TOC2"/>
            <w:tabs>
              <w:tab w:val="right" w:leader="dot" w:pos="9019"/>
            </w:tabs>
            <w:rPr>
              <w:rFonts w:asciiTheme="minorHAnsi" w:hAnsiTheme="minorHAnsi" w:cstheme="minorBidi"/>
              <w:noProof/>
              <w:lang w:val="en-GB" w:eastAsia="en-GB"/>
            </w:rPr>
          </w:pPr>
          <w:hyperlink w:anchor="_Toc104199486" w:history="1">
            <w:r w:rsidRPr="002A56E5">
              <w:rPr>
                <w:rStyle w:val="Hyperlink"/>
                <w:noProof/>
              </w:rPr>
              <w:t>Modelling</w:t>
            </w:r>
            <w:r>
              <w:rPr>
                <w:noProof/>
                <w:webHidden/>
              </w:rPr>
              <w:tab/>
            </w:r>
            <w:r>
              <w:rPr>
                <w:noProof/>
                <w:webHidden/>
              </w:rPr>
              <w:fldChar w:fldCharType="begin"/>
            </w:r>
            <w:r>
              <w:rPr>
                <w:noProof/>
                <w:webHidden/>
              </w:rPr>
              <w:instrText xml:space="preserve"> PAGEREF _Toc104199486 \h </w:instrText>
            </w:r>
            <w:r>
              <w:rPr>
                <w:noProof/>
                <w:webHidden/>
              </w:rPr>
            </w:r>
            <w:r>
              <w:rPr>
                <w:noProof/>
                <w:webHidden/>
              </w:rPr>
              <w:fldChar w:fldCharType="separate"/>
            </w:r>
            <w:r>
              <w:rPr>
                <w:noProof/>
                <w:webHidden/>
              </w:rPr>
              <w:t>4</w:t>
            </w:r>
            <w:r>
              <w:rPr>
                <w:noProof/>
                <w:webHidden/>
              </w:rPr>
              <w:fldChar w:fldCharType="end"/>
            </w:r>
          </w:hyperlink>
        </w:p>
        <w:p w14:paraId="6ABA445A" w14:textId="5E43F5C0" w:rsidR="00D24FA4" w:rsidRDefault="00D24FA4">
          <w:pPr>
            <w:pStyle w:val="TOC1"/>
            <w:tabs>
              <w:tab w:val="right" w:leader="dot" w:pos="9019"/>
            </w:tabs>
            <w:rPr>
              <w:rFonts w:asciiTheme="minorHAnsi" w:hAnsiTheme="minorHAnsi" w:cstheme="minorBidi"/>
              <w:noProof/>
              <w:lang w:val="en-GB" w:eastAsia="en-GB"/>
            </w:rPr>
          </w:pPr>
          <w:hyperlink w:anchor="_Toc104199487" w:history="1">
            <w:r w:rsidRPr="002A56E5">
              <w:rPr>
                <w:rStyle w:val="Hyperlink"/>
                <w:noProof/>
              </w:rPr>
              <w:t>ANALYSIS AND DISCUSSION</w:t>
            </w:r>
            <w:r>
              <w:rPr>
                <w:noProof/>
                <w:webHidden/>
              </w:rPr>
              <w:tab/>
            </w:r>
            <w:r>
              <w:rPr>
                <w:noProof/>
                <w:webHidden/>
              </w:rPr>
              <w:fldChar w:fldCharType="begin"/>
            </w:r>
            <w:r>
              <w:rPr>
                <w:noProof/>
                <w:webHidden/>
              </w:rPr>
              <w:instrText xml:space="preserve"> PAGEREF _Toc104199487 \h </w:instrText>
            </w:r>
            <w:r>
              <w:rPr>
                <w:noProof/>
                <w:webHidden/>
              </w:rPr>
            </w:r>
            <w:r>
              <w:rPr>
                <w:noProof/>
                <w:webHidden/>
              </w:rPr>
              <w:fldChar w:fldCharType="separate"/>
            </w:r>
            <w:r>
              <w:rPr>
                <w:noProof/>
                <w:webHidden/>
              </w:rPr>
              <w:t>5</w:t>
            </w:r>
            <w:r>
              <w:rPr>
                <w:noProof/>
                <w:webHidden/>
              </w:rPr>
              <w:fldChar w:fldCharType="end"/>
            </w:r>
          </w:hyperlink>
        </w:p>
        <w:p w14:paraId="06DD1B2D" w14:textId="7F7A58FB" w:rsidR="00D24FA4" w:rsidRDefault="00D24FA4">
          <w:pPr>
            <w:pStyle w:val="TOC2"/>
            <w:tabs>
              <w:tab w:val="right" w:leader="dot" w:pos="9019"/>
            </w:tabs>
            <w:rPr>
              <w:rFonts w:asciiTheme="minorHAnsi" w:hAnsiTheme="minorHAnsi" w:cstheme="minorBidi"/>
              <w:noProof/>
              <w:lang w:val="en-GB" w:eastAsia="en-GB"/>
            </w:rPr>
          </w:pPr>
          <w:hyperlink w:anchor="_Toc104199488" w:history="1">
            <w:r w:rsidRPr="002A56E5">
              <w:rPr>
                <w:rStyle w:val="Hyperlink"/>
                <w:noProof/>
              </w:rPr>
              <w:t>Effect of Size, College, Region and Year on GLH Per learners</w:t>
            </w:r>
            <w:r>
              <w:rPr>
                <w:noProof/>
                <w:webHidden/>
              </w:rPr>
              <w:tab/>
            </w:r>
            <w:r>
              <w:rPr>
                <w:noProof/>
                <w:webHidden/>
              </w:rPr>
              <w:fldChar w:fldCharType="begin"/>
            </w:r>
            <w:r>
              <w:rPr>
                <w:noProof/>
                <w:webHidden/>
              </w:rPr>
              <w:instrText xml:space="preserve"> PAGEREF _Toc104199488 \h </w:instrText>
            </w:r>
            <w:r>
              <w:rPr>
                <w:noProof/>
                <w:webHidden/>
              </w:rPr>
            </w:r>
            <w:r>
              <w:rPr>
                <w:noProof/>
                <w:webHidden/>
              </w:rPr>
              <w:fldChar w:fldCharType="separate"/>
            </w:r>
            <w:r>
              <w:rPr>
                <w:noProof/>
                <w:webHidden/>
              </w:rPr>
              <w:t>5</w:t>
            </w:r>
            <w:r>
              <w:rPr>
                <w:noProof/>
                <w:webHidden/>
              </w:rPr>
              <w:fldChar w:fldCharType="end"/>
            </w:r>
          </w:hyperlink>
        </w:p>
        <w:p w14:paraId="6B6835BB" w14:textId="3F83151D" w:rsidR="00D24FA4" w:rsidRDefault="00D24FA4">
          <w:pPr>
            <w:pStyle w:val="TOC2"/>
            <w:tabs>
              <w:tab w:val="right" w:leader="dot" w:pos="9019"/>
            </w:tabs>
            <w:rPr>
              <w:rFonts w:asciiTheme="minorHAnsi" w:hAnsiTheme="minorHAnsi" w:cstheme="minorBidi"/>
              <w:noProof/>
              <w:lang w:val="en-GB" w:eastAsia="en-GB"/>
            </w:rPr>
          </w:pPr>
          <w:hyperlink w:anchor="_Toc104199489" w:history="1">
            <w:r w:rsidRPr="002A56E5">
              <w:rPr>
                <w:rStyle w:val="Hyperlink"/>
                <w:noProof/>
              </w:rPr>
              <w:t>Effect of Region and Year on GLH Per learners by Size and College Type</w:t>
            </w:r>
            <w:r>
              <w:rPr>
                <w:noProof/>
                <w:webHidden/>
              </w:rPr>
              <w:tab/>
            </w:r>
            <w:r>
              <w:rPr>
                <w:noProof/>
                <w:webHidden/>
              </w:rPr>
              <w:fldChar w:fldCharType="begin"/>
            </w:r>
            <w:r>
              <w:rPr>
                <w:noProof/>
                <w:webHidden/>
              </w:rPr>
              <w:instrText xml:space="preserve"> PAGEREF _Toc104199489 \h </w:instrText>
            </w:r>
            <w:r>
              <w:rPr>
                <w:noProof/>
                <w:webHidden/>
              </w:rPr>
            </w:r>
            <w:r>
              <w:rPr>
                <w:noProof/>
                <w:webHidden/>
              </w:rPr>
              <w:fldChar w:fldCharType="separate"/>
            </w:r>
            <w:r>
              <w:rPr>
                <w:noProof/>
                <w:webHidden/>
              </w:rPr>
              <w:t>6</w:t>
            </w:r>
            <w:r>
              <w:rPr>
                <w:noProof/>
                <w:webHidden/>
              </w:rPr>
              <w:fldChar w:fldCharType="end"/>
            </w:r>
          </w:hyperlink>
        </w:p>
        <w:p w14:paraId="17E24378" w14:textId="5206DA0D" w:rsidR="00D24FA4" w:rsidRDefault="00D24FA4">
          <w:pPr>
            <w:pStyle w:val="TOC1"/>
            <w:tabs>
              <w:tab w:val="right" w:leader="dot" w:pos="9019"/>
            </w:tabs>
            <w:rPr>
              <w:rFonts w:asciiTheme="minorHAnsi" w:hAnsiTheme="minorHAnsi" w:cstheme="minorBidi"/>
              <w:noProof/>
              <w:lang w:val="en-GB" w:eastAsia="en-GB"/>
            </w:rPr>
          </w:pPr>
          <w:hyperlink w:anchor="_Toc104199490" w:history="1">
            <w:r w:rsidRPr="002A56E5">
              <w:rPr>
                <w:rStyle w:val="Hyperlink"/>
                <w:noProof/>
              </w:rPr>
              <w:t>REFERENCES</w:t>
            </w:r>
            <w:r>
              <w:rPr>
                <w:noProof/>
                <w:webHidden/>
              </w:rPr>
              <w:tab/>
            </w:r>
            <w:r>
              <w:rPr>
                <w:noProof/>
                <w:webHidden/>
              </w:rPr>
              <w:fldChar w:fldCharType="begin"/>
            </w:r>
            <w:r>
              <w:rPr>
                <w:noProof/>
                <w:webHidden/>
              </w:rPr>
              <w:instrText xml:space="preserve"> PAGEREF _Toc104199490 \h </w:instrText>
            </w:r>
            <w:r>
              <w:rPr>
                <w:noProof/>
                <w:webHidden/>
              </w:rPr>
            </w:r>
            <w:r>
              <w:rPr>
                <w:noProof/>
                <w:webHidden/>
              </w:rPr>
              <w:fldChar w:fldCharType="separate"/>
            </w:r>
            <w:r>
              <w:rPr>
                <w:noProof/>
                <w:webHidden/>
              </w:rPr>
              <w:t>9</w:t>
            </w:r>
            <w:r>
              <w:rPr>
                <w:noProof/>
                <w:webHidden/>
              </w:rPr>
              <w:fldChar w:fldCharType="end"/>
            </w:r>
          </w:hyperlink>
        </w:p>
        <w:p w14:paraId="5E4301DF" w14:textId="1ABA6152" w:rsidR="00D24FA4" w:rsidRDefault="00D24FA4">
          <w:pPr>
            <w:pStyle w:val="TOC1"/>
            <w:tabs>
              <w:tab w:val="right" w:leader="dot" w:pos="9019"/>
            </w:tabs>
            <w:rPr>
              <w:rFonts w:asciiTheme="minorHAnsi" w:hAnsiTheme="minorHAnsi" w:cstheme="minorBidi"/>
              <w:noProof/>
              <w:lang w:val="en-GB" w:eastAsia="en-GB"/>
            </w:rPr>
          </w:pPr>
          <w:hyperlink w:anchor="_Toc104199491" w:history="1">
            <w:r w:rsidRPr="002A56E5">
              <w:rPr>
                <w:rStyle w:val="Hyperlink"/>
                <w:noProof/>
              </w:rPr>
              <w:t>APPENDIX</w:t>
            </w:r>
            <w:r>
              <w:rPr>
                <w:noProof/>
                <w:webHidden/>
              </w:rPr>
              <w:tab/>
            </w:r>
            <w:r>
              <w:rPr>
                <w:noProof/>
                <w:webHidden/>
              </w:rPr>
              <w:fldChar w:fldCharType="begin"/>
            </w:r>
            <w:r>
              <w:rPr>
                <w:noProof/>
                <w:webHidden/>
              </w:rPr>
              <w:instrText xml:space="preserve"> PAGEREF _Toc104199491 \h </w:instrText>
            </w:r>
            <w:r>
              <w:rPr>
                <w:noProof/>
                <w:webHidden/>
              </w:rPr>
            </w:r>
            <w:r>
              <w:rPr>
                <w:noProof/>
                <w:webHidden/>
              </w:rPr>
              <w:fldChar w:fldCharType="separate"/>
            </w:r>
            <w:r>
              <w:rPr>
                <w:noProof/>
                <w:webHidden/>
              </w:rPr>
              <w:t>10</w:t>
            </w:r>
            <w:r>
              <w:rPr>
                <w:noProof/>
                <w:webHidden/>
              </w:rPr>
              <w:fldChar w:fldCharType="end"/>
            </w:r>
          </w:hyperlink>
        </w:p>
        <w:p w14:paraId="6EE09596" w14:textId="7614A71D" w:rsidR="00DF226D" w:rsidRPr="00DF226D" w:rsidRDefault="00547624" w:rsidP="001F6E55">
          <w:r>
            <w:rPr>
              <w:noProof/>
            </w:rPr>
            <w:fldChar w:fldCharType="end"/>
          </w:r>
          <w:r w:rsidR="0003251C">
            <w:rPr>
              <w:noProof/>
            </w:rPr>
            <w:tab/>
          </w:r>
        </w:p>
      </w:sdtContent>
    </w:sdt>
    <w:p w14:paraId="01F4A619" w14:textId="2194C043" w:rsidR="00615C0C" w:rsidRPr="00F2139E" w:rsidRDefault="00F2139E" w:rsidP="00F2139E">
      <w:pPr>
        <w:spacing w:line="259" w:lineRule="auto"/>
        <w:jc w:val="left"/>
        <w:rPr>
          <w:rFonts w:asciiTheme="majorHAnsi" w:eastAsiaTheme="majorEastAsia" w:hAnsiTheme="majorHAnsi" w:cstheme="majorBidi"/>
          <w:color w:val="1F3864" w:themeColor="accent1" w:themeShade="80"/>
          <w:sz w:val="36"/>
          <w:szCs w:val="36"/>
        </w:rPr>
      </w:pPr>
      <w:r>
        <w:br w:type="page"/>
      </w:r>
    </w:p>
    <w:p w14:paraId="38D7837E" w14:textId="1E4C3885" w:rsidR="009B5509" w:rsidRDefault="00615C0C" w:rsidP="001F6E55">
      <w:pPr>
        <w:pStyle w:val="Heading1"/>
        <w:numPr>
          <w:ilvl w:val="0"/>
          <w:numId w:val="20"/>
        </w:numPr>
      </w:pPr>
      <w:bookmarkStart w:id="0" w:name="_Toc104199479"/>
      <w:r>
        <w:lastRenderedPageBreak/>
        <w:t>SUMMARY</w:t>
      </w:r>
      <w:bookmarkEnd w:id="0"/>
    </w:p>
    <w:p w14:paraId="3EDC571C" w14:textId="77777777" w:rsidR="007803B8" w:rsidRPr="007803B8" w:rsidRDefault="005A5C95" w:rsidP="001F6E55">
      <w:r>
        <w:pict w14:anchorId="5E5CA4B6">
          <v:rect id="_x0000_i1030" style="width:0;height:1.5pt" o:hralign="center" o:bullet="t" o:hrstd="t" o:hr="t" fillcolor="#a0a0a0" stroked="f"/>
        </w:pict>
      </w:r>
    </w:p>
    <w:p w14:paraId="6A4F4CD5" w14:textId="7828FD6A" w:rsidR="00F97474" w:rsidRPr="00615C0C" w:rsidRDefault="00C429E2" w:rsidP="00C429E2">
      <w:pPr>
        <w:rPr>
          <w:rFonts w:eastAsiaTheme="majorEastAsia"/>
        </w:rPr>
      </w:pPr>
      <w:r>
        <w:t>This report details the</w:t>
      </w:r>
      <w:r w:rsidR="00357B06">
        <w:t xml:space="preserve"> </w:t>
      </w:r>
      <w:r>
        <w:t>analysis of the Guided Learning Hours (GLH) in sixth form and Further education colleges across regions in the United Kingdom for three distinct years. SAS Studio was used to import, clean and run parametric and non-parametric tests and also determine models for the data. Models used for the analysis include General Linear Model, Analysis of Variance (ANOVA), T-test of means and test for normal distribution (Univariate analysis). It was discovered that there is a major difference between the GLH in the college</w:t>
      </w:r>
      <w:r w:rsidR="00320413">
        <w:t>s. It was also discovered the GLH per learners</w:t>
      </w:r>
      <w:r>
        <w:t xml:space="preserve"> </w:t>
      </w:r>
      <w:r w:rsidR="00320413">
        <w:t>were slightly different for each</w:t>
      </w:r>
      <w:r>
        <w:t xml:space="preserve"> year</w:t>
      </w:r>
      <w:r w:rsidR="00320413">
        <w:t>,</w:t>
      </w:r>
      <w:r>
        <w:t xml:space="preserve"> </w:t>
      </w:r>
      <w:r w:rsidR="00320413">
        <w:t xml:space="preserve">and the region of the institution was a significant determinant of the amount of GLH each learner received. Size on the other hand, which was determined by the total GLH for each college in the observation did not have a significant impact on the GLH per learner in various colleges.  </w:t>
      </w:r>
      <w:r>
        <w:t xml:space="preserve">     </w:t>
      </w:r>
    </w:p>
    <w:p w14:paraId="19F95003" w14:textId="77777777" w:rsidR="00320413" w:rsidRDefault="00320413">
      <w:pPr>
        <w:spacing w:line="259" w:lineRule="auto"/>
        <w:jc w:val="left"/>
        <w:rPr>
          <w:rFonts w:asciiTheme="majorHAnsi" w:eastAsiaTheme="majorEastAsia" w:hAnsiTheme="majorHAnsi" w:cstheme="majorBidi"/>
          <w:color w:val="1F3864" w:themeColor="accent1" w:themeShade="80"/>
          <w:sz w:val="36"/>
          <w:szCs w:val="36"/>
        </w:rPr>
      </w:pPr>
      <w:r>
        <w:br w:type="page"/>
      </w:r>
    </w:p>
    <w:p w14:paraId="7A9341BE" w14:textId="578EBD19" w:rsidR="00615C0C" w:rsidRPr="00615C0C" w:rsidRDefault="00615C0C" w:rsidP="001F6E55">
      <w:pPr>
        <w:pStyle w:val="Heading1"/>
      </w:pPr>
      <w:bookmarkStart w:id="1" w:name="_Toc104199480"/>
      <w:r>
        <w:lastRenderedPageBreak/>
        <w:t>2.METHODS</w:t>
      </w:r>
      <w:bookmarkEnd w:id="1"/>
    </w:p>
    <w:p w14:paraId="5DDEAEBF" w14:textId="1CA32DF2" w:rsidR="00DF73CF" w:rsidRDefault="005A5C95" w:rsidP="001F6E55">
      <w:r>
        <w:pict w14:anchorId="2A994770">
          <v:rect id="_x0000_i1031" style="width:0;height:1.5pt" o:hralign="center" o:bullet="t" o:hrstd="t" o:hr="t" fillcolor="#a0a0a0" stroked="f"/>
        </w:pict>
      </w:r>
    </w:p>
    <w:p w14:paraId="3B266C30" w14:textId="2F481409" w:rsidR="00615C0C" w:rsidRPr="009D4106" w:rsidRDefault="00615C0C" w:rsidP="001F6E55">
      <w:r>
        <w:t>Th</w:t>
      </w:r>
      <w:r w:rsidR="00346D69">
        <w:t>e various methods used on SAS studio to import, clean and analy</w:t>
      </w:r>
      <w:r w:rsidR="00286617">
        <w:t>z</w:t>
      </w:r>
      <w:r w:rsidR="00346D69">
        <w:t>e the data set on Guided Learning Hours in Further Education and Sixth Form Colleges across England are discussed concisely below.</w:t>
      </w:r>
    </w:p>
    <w:p w14:paraId="44183EF9" w14:textId="7669178A" w:rsidR="009B0FA1" w:rsidRPr="00615C0C" w:rsidRDefault="00615C0C" w:rsidP="001F6E55">
      <w:pPr>
        <w:pStyle w:val="Heading2"/>
        <w:rPr>
          <w:rFonts w:eastAsia="Times New Roman"/>
        </w:rPr>
      </w:pPr>
      <w:bookmarkStart w:id="2" w:name="_Toc104199481"/>
      <w:r>
        <w:rPr>
          <w:rFonts w:eastAsia="Times New Roman"/>
        </w:rPr>
        <w:t>DATA IMPORTATION</w:t>
      </w:r>
      <w:r w:rsidR="00296E60">
        <w:rPr>
          <w:rFonts w:eastAsia="Times New Roman"/>
        </w:rPr>
        <w:t xml:space="preserve"> AND CLEANING</w:t>
      </w:r>
      <w:bookmarkEnd w:id="2"/>
    </w:p>
    <w:p w14:paraId="7134A79A" w14:textId="38FBAE20" w:rsidR="00DF73CF" w:rsidRDefault="00CE4023" w:rsidP="001F6E55">
      <w:r>
        <w:t xml:space="preserve">The data sets used for the analysis were stored as </w:t>
      </w:r>
      <w:r w:rsidR="00CB29FD">
        <w:t xml:space="preserve">individual </w:t>
      </w:r>
      <w:r>
        <w:t>Comma Separated Value (CSV) files</w:t>
      </w:r>
      <w:r w:rsidR="00CB29FD">
        <w:t xml:space="preserve"> containing the guided learning hours for each college type (Sixth Form College and Further Education college)</w:t>
      </w:r>
      <w:r>
        <w:t xml:space="preserve">. </w:t>
      </w:r>
      <w:r w:rsidR="005552FF">
        <w:t>Both files</w:t>
      </w:r>
      <w:r w:rsidR="00346D69">
        <w:t xml:space="preserve"> w</w:t>
      </w:r>
      <w:r w:rsidR="005552FF">
        <w:t>ere</w:t>
      </w:r>
      <w:r w:rsidR="00346D69">
        <w:t xml:space="preserve"> </w:t>
      </w:r>
      <w:r w:rsidR="005552FF">
        <w:t>imported into SAS</w:t>
      </w:r>
      <w:r>
        <w:t xml:space="preserve"> </w:t>
      </w:r>
      <w:r w:rsidR="005552FF">
        <w:t xml:space="preserve">by using </w:t>
      </w:r>
      <w:r w:rsidR="00286617">
        <w:t xml:space="preserve">a SAS predefined Macro consisting of </w:t>
      </w:r>
      <w:r w:rsidR="005552FF">
        <w:t>Proc I</w:t>
      </w:r>
      <w:r w:rsidR="00346D69">
        <w:t>mport</w:t>
      </w:r>
      <w:r w:rsidR="00286617">
        <w:t xml:space="preserve"> and Proc Content</w:t>
      </w:r>
      <w:r w:rsidR="005552FF">
        <w:t>, to check for the data type in Columns and to examine the data.</w:t>
      </w:r>
      <w:r w:rsidR="00CB29FD">
        <w:t xml:space="preserve"> Each imported file had 8 columns, with the data for Further Education Colleges having </w:t>
      </w:r>
      <w:r w:rsidR="007946A2">
        <w:t>263 observations and that for Sixth form colleges having 110 observations, also there were missing values in certain columns.</w:t>
      </w:r>
      <w:r w:rsidR="00CB29FD">
        <w:t xml:space="preserve"> </w:t>
      </w:r>
      <w:r w:rsidR="005552FF">
        <w:t xml:space="preserve"> After this</w:t>
      </w:r>
      <w:r w:rsidR="00CB29FD">
        <w:t>,</w:t>
      </w:r>
      <w:r w:rsidR="00B21C26">
        <w:t xml:space="preserve"> </w:t>
      </w:r>
      <w:proofErr w:type="spellStart"/>
      <w:r w:rsidR="00B21C26">
        <w:t>infile</w:t>
      </w:r>
      <w:proofErr w:type="spellEnd"/>
      <w:r w:rsidR="00B21C26">
        <w:t xml:space="preserve"> and</w:t>
      </w:r>
      <w:r w:rsidR="005552FF">
        <w:t xml:space="preserve"> input statement</w:t>
      </w:r>
      <w:r w:rsidR="007946A2">
        <w:t>s</w:t>
      </w:r>
      <w:r w:rsidR="005552FF">
        <w:t xml:space="preserve"> w</w:t>
      </w:r>
      <w:r w:rsidR="007946A2">
        <w:t>ere</w:t>
      </w:r>
      <w:r w:rsidR="005552FF">
        <w:t xml:space="preserve"> </w:t>
      </w:r>
      <w:r w:rsidR="007946A2">
        <w:t>used</w:t>
      </w:r>
      <w:r w:rsidR="005552FF">
        <w:t xml:space="preserve"> to read each file</w:t>
      </w:r>
      <w:r w:rsidR="00B21C26">
        <w:t xml:space="preserve"> in as Data step</w:t>
      </w:r>
      <w:r w:rsidR="007946A2">
        <w:t>s</w:t>
      </w:r>
      <w:r w:rsidR="00B21C26">
        <w:t>, specifying column name, length, delimiter type, and other</w:t>
      </w:r>
      <w:r w:rsidR="00CB29FD">
        <w:t xml:space="preserve"> required</w:t>
      </w:r>
      <w:r w:rsidR="00B21C26">
        <w:t xml:space="preserve"> </w:t>
      </w:r>
      <w:r w:rsidR="00CB29FD">
        <w:t>settings</w:t>
      </w:r>
      <w:r w:rsidR="00B21C26">
        <w:t xml:space="preserve"> based on the details seen earlier when importing</w:t>
      </w:r>
      <w:r w:rsidR="00CB29FD">
        <w:t xml:space="preserve"> the data</w:t>
      </w:r>
      <w:r w:rsidR="00B21C26">
        <w:t>.</w:t>
      </w:r>
      <w:r w:rsidR="00CB29FD">
        <w:t xml:space="preserve"> </w:t>
      </w:r>
    </w:p>
    <w:p w14:paraId="07E98FF7" w14:textId="1E29E7DE" w:rsidR="00A70910" w:rsidRDefault="007946A2" w:rsidP="001F6E55">
      <w:r>
        <w:t>Both created data tables</w:t>
      </w:r>
      <w:r w:rsidR="00CB29FD">
        <w:t xml:space="preserve"> were merged together vertically, by using the ‘SET’ statement, after the merge</w:t>
      </w:r>
      <w:r w:rsidR="00A34ED0">
        <w:t xml:space="preserve">. </w:t>
      </w:r>
      <w:r w:rsidR="00CB29FD">
        <w:t>calculated variables</w:t>
      </w:r>
      <w:r>
        <w:t xml:space="preserve"> were created </w:t>
      </w:r>
      <w:r w:rsidR="00CB29FD">
        <w:t>from existing variable columns</w:t>
      </w:r>
      <w:r>
        <w:t xml:space="preserve"> using </w:t>
      </w:r>
      <w:r w:rsidR="00A34ED0">
        <w:t>calculated</w:t>
      </w:r>
      <w:r>
        <w:t xml:space="preserve"> functions and if else statements.</w:t>
      </w:r>
      <w:r w:rsidR="00A34ED0">
        <w:t xml:space="preserve"> Calculated functions were used to create the required variable</w:t>
      </w:r>
      <w:r w:rsidR="000705F7">
        <w:t xml:space="preserve"> ‘general learning hour per learner’</w:t>
      </w:r>
      <w:r w:rsidR="00A34ED0">
        <w:t xml:space="preserve"> for analysis</w:t>
      </w:r>
      <w:r w:rsidR="00F2139E">
        <w:t xml:space="preserve">. </w:t>
      </w:r>
      <w:r w:rsidR="00A34ED0">
        <w:t>If else statements were used to create categorical values for Sizes of institutions using the Total Guided Learning Hours.</w:t>
      </w:r>
      <w:r w:rsidR="00A70910">
        <w:t xml:space="preserve"> Input and output </w:t>
      </w:r>
      <w:r w:rsidR="00D105CC">
        <w:t>f</w:t>
      </w:r>
      <w:r>
        <w:t>ormat</w:t>
      </w:r>
      <w:r w:rsidR="00A34ED0">
        <w:t>s</w:t>
      </w:r>
      <w:r w:rsidR="00D105CC">
        <w:t xml:space="preserve"> w</w:t>
      </w:r>
      <w:r w:rsidR="00A70910">
        <w:t>ere</w:t>
      </w:r>
      <w:r w:rsidR="00D105CC">
        <w:t xml:space="preserve"> created</w:t>
      </w:r>
      <w:r w:rsidR="00A34ED0">
        <w:t xml:space="preserve"> afterwards</w:t>
      </w:r>
      <w:r w:rsidR="00D105CC">
        <w:t xml:space="preserve"> for </w:t>
      </w:r>
      <w:r w:rsidR="00A34ED0">
        <w:t xml:space="preserve">the </w:t>
      </w:r>
      <w:r w:rsidR="00D105CC">
        <w:t>Size</w:t>
      </w:r>
      <w:r w:rsidR="00A34ED0">
        <w:t xml:space="preserve"> of an Institution enabling the data to show the sizes of different locations. </w:t>
      </w:r>
      <w:r w:rsidR="00A70910">
        <w:t xml:space="preserve">Appropriate </w:t>
      </w:r>
      <w:r w:rsidR="00D105CC">
        <w:t>Lengths</w:t>
      </w:r>
      <w:r>
        <w:t xml:space="preserve"> and</w:t>
      </w:r>
      <w:r w:rsidR="00D105CC">
        <w:t xml:space="preserve"> Labels for </w:t>
      </w:r>
      <w:r w:rsidR="00A70910">
        <w:t>each column w</w:t>
      </w:r>
      <w:r w:rsidR="00A34ED0">
        <w:t>ere</w:t>
      </w:r>
      <w:r w:rsidR="00A70910">
        <w:t xml:space="preserve"> also clearly defined. </w:t>
      </w:r>
    </w:p>
    <w:p w14:paraId="6AE5022F" w14:textId="6E991C7C" w:rsidR="004C1F49" w:rsidRDefault="00A70910" w:rsidP="001F6E55">
      <w:r>
        <w:t xml:space="preserve">Rows with missing values, earlier observed in the data were deleted from the data tables using an If Statement, because only a few rows had missing values. Certain columns containing aggregate sum of </w:t>
      </w:r>
      <w:r w:rsidR="004C1F49">
        <w:t xml:space="preserve">specific </w:t>
      </w:r>
      <w:r>
        <w:t>rows</w:t>
      </w:r>
      <w:r w:rsidR="004C1F49">
        <w:t xml:space="preserve"> (depicting the total for a particular region) were deleted from the tables as this would interfere with the objective of the analysis.</w:t>
      </w:r>
      <w:r w:rsidR="00296E60">
        <w:t xml:space="preserve"> </w:t>
      </w:r>
    </w:p>
    <w:p w14:paraId="7EA06404" w14:textId="77777777" w:rsidR="00286617" w:rsidRDefault="00296E60" w:rsidP="001F6E55">
      <w:r>
        <w:t xml:space="preserve">After importation and necessary cleaning were carried out the total number of observations for the created Table was 337. </w:t>
      </w:r>
    </w:p>
    <w:p w14:paraId="05BABE7E" w14:textId="13527D76" w:rsidR="00286617" w:rsidRDefault="00296E60" w:rsidP="001F6E55">
      <w:r>
        <w:t xml:space="preserve">  </w:t>
      </w:r>
      <w:r w:rsidR="00286617">
        <w:t>Table 1: frequency distribution of class variables</w:t>
      </w:r>
    </w:p>
    <w:p w14:paraId="113C6597" w14:textId="55121836" w:rsidR="00A34ED0" w:rsidRDefault="00296E60" w:rsidP="001F6E55">
      <w:pPr>
        <w:pStyle w:val="Heading2"/>
      </w:pPr>
      <w:bookmarkStart w:id="3" w:name="_Toc104199482"/>
      <w:r>
        <w:t>IDENTIFYING ANOMALIES</w:t>
      </w:r>
      <w:bookmarkEnd w:id="3"/>
    </w:p>
    <w:p w14:paraId="13F0F0D6" w14:textId="37EC3DF3" w:rsidR="005C28D9" w:rsidRDefault="00A34ED0" w:rsidP="001F6E55">
      <w:r>
        <w:t xml:space="preserve">Proc Freq was used to check for the distribution of the observations in the data. </w:t>
      </w:r>
      <w:r w:rsidR="005C28D9">
        <w:t xml:space="preserve">The data is made up of many categorical variables therefore it had columns with duplicate values which were relevant to our analysis. </w:t>
      </w:r>
    </w:p>
    <w:p w14:paraId="6A363B86" w14:textId="51F0B9E7" w:rsidR="00A34ED0" w:rsidRDefault="005C28D9" w:rsidP="001F6E55">
      <w:r>
        <w:t>Proc Univariate was used to check for outliers</w:t>
      </w:r>
      <w:r w:rsidR="00286617">
        <w:t xml:space="preserve"> </w:t>
      </w:r>
      <w:r w:rsidR="000705F7">
        <w:t>(extreme observations)</w:t>
      </w:r>
      <w:r>
        <w:t xml:space="preserve"> </w:t>
      </w:r>
      <w:r w:rsidR="000705F7">
        <w:t>with</w:t>
      </w:r>
      <w:r>
        <w:t>in the data</w:t>
      </w:r>
      <w:r w:rsidR="000705F7">
        <w:t>. This provided information on the minimum and maximum values of the data and how far apart they were distributed. A table</w:t>
      </w:r>
      <w:r w:rsidR="000705F7" w:rsidRPr="000705F7">
        <w:t xml:space="preserve"> </w:t>
      </w:r>
      <w:r w:rsidR="000705F7">
        <w:t>showing the extreme values was created afterwards using Proc SQL, this helped to further understand the p</w:t>
      </w:r>
      <w:r w:rsidR="00B874A7">
        <w:t>ositions and places</w:t>
      </w:r>
      <w:r w:rsidR="000705F7">
        <w:t xml:space="preserve"> in the data where </w:t>
      </w:r>
      <w:r w:rsidR="00B874A7">
        <w:t>the outliers</w:t>
      </w:r>
      <w:r w:rsidR="000705F7">
        <w:t xml:space="preserve"> </w:t>
      </w:r>
      <w:r w:rsidR="00B874A7">
        <w:t>occurred in. It was discovered from this table that there were outliers due to a major difference in Guided Learning hours in the two institution types, with Further Education Colleges having the lowest extreme values and Sixth Form Colleges having the highest extreme values. Due to this finding the outliers were therefore not removed. A table showing this can be seen in the Appendix.</w:t>
      </w:r>
    </w:p>
    <w:p w14:paraId="2F9A2C8D" w14:textId="5BAB44DB" w:rsidR="00B874A7" w:rsidRDefault="00B874A7" w:rsidP="001F6E55">
      <w:pPr>
        <w:pStyle w:val="Heading2"/>
      </w:pPr>
      <w:bookmarkStart w:id="4" w:name="_Toc72137671"/>
      <w:r w:rsidRPr="00AD61E5">
        <w:t xml:space="preserve"> </w:t>
      </w:r>
      <w:bookmarkStart w:id="5" w:name="_Toc104199483"/>
      <w:r w:rsidRPr="00AD61E5">
        <w:t>Exploratory data analysis</w:t>
      </w:r>
      <w:bookmarkEnd w:id="4"/>
      <w:bookmarkEnd w:id="5"/>
    </w:p>
    <w:p w14:paraId="63338443" w14:textId="4A65F6E6" w:rsidR="001F6E55" w:rsidRPr="001F6E55" w:rsidRDefault="00136AC2" w:rsidP="001F6E55">
      <w:pPr>
        <w:pStyle w:val="Heading3"/>
      </w:pPr>
      <w:bookmarkStart w:id="6" w:name="_Toc104199484"/>
      <w:r>
        <w:t>Checking for Normal Distribution of Data</w:t>
      </w:r>
      <w:bookmarkEnd w:id="6"/>
    </w:p>
    <w:p w14:paraId="48ABE860" w14:textId="195CD319" w:rsidR="00B874A7" w:rsidRDefault="00B874A7" w:rsidP="001F6E55">
      <w:r w:rsidRPr="00AD61E5">
        <w:t xml:space="preserve"> </w:t>
      </w:r>
      <w:r w:rsidR="00AD61E5">
        <w:t>T</w:t>
      </w:r>
      <w:r w:rsidRPr="00AD61E5">
        <w:t xml:space="preserve">he data was explored to </w:t>
      </w:r>
      <w:r w:rsidR="00AD61E5">
        <w:t>check</w:t>
      </w:r>
      <w:r w:rsidRPr="00AD61E5">
        <w:t xml:space="preserve"> </w:t>
      </w:r>
      <w:r w:rsidR="00AD61E5">
        <w:t xml:space="preserve">if </w:t>
      </w:r>
      <w:r w:rsidRPr="00AD61E5">
        <w:t>the distribution was normal</w:t>
      </w:r>
      <w:r w:rsidR="00AD61E5">
        <w:t xml:space="preserve"> which is a statistical requirement for further data exploration and analysis</w:t>
      </w:r>
      <w:r w:rsidRPr="00AD61E5">
        <w:t xml:space="preserve">. </w:t>
      </w:r>
      <w:r w:rsidR="00AD61E5">
        <w:t>P</w:t>
      </w:r>
      <w:r w:rsidRPr="00AD61E5">
        <w:t xml:space="preserve">roc univariate was used </w:t>
      </w:r>
      <w:r w:rsidR="00AD61E5">
        <w:t xml:space="preserve">once again, this time </w:t>
      </w:r>
      <w:r w:rsidRPr="00AD61E5">
        <w:t xml:space="preserve">to generate histogram and </w:t>
      </w:r>
      <w:proofErr w:type="spellStart"/>
      <w:r w:rsidRPr="00AD61E5">
        <w:t>qq</w:t>
      </w:r>
      <w:proofErr w:type="spellEnd"/>
      <w:r w:rsidRPr="00AD61E5">
        <w:t xml:space="preserve"> plots (S</w:t>
      </w:r>
      <w:r w:rsidR="00AD61E5">
        <w:t>hown in</w:t>
      </w:r>
      <w:r w:rsidRPr="00AD61E5">
        <w:t xml:space="preserve"> Appendix). </w:t>
      </w:r>
      <w:r w:rsidR="00AD61E5">
        <w:t xml:space="preserve">Both </w:t>
      </w:r>
      <w:r w:rsidRPr="00AD61E5">
        <w:t xml:space="preserve">plots and the p-values of the goodness of fit test </w:t>
      </w:r>
      <w:r w:rsidRPr="00AD61E5">
        <w:lastRenderedPageBreak/>
        <w:t>show</w:t>
      </w:r>
      <w:r w:rsidR="00AD61E5">
        <w:t>ed</w:t>
      </w:r>
      <w:r w:rsidRPr="00AD61E5">
        <w:t xml:space="preserve"> the distributions were </w:t>
      </w:r>
      <w:r w:rsidR="00AD61E5">
        <w:t>highly positively skewed and not normal</w:t>
      </w:r>
      <w:r w:rsidRPr="00AD61E5">
        <w:t>. The skewness for</w:t>
      </w:r>
      <w:r w:rsidR="00AD61E5">
        <w:t xml:space="preserve"> Total</w:t>
      </w:r>
      <w:r w:rsidRPr="00AD61E5">
        <w:t xml:space="preserve"> GLH per leaner for </w:t>
      </w:r>
      <w:r w:rsidR="00AD61E5">
        <w:t xml:space="preserve">all three </w:t>
      </w:r>
      <w:r w:rsidRPr="00AD61E5">
        <w:t>year</w:t>
      </w:r>
      <w:r w:rsidR="00AD61E5">
        <w:t>s</w:t>
      </w:r>
      <w:r w:rsidRPr="00AD61E5">
        <w:t xml:space="preserve"> was 1.</w:t>
      </w:r>
      <w:r w:rsidR="00AD61E5">
        <w:t>33</w:t>
      </w:r>
      <w:r w:rsidRPr="00AD61E5">
        <w:t>, GLH per lea</w:t>
      </w:r>
      <w:r w:rsidR="00AD61E5">
        <w:t>r</w:t>
      </w:r>
      <w:r w:rsidRPr="00AD61E5">
        <w:t xml:space="preserve">ner for </w:t>
      </w:r>
      <w:r w:rsidR="00AD61E5">
        <w:t xml:space="preserve">each of the </w:t>
      </w:r>
      <w:r w:rsidRPr="00AD61E5">
        <w:t>year</w:t>
      </w:r>
      <w:r w:rsidR="00AD61E5">
        <w:t>s</w:t>
      </w:r>
      <w:r w:rsidRPr="00AD61E5">
        <w:t xml:space="preserve"> </w:t>
      </w:r>
      <w:r w:rsidR="00AD61E5">
        <w:t>was also greater</w:t>
      </w:r>
      <w:r w:rsidRPr="00AD61E5">
        <w:t xml:space="preserve"> </w:t>
      </w:r>
      <w:r w:rsidR="00AD61E5">
        <w:t xml:space="preserve">than </w:t>
      </w:r>
      <w:r w:rsidRPr="00AD61E5">
        <w:t>1.3</w:t>
      </w:r>
      <w:r w:rsidR="00AD61E5">
        <w:t>3</w:t>
      </w:r>
      <w:r w:rsidRPr="00AD61E5">
        <w:t xml:space="preserve"> (S</w:t>
      </w:r>
      <w:r w:rsidR="00AD61E5">
        <w:t>hown in</w:t>
      </w:r>
      <w:r w:rsidRPr="00AD61E5">
        <w:t xml:space="preserve"> Appendix). </w:t>
      </w:r>
      <w:r w:rsidR="00AD61E5">
        <w:t>Statistically,</w:t>
      </w:r>
      <w:r w:rsidRPr="00AD61E5">
        <w:t xml:space="preserve"> a </w:t>
      </w:r>
      <w:r w:rsidR="00AD61E5">
        <w:t xml:space="preserve">normal </w:t>
      </w:r>
      <w:r w:rsidRPr="001F6E55">
        <w:t>distribution</w:t>
      </w:r>
      <w:r w:rsidR="00AD61E5" w:rsidRPr="001F6E55">
        <w:t xml:space="preserve"> should</w:t>
      </w:r>
      <w:r w:rsidR="00AD61E5">
        <w:t xml:space="preserve"> have a</w:t>
      </w:r>
      <w:r w:rsidRPr="00AD61E5">
        <w:t xml:space="preserve"> skewness </w:t>
      </w:r>
      <w:r w:rsidR="00136AC2">
        <w:t>very close to</w:t>
      </w:r>
      <w:r w:rsidRPr="00AD61E5">
        <w:t xml:space="preserve"> zero,</w:t>
      </w:r>
      <w:r w:rsidR="00136AC2">
        <w:t xml:space="preserve"> in this case,</w:t>
      </w:r>
      <w:r w:rsidRPr="00AD61E5">
        <w:t xml:space="preserve"> the p-values were less than 0.0</w:t>
      </w:r>
      <w:r w:rsidR="00136AC2">
        <w:t>1, which is not fit enough for required statistical analysis.</w:t>
      </w:r>
      <w:r w:rsidRPr="00AD61E5">
        <w:t xml:space="preserve"> </w:t>
      </w:r>
      <w:r w:rsidR="00136AC2">
        <w:t>Finally</w:t>
      </w:r>
      <w:r w:rsidRPr="00AD61E5">
        <w:t xml:space="preserve">, the </w:t>
      </w:r>
      <w:proofErr w:type="spellStart"/>
      <w:r w:rsidRPr="00AD61E5">
        <w:t>sgscatter</w:t>
      </w:r>
      <w:proofErr w:type="spellEnd"/>
      <w:r w:rsidRPr="00AD61E5">
        <w:t xml:space="preserve"> matrix plots show</w:t>
      </w:r>
      <w:r w:rsidR="00136AC2">
        <w:t>ed</w:t>
      </w:r>
      <w:r w:rsidRPr="00AD61E5">
        <w:t xml:space="preserve"> </w:t>
      </w:r>
      <w:r w:rsidR="00136AC2">
        <w:t>many</w:t>
      </w:r>
      <w:r w:rsidRPr="00AD61E5">
        <w:t xml:space="preserve"> </w:t>
      </w:r>
      <w:r w:rsidR="00136AC2">
        <w:t xml:space="preserve">clustered values of the data away from the normal line (shown in Appendix). It was </w:t>
      </w:r>
      <w:r w:rsidRPr="00AD61E5">
        <w:t>th</w:t>
      </w:r>
      <w:r w:rsidR="00136AC2">
        <w:t>erefore concluded that</w:t>
      </w:r>
      <w:r w:rsidRPr="00AD61E5">
        <w:t xml:space="preserve"> the data was </w:t>
      </w:r>
      <w:r w:rsidR="00136AC2">
        <w:t>not fit enough for further analy</w:t>
      </w:r>
      <w:r w:rsidR="001F6E55">
        <w:t>s</w:t>
      </w:r>
      <w:r w:rsidR="00136AC2">
        <w:t>is</w:t>
      </w:r>
      <w:r w:rsidRPr="00AD61E5">
        <w:t xml:space="preserve"> and needed to be transformed as </w:t>
      </w:r>
      <w:r w:rsidR="00136AC2">
        <w:t xml:space="preserve">the </w:t>
      </w:r>
      <w:r w:rsidRPr="00AD61E5">
        <w:t>data.</w:t>
      </w:r>
    </w:p>
    <w:p w14:paraId="6AF22879" w14:textId="77777777" w:rsidR="001F6E55" w:rsidRDefault="001F6E55" w:rsidP="001F6E55">
      <w:pPr>
        <w:pStyle w:val="Heading3"/>
        <w:rPr>
          <w:rFonts w:eastAsiaTheme="minorEastAsia"/>
        </w:rPr>
      </w:pPr>
      <w:bookmarkStart w:id="7" w:name="_Toc104199485"/>
      <w:r>
        <w:rPr>
          <w:rFonts w:eastAsiaTheme="minorEastAsia"/>
        </w:rPr>
        <w:t>Data Transformation</w:t>
      </w:r>
      <w:bookmarkEnd w:id="7"/>
    </w:p>
    <w:p w14:paraId="67078DAF" w14:textId="303A7B38" w:rsidR="001F6E55" w:rsidRDefault="001F6E55" w:rsidP="001F6E55">
      <w:pPr>
        <w:rPr>
          <w:rFonts w:ascii="Calibri" w:hAnsi="Calibri" w:cs="Calibri"/>
        </w:rPr>
      </w:pPr>
      <w:r>
        <w:t>To transform the data, box transformation functions were written using Proc FCMP. Different transformations such as log, square, cube, square root and reciprocal square root were tried and reciprocal square root (</w:t>
      </w:r>
      <w:proofErr w:type="spellStart"/>
      <w:r>
        <w:t>rcpsqrt</w:t>
      </w:r>
      <w:proofErr w:type="spellEnd"/>
      <w:r>
        <w:t xml:space="preserve">) functions proved most effective. </w:t>
      </w:r>
      <w:r w:rsidR="00BD63BC">
        <w:t>Th</w:t>
      </w:r>
      <w:r w:rsidR="00C56A27">
        <w:t>is</w:t>
      </w:r>
      <w:r>
        <w:t xml:space="preserve"> transformation for</w:t>
      </w:r>
      <w:r w:rsidR="00BD63BC">
        <w:t xml:space="preserve"> </w:t>
      </w:r>
      <w:r w:rsidR="00BD63BC" w:rsidRPr="00AD61E5">
        <w:t>GLH per lea</w:t>
      </w:r>
      <w:r w:rsidR="00BD63BC">
        <w:t>r</w:t>
      </w:r>
      <w:r w:rsidR="00BD63BC" w:rsidRPr="00AD61E5">
        <w:t>ner</w:t>
      </w:r>
      <w:r>
        <w:t xml:space="preserve"> </w:t>
      </w:r>
      <w:r w:rsidR="00BD63BC">
        <w:t>for Year 3</w:t>
      </w:r>
      <w:r>
        <w:t xml:space="preserve"> yielded </w:t>
      </w:r>
      <w:r w:rsidR="00C56A27">
        <w:t>the most</w:t>
      </w:r>
      <w:r>
        <w:t xml:space="preserve"> normal curve than the other transformations. </w:t>
      </w:r>
      <w:r w:rsidR="00BD63BC">
        <w:t>The s</w:t>
      </w:r>
      <w:r>
        <w:t>kewness was 0.4</w:t>
      </w:r>
      <w:r w:rsidR="00BD63BC">
        <w:t xml:space="preserve">48 </w:t>
      </w:r>
      <w:r>
        <w:t xml:space="preserve">and </w:t>
      </w:r>
      <w:r w:rsidR="00C56A27">
        <w:t>the Shapiro-Wilko</w:t>
      </w:r>
      <w:r w:rsidR="00BD63BC">
        <w:t xml:space="preserve"> </w:t>
      </w:r>
      <w:r>
        <w:t>test score was 0.</w:t>
      </w:r>
      <w:r w:rsidR="00BD63BC">
        <w:t>0</w:t>
      </w:r>
      <w:r>
        <w:t>8</w:t>
      </w:r>
      <w:r w:rsidR="00BD63BC">
        <w:t>3</w:t>
      </w:r>
      <w:r>
        <w:t>.  S</w:t>
      </w:r>
      <w:r w:rsidR="00370C91">
        <w:t>hapi</w:t>
      </w:r>
      <w:r>
        <w:t>ro-Wilk</w:t>
      </w:r>
      <w:r w:rsidR="00C56A27">
        <w:t>o</w:t>
      </w:r>
      <w:r>
        <w:t xml:space="preserve"> test score </w:t>
      </w:r>
      <w:r w:rsidR="00730CAF">
        <w:t>greater than 0.05</w:t>
      </w:r>
      <w:r>
        <w:t xml:space="preserve"> indicates</w:t>
      </w:r>
      <w:r w:rsidR="00C56A27">
        <w:t xml:space="preserve"> a</w:t>
      </w:r>
      <w:r>
        <w:t xml:space="preserve"> normal distribution. Also, </w:t>
      </w:r>
      <w:proofErr w:type="spellStart"/>
      <w:r>
        <w:t>rcpsqr</w:t>
      </w:r>
      <w:r w:rsidR="000B7AD0">
        <w:t>t</w:t>
      </w:r>
      <w:proofErr w:type="spellEnd"/>
      <w:r>
        <w:t xml:space="preserve"> yielded a more normal curve for GLH</w:t>
      </w:r>
      <w:r w:rsidR="00C56A27">
        <w:t xml:space="preserve"> per learner for all other years</w:t>
      </w:r>
      <w:r w:rsidR="000B7AD0">
        <w:t xml:space="preserve"> and the aggregate</w:t>
      </w:r>
      <w:r w:rsidR="00C56A27">
        <w:t>,</w:t>
      </w:r>
      <w:r>
        <w:t xml:space="preserve"> </w:t>
      </w:r>
      <w:r w:rsidR="000B7AD0">
        <w:t xml:space="preserve">all </w:t>
      </w:r>
      <w:r w:rsidR="00C56A27">
        <w:t>having</w:t>
      </w:r>
      <w:r>
        <w:t xml:space="preserve"> skewness of</w:t>
      </w:r>
      <w:r w:rsidR="00C56A27">
        <w:t xml:space="preserve"> less than</w:t>
      </w:r>
      <w:r>
        <w:t xml:space="preserve"> -0.0</w:t>
      </w:r>
      <w:r w:rsidR="00C56A27">
        <w:t>98</w:t>
      </w:r>
      <w:r>
        <w:t xml:space="preserve">. </w:t>
      </w:r>
      <w:r w:rsidR="000B7AD0">
        <w:t>The initial</w:t>
      </w:r>
      <w:r>
        <w:t xml:space="preserve"> GLH</w:t>
      </w:r>
      <w:r w:rsidR="000B7AD0">
        <w:t xml:space="preserve"> per learner for each of the years and the year aggregate </w:t>
      </w:r>
      <w:r>
        <w:t>were the</w:t>
      </w:r>
      <w:r w:rsidR="000B7AD0">
        <w:t>refore</w:t>
      </w:r>
      <w:r>
        <w:t xml:space="preserve"> dropped</w:t>
      </w:r>
      <w:r w:rsidR="000B7AD0">
        <w:t xml:space="preserve"> for</w:t>
      </w:r>
      <w:r>
        <w:t xml:space="preserve"> the transformed variables</w:t>
      </w:r>
      <w:r w:rsidR="00D642AF">
        <w:t xml:space="preserve"> to </w:t>
      </w:r>
      <w:proofErr w:type="spellStart"/>
      <w:r w:rsidR="00D642AF">
        <w:t>cary</w:t>
      </w:r>
      <w:proofErr w:type="spellEnd"/>
      <w:r w:rsidR="00D642AF">
        <w:t xml:space="preserve"> out parametric analysis</w:t>
      </w:r>
      <w:r w:rsidR="000B7AD0">
        <w:t>.</w:t>
      </w:r>
    </w:p>
    <w:p w14:paraId="7930D7A1" w14:textId="1972074F" w:rsidR="001F6E55" w:rsidRPr="00AD61E5" w:rsidRDefault="001F6E55" w:rsidP="001F6E55"/>
    <w:p w14:paraId="319A61F5" w14:textId="77777777" w:rsidR="000B7AD0" w:rsidRPr="000B7AD0" w:rsidRDefault="000B7AD0" w:rsidP="000B7AD0">
      <w:pPr>
        <w:pStyle w:val="Heading2"/>
      </w:pPr>
      <w:bookmarkStart w:id="8" w:name="_Toc104199486"/>
      <w:r w:rsidRPr="000B7AD0">
        <w:t>Modelling</w:t>
      </w:r>
      <w:bookmarkEnd w:id="8"/>
    </w:p>
    <w:p w14:paraId="2F2ED432" w14:textId="30B35AA1" w:rsidR="00A94211" w:rsidRDefault="000B7AD0" w:rsidP="000B7AD0">
      <w:r>
        <w:t>SAS Proc GLM, Proc T</w:t>
      </w:r>
      <w:r w:rsidR="00A94211">
        <w:t>-</w:t>
      </w:r>
      <w:r>
        <w:t xml:space="preserve">test and Proc </w:t>
      </w:r>
      <w:proofErr w:type="spellStart"/>
      <w:r>
        <w:t>Anova</w:t>
      </w:r>
      <w:proofErr w:type="spellEnd"/>
      <w:r>
        <w:t xml:space="preserve"> was used to model the parameters. GLM is considered </w:t>
      </w:r>
      <w:r w:rsidR="00A94211">
        <w:t>optimal</w:t>
      </w:r>
      <w:r>
        <w:t xml:space="preserve"> when it comes to </w:t>
      </w:r>
      <w:r w:rsidR="00551404">
        <w:t xml:space="preserve">linear </w:t>
      </w:r>
      <w:r>
        <w:t>predictions</w:t>
      </w:r>
      <w:r>
        <w:rPr>
          <w:rFonts w:ascii="Arial" w:hAnsi="Arial" w:cs="Arial"/>
        </w:rPr>
        <w:t xml:space="preserve"> </w:t>
      </w:r>
      <w:r w:rsidR="00A94211">
        <w:rPr>
          <w:rFonts w:ascii="Arial" w:hAnsi="Arial" w:cs="Arial"/>
        </w:rPr>
        <w:t>(</w:t>
      </w:r>
      <w:r>
        <w:t>Rutherford</w:t>
      </w:r>
      <w:r w:rsidR="00A94211">
        <w:t xml:space="preserve">, </w:t>
      </w:r>
      <w:r>
        <w:t>200</w:t>
      </w:r>
      <w:r w:rsidR="00D24FA4">
        <w:t>0</w:t>
      </w:r>
      <w:r>
        <w:t>).</w:t>
      </w:r>
      <w:r w:rsidR="00551404">
        <w:t xml:space="preserve"> T-test is considered when it comes to comparison of means between independent groups (Tae </w:t>
      </w:r>
      <w:proofErr w:type="spellStart"/>
      <w:r w:rsidR="00551404">
        <w:t>Kun</w:t>
      </w:r>
      <w:proofErr w:type="spellEnd"/>
      <w:r w:rsidR="00551404">
        <w:t>, 2015). One</w:t>
      </w:r>
      <w:r w:rsidR="00A94211">
        <w:t>-</w:t>
      </w:r>
      <w:r w:rsidR="00551404">
        <w:t xml:space="preserve">way </w:t>
      </w:r>
      <w:proofErr w:type="spellStart"/>
      <w:r w:rsidR="00A94211">
        <w:t>A</w:t>
      </w:r>
      <w:r w:rsidR="00551404">
        <w:t>nova</w:t>
      </w:r>
      <w:proofErr w:type="spellEnd"/>
      <w:r w:rsidR="00551404">
        <w:t xml:space="preserve"> was</w:t>
      </w:r>
      <w:r w:rsidR="00A94211">
        <w:t xml:space="preserve"> also</w:t>
      </w:r>
      <w:r w:rsidR="00551404">
        <w:t xml:space="preserve"> used to compare the means of two or more groups</w:t>
      </w:r>
      <w:r w:rsidR="00A94211">
        <w:t xml:space="preserve"> (Ross and </w:t>
      </w:r>
      <w:proofErr w:type="spellStart"/>
      <w:r w:rsidR="00A94211">
        <w:t>Willson</w:t>
      </w:r>
      <w:proofErr w:type="spellEnd"/>
      <w:r w:rsidR="00A94211">
        <w:t>, 2017)</w:t>
      </w:r>
      <w:r w:rsidR="00551404">
        <w:t>.</w:t>
      </w:r>
      <w:r>
        <w:t xml:space="preserve"> </w:t>
      </w:r>
    </w:p>
    <w:p w14:paraId="0AACC3E2" w14:textId="7AD87AB3" w:rsidR="000B7AD0" w:rsidRDefault="000B7AD0" w:rsidP="000B7AD0">
      <w:pPr>
        <w:rPr>
          <w:rFonts w:ascii="Calibri" w:hAnsi="Calibri" w:cs="Calibri"/>
        </w:rPr>
      </w:pPr>
      <w:r>
        <w:t xml:space="preserve"> GLM was used to model </w:t>
      </w:r>
      <w:r w:rsidR="00D642AF">
        <w:t xml:space="preserve">the effect of </w:t>
      </w:r>
      <w:r>
        <w:t>size</w:t>
      </w:r>
      <w:r w:rsidR="00D642AF">
        <w:t xml:space="preserve">, </w:t>
      </w:r>
      <w:r>
        <w:t>Region</w:t>
      </w:r>
      <w:r w:rsidR="00D642AF">
        <w:t xml:space="preserve"> and College Type</w:t>
      </w:r>
      <w:r>
        <w:t xml:space="preserve"> against the GLH</w:t>
      </w:r>
      <w:r w:rsidR="00A94211">
        <w:t xml:space="preserve"> per Learner</w:t>
      </w:r>
      <w:r>
        <w:t xml:space="preserve"> for </w:t>
      </w:r>
      <w:r w:rsidR="00A94211">
        <w:t>all the</w:t>
      </w:r>
      <w:r>
        <w:t xml:space="preserve"> year</w:t>
      </w:r>
      <w:r w:rsidR="00A94211">
        <w:t>s</w:t>
      </w:r>
      <w:r>
        <w:t xml:space="preserve">. </w:t>
      </w:r>
      <w:r w:rsidR="00A94211">
        <w:t>T</w:t>
      </w:r>
      <w:r>
        <w:t>he proc univariate procedure was</w:t>
      </w:r>
      <w:r w:rsidR="00A94211">
        <w:t xml:space="preserve"> then</w:t>
      </w:r>
      <w:r>
        <w:t xml:space="preserve"> used to test </w:t>
      </w:r>
      <w:r w:rsidR="00A94211">
        <w:t>if</w:t>
      </w:r>
      <w:r>
        <w:t xml:space="preserve"> the distribution of the errors were normal.</w:t>
      </w:r>
      <w:r w:rsidR="00A94211">
        <w:t xml:space="preserve"> T-test was used to model College types against GLH per learner for all the years. </w:t>
      </w:r>
      <w:proofErr w:type="spellStart"/>
      <w:r w:rsidR="00A94211">
        <w:t>Anova</w:t>
      </w:r>
      <w:proofErr w:type="spellEnd"/>
      <w:r w:rsidR="00A94211">
        <w:t xml:space="preserve"> was used to model size and region against the aggregated GLH per learner for all the years.  </w:t>
      </w:r>
    </w:p>
    <w:p w14:paraId="642861B7" w14:textId="76F1967F" w:rsidR="004C1F49" w:rsidRDefault="004C1F49" w:rsidP="001F6E55"/>
    <w:p w14:paraId="11B3AB5C" w14:textId="0DCB56C1" w:rsidR="00A70910" w:rsidRDefault="004C1F49" w:rsidP="001F6E55">
      <w:r>
        <w:t xml:space="preserve"> </w:t>
      </w:r>
      <w:r w:rsidR="00A70910">
        <w:t xml:space="preserve"> </w:t>
      </w:r>
    </w:p>
    <w:p w14:paraId="4CCBD7E5" w14:textId="4326455B" w:rsidR="00A94211" w:rsidRDefault="00A94211">
      <w:pPr>
        <w:spacing w:line="259" w:lineRule="auto"/>
        <w:jc w:val="left"/>
      </w:pPr>
      <w:r>
        <w:br w:type="page"/>
      </w:r>
    </w:p>
    <w:p w14:paraId="2E3F93BE" w14:textId="4AC24049" w:rsidR="00A94211" w:rsidRDefault="00CA7DE5" w:rsidP="00CA7DE5">
      <w:pPr>
        <w:pStyle w:val="Heading1"/>
      </w:pPr>
      <w:bookmarkStart w:id="9" w:name="_Toc104199487"/>
      <w:r>
        <w:lastRenderedPageBreak/>
        <w:t>ANALYSIS AND DISCUSSION</w:t>
      </w:r>
      <w:bookmarkEnd w:id="9"/>
    </w:p>
    <w:p w14:paraId="1929075D" w14:textId="69AD075D" w:rsidR="00CA7DE5" w:rsidRPr="00CA7DE5" w:rsidRDefault="00CA7DE5" w:rsidP="00CA7DE5">
      <w:pPr>
        <w:pStyle w:val="Heading2"/>
      </w:pPr>
      <w:bookmarkStart w:id="10" w:name="_Toc104199488"/>
      <w:r>
        <w:t>Effect of Size, College, Region and Year on GLH Per learners</w:t>
      </w:r>
      <w:bookmarkEnd w:id="10"/>
    </w:p>
    <w:p w14:paraId="7A86E920" w14:textId="77777777" w:rsidR="008D5F8C" w:rsidRDefault="00CA7DE5" w:rsidP="003B41E7">
      <w:r>
        <w:t xml:space="preserve">The College type </w:t>
      </w:r>
      <w:r w:rsidR="003B41E7">
        <w:t>was discovered to have a significant relationship with the GLH per learners for each year and aggregated years. Using the difference between the means</w:t>
      </w:r>
      <w:r w:rsidR="00992B45">
        <w:t>(t-test)</w:t>
      </w:r>
      <w:r w:rsidR="003B41E7">
        <w:t xml:space="preserve"> </w:t>
      </w:r>
      <w:r w:rsidR="00992B45">
        <w:t>of Further Education colleges and sixth form colleges,</w:t>
      </w:r>
      <w:r w:rsidR="003B41E7">
        <w:t xml:space="preserve"> </w:t>
      </w:r>
      <w:r w:rsidR="00992B45">
        <w:t xml:space="preserve">the p-values were less than 0.05 and the pooled t-value was 24.37 which shows huge difference in year aggregate of GLH per learner for each school (as shown in the figure below and appendix).  </w:t>
      </w:r>
    </w:p>
    <w:p w14:paraId="62C5F5BA" w14:textId="17B7A022" w:rsidR="00CA7DE5" w:rsidRDefault="008D5F8C" w:rsidP="003B41E7">
      <w:r w:rsidRPr="00C065EA">
        <w:rPr>
          <w:noProof/>
        </w:rPr>
        <w:drawing>
          <wp:inline distT="0" distB="0" distL="0" distR="0" wp14:anchorId="553E02CD" wp14:editId="2C1F6D28">
            <wp:extent cx="4343400" cy="959695"/>
            <wp:effectExtent l="19050" t="19050" r="19050"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344" cy="991942"/>
                    </a:xfrm>
                    <a:prstGeom prst="rect">
                      <a:avLst/>
                    </a:prstGeom>
                    <a:ln w="19050">
                      <a:solidFill>
                        <a:schemeClr val="tx1"/>
                      </a:solidFill>
                    </a:ln>
                  </pic:spPr>
                </pic:pic>
              </a:graphicData>
            </a:graphic>
          </wp:inline>
        </w:drawing>
      </w:r>
    </w:p>
    <w:p w14:paraId="36E17DCC" w14:textId="77777777" w:rsidR="008D5F8C" w:rsidRDefault="008500DE" w:rsidP="008500DE">
      <w:r>
        <w:t>Looking at the</w:t>
      </w:r>
      <w:r w:rsidR="00992B45">
        <w:t xml:space="preserve"> year </w:t>
      </w:r>
      <w:r>
        <w:t>there is no significant difference in guided learning hours in the three years, with the mean value of each year not far apart from one another. However</w:t>
      </w:r>
      <w:r w:rsidR="00BB0307">
        <w:t>,</w:t>
      </w:r>
      <w:r>
        <w:t xml:space="preserve"> Year 1 ha</w:t>
      </w:r>
      <w:r w:rsidR="00C97776">
        <w:t>d</w:t>
      </w:r>
      <w:r>
        <w:t xml:space="preserve"> a </w:t>
      </w:r>
      <w:r w:rsidR="00C97776">
        <w:t xml:space="preserve">high </w:t>
      </w:r>
      <w:r>
        <w:t>standard deviation value which showed some difference from other years.</w:t>
      </w:r>
    </w:p>
    <w:p w14:paraId="66785662" w14:textId="449C2FC5" w:rsidR="00992B45" w:rsidRDefault="008D5F8C" w:rsidP="008500DE">
      <w:r w:rsidRPr="008D5F8C">
        <w:rPr>
          <w:noProof/>
        </w:rPr>
        <w:t xml:space="preserve"> </w:t>
      </w:r>
      <w:r w:rsidRPr="00C065EA">
        <w:rPr>
          <w:noProof/>
        </w:rPr>
        <w:drawing>
          <wp:inline distT="0" distB="0" distL="0" distR="0" wp14:anchorId="577865D9" wp14:editId="3B766A02">
            <wp:extent cx="4333875" cy="851031"/>
            <wp:effectExtent l="19050" t="19050" r="9525"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978" cy="859102"/>
                    </a:xfrm>
                    <a:prstGeom prst="rect">
                      <a:avLst/>
                    </a:prstGeom>
                    <a:ln w="19050">
                      <a:solidFill>
                        <a:schemeClr val="tx1"/>
                      </a:solidFill>
                    </a:ln>
                  </pic:spPr>
                </pic:pic>
              </a:graphicData>
            </a:graphic>
          </wp:inline>
        </w:drawing>
      </w:r>
    </w:p>
    <w:p w14:paraId="32174F00" w14:textId="77777777" w:rsidR="00B85651" w:rsidRDefault="00CF61F7" w:rsidP="00CF61F7">
      <w:r>
        <w:t>Based on</w:t>
      </w:r>
      <w:r w:rsidR="00AF4264">
        <w:t xml:space="preserve"> region</w:t>
      </w:r>
      <w:r>
        <w:t xml:space="preserve">, </w:t>
      </w:r>
      <w:r w:rsidRPr="00CF61F7">
        <w:t>there is a major difference in guided learning hours in the college regions</w:t>
      </w:r>
      <w:r>
        <w:t>. The</w:t>
      </w:r>
      <w:r w:rsidRPr="00CF61F7">
        <w:t xml:space="preserve"> p-value </w:t>
      </w:r>
      <w:r>
        <w:t xml:space="preserve">and </w:t>
      </w:r>
      <w:r w:rsidRPr="00CF61F7">
        <w:t>sum of squares is less than 0.05</w:t>
      </w:r>
      <w:r>
        <w:t>. There is also</w:t>
      </w:r>
      <w:r w:rsidR="00C97776">
        <w:t xml:space="preserve"> no</w:t>
      </w:r>
      <w:r>
        <w:t xml:space="preserve"> </w:t>
      </w:r>
      <w:r w:rsidR="00AF4264">
        <w:t xml:space="preserve">significant difference between </w:t>
      </w:r>
      <w:r>
        <w:t xml:space="preserve">the </w:t>
      </w:r>
      <w:r w:rsidR="00AF4264">
        <w:t>colleges in</w:t>
      </w:r>
      <w:r>
        <w:t xml:space="preserve"> the following regions</w:t>
      </w:r>
      <w:r w:rsidR="00AF4264">
        <w:t xml:space="preserve"> South west and South East, South West and East of London, South West and Greater London and South West and North West</w:t>
      </w:r>
      <w:r>
        <w:t xml:space="preserve">, </w:t>
      </w:r>
      <w:r w:rsidR="00AF4264">
        <w:t>East midlands and East of England, East midlands and Greater London, East Midlands and North West</w:t>
      </w:r>
      <w:r>
        <w:t>, West midlands and Greater London, West midlands and North West</w:t>
      </w:r>
      <w:r w:rsidR="00AF4264">
        <w:t>.</w:t>
      </w:r>
    </w:p>
    <w:p w14:paraId="07048DC5" w14:textId="0C5849E3" w:rsidR="00CA7DE5" w:rsidRDefault="00B85651" w:rsidP="00CF61F7">
      <w:r w:rsidRPr="00B85651">
        <w:rPr>
          <w:noProof/>
        </w:rPr>
        <w:t xml:space="preserve"> </w:t>
      </w:r>
      <w:r w:rsidRPr="00B85651">
        <w:drawing>
          <wp:inline distT="0" distB="0" distL="0" distR="0" wp14:anchorId="06CA8159" wp14:editId="2AEE2042">
            <wp:extent cx="2543175" cy="1741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2634" cy="1775861"/>
                    </a:xfrm>
                    <a:prstGeom prst="rect">
                      <a:avLst/>
                    </a:prstGeom>
                  </pic:spPr>
                </pic:pic>
              </a:graphicData>
            </a:graphic>
          </wp:inline>
        </w:drawing>
      </w:r>
    </w:p>
    <w:p w14:paraId="2696D138" w14:textId="787A1CF6" w:rsidR="00CF61F7" w:rsidRDefault="00CF61F7" w:rsidP="00CF61F7">
      <w:r>
        <w:t xml:space="preserve">Based on </w:t>
      </w:r>
      <w:r w:rsidR="001F7086">
        <w:t xml:space="preserve">the </w:t>
      </w:r>
      <w:r>
        <w:t>Size</w:t>
      </w:r>
      <w:r w:rsidR="001F7086">
        <w:t xml:space="preserve"> of the colleges</w:t>
      </w:r>
      <w:r>
        <w:t xml:space="preserve"> there is </w:t>
      </w:r>
      <w:r w:rsidR="00BB0307">
        <w:t>no</w:t>
      </w:r>
      <w:r>
        <w:t xml:space="preserve"> significant difference in the sizes of colleges </w:t>
      </w:r>
      <w:r w:rsidR="001F7086">
        <w:t xml:space="preserve">and their </w:t>
      </w:r>
      <w:r>
        <w:t xml:space="preserve">GLH per learner. </w:t>
      </w:r>
      <w:r w:rsidR="00BB0307">
        <w:t xml:space="preserve">The p-value for the </w:t>
      </w:r>
      <w:proofErr w:type="spellStart"/>
      <w:r w:rsidR="00BB0307">
        <w:t>anova</w:t>
      </w:r>
      <w:proofErr w:type="spellEnd"/>
      <w:r w:rsidR="00BB0307">
        <w:t xml:space="preserve"> analysis is 0.22 and the sum of squares is 0.0018(as shown in the appendix). This means, there is no relationship between the size and GLH per learner of each school. The box plot also shows there is no major difference in the distribution of their values.  </w:t>
      </w:r>
    </w:p>
    <w:p w14:paraId="7FB602BF" w14:textId="369A6EE0" w:rsidR="00B85651" w:rsidRDefault="00B85651" w:rsidP="00CF61F7">
      <w:r w:rsidRPr="00B85651">
        <w:lastRenderedPageBreak/>
        <w:drawing>
          <wp:inline distT="0" distB="0" distL="0" distR="0" wp14:anchorId="3F2F0FF5" wp14:editId="74DBFD89">
            <wp:extent cx="2514600" cy="17437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516" cy="1756818"/>
                    </a:xfrm>
                    <a:prstGeom prst="rect">
                      <a:avLst/>
                    </a:prstGeom>
                  </pic:spPr>
                </pic:pic>
              </a:graphicData>
            </a:graphic>
          </wp:inline>
        </w:drawing>
      </w:r>
    </w:p>
    <w:p w14:paraId="5D9C55D3" w14:textId="77777777" w:rsidR="00B85651" w:rsidRDefault="00B85651" w:rsidP="00CF61F7"/>
    <w:p w14:paraId="6375192F" w14:textId="1A22171C" w:rsidR="00801178" w:rsidRPr="00CA7DE5" w:rsidRDefault="00801178" w:rsidP="00801178">
      <w:pPr>
        <w:pStyle w:val="Heading2"/>
      </w:pPr>
      <w:bookmarkStart w:id="11" w:name="_Toc104199489"/>
      <w:r>
        <w:t>Effect of Region and Year on GLH Per learners by Size and College Type</w:t>
      </w:r>
      <w:bookmarkEnd w:id="11"/>
    </w:p>
    <w:p w14:paraId="73ECF0FB" w14:textId="77777777" w:rsidR="00C97EAE" w:rsidRDefault="00C97EAE" w:rsidP="00D642AF"/>
    <w:p w14:paraId="7370AD38" w14:textId="4ABD34A7" w:rsidR="00801178" w:rsidRDefault="00D642AF" w:rsidP="00D642AF">
      <w:r>
        <w:t>Looking at the means across the years</w:t>
      </w:r>
      <w:r w:rsidR="00C97EAE">
        <w:t xml:space="preserve"> by the college sizes</w:t>
      </w:r>
      <w:r>
        <w:t xml:space="preserve"> there is a consistent gap between the mean values of GLH per Learner for each size category. The medium and smaller sizes ha</w:t>
      </w:r>
      <w:r w:rsidR="00C97EAE">
        <w:t>d</w:t>
      </w:r>
      <w:r>
        <w:t xml:space="preserve"> more significant </w:t>
      </w:r>
      <w:r w:rsidR="00C97EAE">
        <w:t xml:space="preserve">learning </w:t>
      </w:r>
      <w:r>
        <w:t>hours</w:t>
      </w:r>
      <w:r w:rsidR="00C97EAE">
        <w:t xml:space="preserve"> per learner</w:t>
      </w:r>
      <w:r>
        <w:t xml:space="preserve"> than the larger ones</w:t>
      </w:r>
      <w:r w:rsidR="00C97EAE">
        <w:t xml:space="preserve"> who had large total learning hours but lower learning hour per learner.</w:t>
      </w:r>
    </w:p>
    <w:p w14:paraId="75D1DD2E" w14:textId="70491B79" w:rsidR="003A02F0" w:rsidRDefault="00C97EAE" w:rsidP="003A02F0">
      <w:r>
        <w:t>For each of the years by the college sizes the p-values for the results of the general linear model tests including Shapiro-</w:t>
      </w:r>
      <w:proofErr w:type="spellStart"/>
      <w:r>
        <w:t>wilk</w:t>
      </w:r>
      <w:proofErr w:type="spellEnd"/>
      <w:r>
        <w:t xml:space="preserve"> test and the sum of squares (Type III SS) is less than 0.05 which indicates there is a significant difference between sizes</w:t>
      </w:r>
      <w:r w:rsidR="003A02F0">
        <w:t xml:space="preserve"> across the years</w:t>
      </w:r>
      <w:r>
        <w:t xml:space="preserve">. </w:t>
      </w:r>
      <w:r w:rsidR="003A02F0">
        <w:t>T</w:t>
      </w:r>
      <w:r>
        <w:t>he test for normality of the residuals also showed the p-values were less than 0.05 and the skewness and kurtosis also proved the distribution was close to a normal distribution as they were less than 1. The major levels with large differences include Large-Medium and Small-Medium, Large-Medium and Medium (all years) and Medium and Large in Year 2, and Medium and Small Medium in Year 3.</w:t>
      </w:r>
    </w:p>
    <w:p w14:paraId="07E16213" w14:textId="45E49283" w:rsidR="00C97EAE" w:rsidRDefault="003A02F0" w:rsidP="003A02F0">
      <w:r>
        <w:t>Examining the effect of college type and year on GLH per Learner, the P-value for the pooled and Satterthwaite is less than 0.01 for all years showing there is major difference in the two college types in all the years. There is also a large difference in the means of their guided learning hours. For the each of the years 1, 2 and 3 the mean difference</w:t>
      </w:r>
      <w:r w:rsidR="00EF5F0E">
        <w:t xml:space="preserve"> between the college types</w:t>
      </w:r>
      <w:r>
        <w:t xml:space="preserve"> was 0.00337, 0.0278 and 0.0303 respectively. </w:t>
      </w:r>
      <w:r w:rsidR="00EF5F0E">
        <w:t xml:space="preserve">Examining the equality of variances both year 1 and 3 had p-values lower than 0.05 showing there is significant difference in the variance between the learning hour per learner in both colleges. Year 2 on the other hand had a value of 0.1690 showing the variances of the GLH per learner are not significantly different between the college type in that particular year. The normal distribution plot also showed that the GLH per learner values for FE colleges are more normally distributed than Sixth Form colleges. </w:t>
      </w:r>
    </w:p>
    <w:p w14:paraId="2C25CE90" w14:textId="5AC28316" w:rsidR="00D642AF" w:rsidRDefault="00EF5F0E" w:rsidP="0088296B">
      <w:r>
        <w:t>Analyzing the region and year</w:t>
      </w:r>
      <w:r w:rsidR="0088296B">
        <w:t xml:space="preserve"> by size using two-way </w:t>
      </w:r>
      <w:proofErr w:type="spellStart"/>
      <w:r w:rsidR="0088296B">
        <w:t>Anova</w:t>
      </w:r>
      <w:proofErr w:type="spellEnd"/>
      <w:r w:rsidR="0088296B">
        <w:t>, it was observed that with interaction the model was not significantly different across the years with a P-value greater than 0.05(0.5795). On the other hand, without interaction there is a significant difference in the GLH per learner for different college across the years with p-values less than 0.05. Size and Region both individually have a significant effect on the GLH per learner. Using the LS means, it was observed that East midlands, West midlands, Yorkshire and South West have similarities between their large and large-medium schools.</w:t>
      </w:r>
      <w:r>
        <w:t xml:space="preserve"> </w:t>
      </w:r>
    </w:p>
    <w:p w14:paraId="732BDA76" w14:textId="370C0011" w:rsidR="0088296B" w:rsidRDefault="0011437A" w:rsidP="0088296B">
      <w:r>
        <w:t>Examining the region and year by college type, t</w:t>
      </w:r>
      <w:r w:rsidR="0088296B">
        <w:t xml:space="preserve">here </w:t>
      </w:r>
      <w:r>
        <w:t>wa</w:t>
      </w:r>
      <w:r w:rsidR="0088296B">
        <w:t xml:space="preserve">s interaction between the region and the college type in Year1 and in year2 with </w:t>
      </w:r>
      <w:r>
        <w:t xml:space="preserve">their </w:t>
      </w:r>
      <w:r w:rsidR="0088296B">
        <w:t>p-values less</w:t>
      </w:r>
      <w:r>
        <w:t xml:space="preserve"> </w:t>
      </w:r>
      <w:r w:rsidR="0088296B">
        <w:t xml:space="preserve">than 0.05 showing that there </w:t>
      </w:r>
      <w:r>
        <w:t>wa</w:t>
      </w:r>
      <w:r w:rsidR="0088296B">
        <w:t>s</w:t>
      </w:r>
      <w:r>
        <w:t xml:space="preserve"> a significant</w:t>
      </w:r>
      <w:r w:rsidR="0088296B">
        <w:t xml:space="preserve"> effect of college type, region and year on the GLH per learner</w:t>
      </w:r>
      <w:r>
        <w:t xml:space="preserve"> in years 1 and 2. In Year 3 the p-value </w:t>
      </w:r>
      <w:r w:rsidR="0077313D">
        <w:t>being</w:t>
      </w:r>
      <w:r>
        <w:t xml:space="preserve"> 0.0803,</w:t>
      </w:r>
      <w:r w:rsidR="0088296B">
        <w:t xml:space="preserve"> </w:t>
      </w:r>
      <w:r>
        <w:t xml:space="preserve">meant there was no significant interaction of the college type and region in determining the GLH per learner for students. </w:t>
      </w:r>
      <w:r w:rsidR="0088296B">
        <w:t>The L</w:t>
      </w:r>
      <w:r w:rsidR="008228EB">
        <w:t xml:space="preserve">east </w:t>
      </w:r>
      <w:r>
        <w:t>S</w:t>
      </w:r>
      <w:r w:rsidR="008228EB">
        <w:t>quare</w:t>
      </w:r>
      <w:r w:rsidR="0088296B">
        <w:t xml:space="preserve"> means in year 1, 2, and 3 also shows there is a major difference in all college types</w:t>
      </w:r>
      <w:r>
        <w:t>.</w:t>
      </w:r>
      <w:r w:rsidR="0088296B">
        <w:t xml:space="preserve"> </w:t>
      </w:r>
      <w:r>
        <w:t>A</w:t>
      </w:r>
      <w:r w:rsidR="0088296B">
        <w:t>l</w:t>
      </w:r>
      <w:r>
        <w:t>so</w:t>
      </w:r>
      <w:r w:rsidR="008228EB">
        <w:t>,</w:t>
      </w:r>
      <w:r>
        <w:t xml:space="preserve"> for the</w:t>
      </w:r>
      <w:r w:rsidR="0088296B">
        <w:t xml:space="preserve"> regions</w:t>
      </w:r>
      <w:r>
        <w:t xml:space="preserve"> the L</w:t>
      </w:r>
      <w:r w:rsidR="008228EB">
        <w:t xml:space="preserve">east </w:t>
      </w:r>
      <w:r>
        <w:t>S</w:t>
      </w:r>
      <w:r w:rsidR="008228EB">
        <w:t>quare</w:t>
      </w:r>
      <w:r>
        <w:t xml:space="preserve"> means showed that Greater </w:t>
      </w:r>
      <w:r>
        <w:lastRenderedPageBreak/>
        <w:t xml:space="preserve">London, North West and East of England had </w:t>
      </w:r>
      <w:r w:rsidR="008228EB">
        <w:t xml:space="preserve">mean values which are significantly different from other regions across the years. </w:t>
      </w:r>
    </w:p>
    <w:p w14:paraId="3842670E" w14:textId="667848A5" w:rsidR="00D642AF" w:rsidRDefault="00D642AF" w:rsidP="00CF61F7"/>
    <w:p w14:paraId="1341604A" w14:textId="3AC8B5C9" w:rsidR="00CA7DE5" w:rsidRDefault="008228EB" w:rsidP="00CA7DE5">
      <w:r>
        <w:t>CONCLUSION</w:t>
      </w:r>
    </w:p>
    <w:p w14:paraId="40F2A661" w14:textId="72D53912" w:rsidR="00F2139E" w:rsidRPr="00CA7DE5" w:rsidRDefault="00B85651" w:rsidP="00CA7DE5">
      <w:r>
        <w:t xml:space="preserve">From the analysis the </w:t>
      </w:r>
      <w:r w:rsidR="0077313D">
        <w:t xml:space="preserve">college type had the major effect on the guided learning hour per learner as sixth form colleges had way higher values than Further Education Colleges. The Regions also had major effects on the values of Guided Learning Hours with Greater London and North west having more than other regions consistently for different years. Using the years, there was no major difference in guided learning hours however Year1 had a significant effect on Guided Learning Hours per Learner. The Size of schools using their Total Guided Learning Hours did not also </w:t>
      </w:r>
      <w:r w:rsidR="00141C59">
        <w:t xml:space="preserve">have </w:t>
      </w:r>
      <w:r w:rsidR="005A5C95">
        <w:t xml:space="preserve">a significant effect on the Guided Learning Hour per Learner as majority of the data fell within two classes (Large-medium and Medium).  </w:t>
      </w:r>
    </w:p>
    <w:p w14:paraId="1605754F" w14:textId="40EADC81" w:rsidR="005E76B6" w:rsidRDefault="00D105CC" w:rsidP="001F6E55">
      <w:r>
        <w:t xml:space="preserve">  </w:t>
      </w:r>
      <w:r w:rsidR="007946A2">
        <w:t xml:space="preserve">  </w:t>
      </w:r>
      <w:r w:rsidR="00CB29FD">
        <w:t xml:space="preserve">  </w:t>
      </w:r>
    </w:p>
    <w:p w14:paraId="6A720DB8" w14:textId="35E9E638" w:rsidR="009B0FA1" w:rsidRDefault="00F31CE6" w:rsidP="001F6E55">
      <w:r>
        <w:t xml:space="preserve"> </w:t>
      </w:r>
      <w:r w:rsidR="005A5C95" w:rsidRPr="00EE5257">
        <w:rPr>
          <w:rFonts w:eastAsiaTheme="majorEastAsia"/>
          <w:noProof/>
        </w:rPr>
        <w:drawing>
          <wp:inline distT="0" distB="0" distL="0" distR="0" wp14:anchorId="74C1DC36" wp14:editId="7EE8F9AB">
            <wp:extent cx="2625328" cy="2400300"/>
            <wp:effectExtent l="19050" t="19050" r="2286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0023" cy="2422879"/>
                    </a:xfrm>
                    <a:prstGeom prst="rect">
                      <a:avLst/>
                    </a:prstGeom>
                    <a:ln w="19050">
                      <a:solidFill>
                        <a:schemeClr val="tx1"/>
                      </a:solidFill>
                    </a:ln>
                  </pic:spPr>
                </pic:pic>
              </a:graphicData>
            </a:graphic>
          </wp:inline>
        </w:drawing>
      </w:r>
      <w:r w:rsidR="005A5C95">
        <w:rPr>
          <w:rFonts w:eastAsiaTheme="majorEastAsia"/>
          <w:noProof/>
        </w:rPr>
        <w:t xml:space="preserve">              </w:t>
      </w:r>
      <w:r w:rsidR="005A5C95" w:rsidRPr="00DD3BD1">
        <w:rPr>
          <w:rFonts w:eastAsiaTheme="majorEastAsia"/>
          <w:noProof/>
        </w:rPr>
        <w:drawing>
          <wp:inline distT="0" distB="0" distL="0" distR="0" wp14:anchorId="456FFD0F" wp14:editId="4B0015C4">
            <wp:extent cx="2541397" cy="2380615"/>
            <wp:effectExtent l="19050" t="19050" r="1143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184" cy="2384163"/>
                    </a:xfrm>
                    <a:prstGeom prst="rect">
                      <a:avLst/>
                    </a:prstGeom>
                    <a:ln w="19050">
                      <a:solidFill>
                        <a:schemeClr val="tx1"/>
                      </a:solidFill>
                    </a:ln>
                  </pic:spPr>
                </pic:pic>
              </a:graphicData>
            </a:graphic>
          </wp:inline>
        </w:drawing>
      </w:r>
    </w:p>
    <w:p w14:paraId="34854AA0" w14:textId="5A999FF6" w:rsidR="009B0FA1" w:rsidRDefault="00F31CE6" w:rsidP="001F6E55">
      <w:r>
        <w:t xml:space="preserve"> </w:t>
      </w:r>
      <w:r w:rsidR="005A5C95" w:rsidRPr="00F47720">
        <w:rPr>
          <w:noProof/>
        </w:rPr>
        <w:drawing>
          <wp:inline distT="0" distB="0" distL="0" distR="0" wp14:anchorId="481DEF4A" wp14:editId="5267E53D">
            <wp:extent cx="2686050" cy="2446641"/>
            <wp:effectExtent l="19050" t="19050" r="1905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9055" cy="2467595"/>
                    </a:xfrm>
                    <a:prstGeom prst="rect">
                      <a:avLst/>
                    </a:prstGeom>
                    <a:ln w="19050">
                      <a:solidFill>
                        <a:schemeClr val="tx1"/>
                      </a:solidFill>
                    </a:ln>
                  </pic:spPr>
                </pic:pic>
              </a:graphicData>
            </a:graphic>
          </wp:inline>
        </w:drawing>
      </w:r>
      <w:r w:rsidR="005A5C95">
        <w:t xml:space="preserve">             </w:t>
      </w:r>
      <w:r w:rsidR="005A5C95" w:rsidRPr="00F47720">
        <w:rPr>
          <w:noProof/>
        </w:rPr>
        <w:drawing>
          <wp:inline distT="0" distB="0" distL="0" distR="0" wp14:anchorId="507817DA" wp14:editId="07901687">
            <wp:extent cx="2536549" cy="2333625"/>
            <wp:effectExtent l="19050" t="19050" r="165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6549" cy="2333625"/>
                    </a:xfrm>
                    <a:prstGeom prst="rect">
                      <a:avLst/>
                    </a:prstGeom>
                    <a:ln w="19050">
                      <a:solidFill>
                        <a:schemeClr val="tx1"/>
                      </a:solidFill>
                    </a:ln>
                  </pic:spPr>
                </pic:pic>
              </a:graphicData>
            </a:graphic>
          </wp:inline>
        </w:drawing>
      </w:r>
    </w:p>
    <w:p w14:paraId="788C9C7C" w14:textId="096AFAF1" w:rsidR="00195375" w:rsidRPr="00195375" w:rsidRDefault="00F31CE6" w:rsidP="001F6E55">
      <w:r>
        <w:t xml:space="preserve"> </w:t>
      </w:r>
    </w:p>
    <w:p w14:paraId="6BB96A8B" w14:textId="58AC56C5" w:rsidR="00D24FA4" w:rsidRPr="005A5C95" w:rsidRDefault="00D24FA4" w:rsidP="005A5C95">
      <w:bookmarkStart w:id="12" w:name="_GoBack"/>
      <w:bookmarkEnd w:id="12"/>
      <w:r>
        <w:br w:type="page"/>
      </w:r>
    </w:p>
    <w:p w14:paraId="455C4260" w14:textId="47D4D0D5" w:rsidR="009C38C2" w:rsidRPr="007803B8" w:rsidRDefault="009C38C2" w:rsidP="001F6E55">
      <w:pPr>
        <w:pStyle w:val="Heading1"/>
      </w:pPr>
      <w:bookmarkStart w:id="13" w:name="_Toc104199490"/>
      <w:r w:rsidRPr="007803B8">
        <w:lastRenderedPageBreak/>
        <w:t>REFEREN</w:t>
      </w:r>
      <w:r w:rsidR="00EF34E6">
        <w:t>CES</w:t>
      </w:r>
      <w:bookmarkEnd w:id="13"/>
    </w:p>
    <w:p w14:paraId="7F6B2421" w14:textId="6BA89133" w:rsidR="00B866B6" w:rsidRPr="00D24FA4" w:rsidRDefault="00D24FA4" w:rsidP="00D24FA4">
      <w:pPr>
        <w:pStyle w:val="ListParagraph"/>
        <w:numPr>
          <w:ilvl w:val="0"/>
          <w:numId w:val="21"/>
        </w:numPr>
        <w:rPr>
          <w:sz w:val="32"/>
          <w:szCs w:val="32"/>
        </w:rPr>
      </w:pPr>
      <w:r w:rsidRPr="00D24FA4">
        <w:rPr>
          <w:rFonts w:ascii="Arial" w:hAnsi="Arial" w:cs="Arial"/>
          <w:color w:val="222222"/>
          <w:sz w:val="20"/>
          <w:szCs w:val="20"/>
          <w:shd w:val="clear" w:color="auto" w:fill="FFFFFF"/>
        </w:rPr>
        <w:t xml:space="preserve">Rutherford, A., 2000. Introducing </w:t>
      </w:r>
      <w:proofErr w:type="spellStart"/>
      <w:r w:rsidRPr="00D24FA4">
        <w:rPr>
          <w:rFonts w:ascii="Arial" w:hAnsi="Arial" w:cs="Arial"/>
          <w:color w:val="222222"/>
          <w:sz w:val="20"/>
          <w:szCs w:val="20"/>
          <w:shd w:val="clear" w:color="auto" w:fill="FFFFFF"/>
        </w:rPr>
        <w:t>anova</w:t>
      </w:r>
      <w:proofErr w:type="spellEnd"/>
      <w:r w:rsidRPr="00D24FA4">
        <w:rPr>
          <w:rFonts w:ascii="Arial" w:hAnsi="Arial" w:cs="Arial"/>
          <w:color w:val="222222"/>
          <w:sz w:val="20"/>
          <w:szCs w:val="20"/>
          <w:shd w:val="clear" w:color="auto" w:fill="FFFFFF"/>
        </w:rPr>
        <w:t xml:space="preserve"> and </w:t>
      </w:r>
      <w:proofErr w:type="spellStart"/>
      <w:r w:rsidRPr="00D24FA4">
        <w:rPr>
          <w:rFonts w:ascii="Arial" w:hAnsi="Arial" w:cs="Arial"/>
          <w:color w:val="222222"/>
          <w:sz w:val="20"/>
          <w:szCs w:val="20"/>
          <w:shd w:val="clear" w:color="auto" w:fill="FFFFFF"/>
        </w:rPr>
        <w:t>ancova</w:t>
      </w:r>
      <w:proofErr w:type="spellEnd"/>
      <w:r w:rsidRPr="00D24FA4">
        <w:rPr>
          <w:rFonts w:ascii="Arial" w:hAnsi="Arial" w:cs="Arial"/>
          <w:color w:val="222222"/>
          <w:sz w:val="20"/>
          <w:szCs w:val="20"/>
          <w:shd w:val="clear" w:color="auto" w:fill="FFFFFF"/>
        </w:rPr>
        <w:t>. </w:t>
      </w:r>
      <w:r w:rsidRPr="00D24FA4">
        <w:rPr>
          <w:rFonts w:ascii="Arial" w:hAnsi="Arial" w:cs="Arial"/>
          <w:i/>
          <w:iCs/>
          <w:color w:val="222222"/>
          <w:sz w:val="20"/>
          <w:szCs w:val="20"/>
          <w:shd w:val="clear" w:color="auto" w:fill="FFFFFF"/>
        </w:rPr>
        <w:t xml:space="preserve">Introducing </w:t>
      </w:r>
      <w:proofErr w:type="spellStart"/>
      <w:r w:rsidRPr="00D24FA4">
        <w:rPr>
          <w:rFonts w:ascii="Arial" w:hAnsi="Arial" w:cs="Arial"/>
          <w:i/>
          <w:iCs/>
          <w:color w:val="222222"/>
          <w:sz w:val="20"/>
          <w:szCs w:val="20"/>
          <w:shd w:val="clear" w:color="auto" w:fill="FFFFFF"/>
        </w:rPr>
        <w:t>Anova</w:t>
      </w:r>
      <w:proofErr w:type="spellEnd"/>
      <w:r w:rsidRPr="00D24FA4">
        <w:rPr>
          <w:rFonts w:ascii="Arial" w:hAnsi="Arial" w:cs="Arial"/>
          <w:i/>
          <w:iCs/>
          <w:color w:val="222222"/>
          <w:sz w:val="20"/>
          <w:szCs w:val="20"/>
          <w:shd w:val="clear" w:color="auto" w:fill="FFFFFF"/>
        </w:rPr>
        <w:t xml:space="preserve"> and </w:t>
      </w:r>
      <w:proofErr w:type="spellStart"/>
      <w:r w:rsidRPr="00D24FA4">
        <w:rPr>
          <w:rFonts w:ascii="Arial" w:hAnsi="Arial" w:cs="Arial"/>
          <w:i/>
          <w:iCs/>
          <w:color w:val="222222"/>
          <w:sz w:val="20"/>
          <w:szCs w:val="20"/>
          <w:shd w:val="clear" w:color="auto" w:fill="FFFFFF"/>
        </w:rPr>
        <w:t>Ancova</w:t>
      </w:r>
      <w:proofErr w:type="spellEnd"/>
      <w:r w:rsidRPr="00D24FA4">
        <w:rPr>
          <w:rFonts w:ascii="Arial" w:hAnsi="Arial" w:cs="Arial"/>
          <w:color w:val="222222"/>
          <w:sz w:val="20"/>
          <w:szCs w:val="20"/>
          <w:shd w:val="clear" w:color="auto" w:fill="FFFFFF"/>
        </w:rPr>
        <w:t>, pp.1-192.</w:t>
      </w:r>
    </w:p>
    <w:p w14:paraId="3CD75301" w14:textId="79DF9F7B" w:rsidR="00D24FA4" w:rsidRPr="00D24FA4" w:rsidRDefault="00D24FA4" w:rsidP="00D24FA4">
      <w:pPr>
        <w:pStyle w:val="ListParagraph"/>
        <w:numPr>
          <w:ilvl w:val="0"/>
          <w:numId w:val="21"/>
        </w:numPr>
        <w:rPr>
          <w:sz w:val="32"/>
          <w:szCs w:val="32"/>
        </w:rPr>
      </w:pPr>
      <w:r>
        <w:rPr>
          <w:rFonts w:ascii="Arial" w:hAnsi="Arial" w:cs="Arial"/>
          <w:color w:val="222222"/>
          <w:sz w:val="20"/>
          <w:szCs w:val="20"/>
          <w:shd w:val="clear" w:color="auto" w:fill="FFFFFF"/>
        </w:rPr>
        <w:t>Kim, T.K., 2015. T test as a parametric statistic. </w:t>
      </w:r>
      <w:r>
        <w:rPr>
          <w:rFonts w:ascii="Arial" w:hAnsi="Arial" w:cs="Arial"/>
          <w:i/>
          <w:iCs/>
          <w:color w:val="222222"/>
          <w:sz w:val="20"/>
          <w:szCs w:val="20"/>
          <w:shd w:val="clear" w:color="auto" w:fill="FFFFFF"/>
        </w:rPr>
        <w:t>Korean journal of anesthesiology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68</w:t>
      </w:r>
      <w:r>
        <w:rPr>
          <w:rFonts w:ascii="Arial" w:hAnsi="Arial" w:cs="Arial"/>
          <w:color w:val="222222"/>
          <w:sz w:val="20"/>
          <w:szCs w:val="20"/>
          <w:shd w:val="clear" w:color="auto" w:fill="FFFFFF"/>
        </w:rPr>
        <w:t>(6), p.540.</w:t>
      </w:r>
    </w:p>
    <w:p w14:paraId="12F62946" w14:textId="09F64A8C" w:rsidR="00D24FA4" w:rsidRPr="00D24FA4" w:rsidRDefault="00D24FA4" w:rsidP="00D24FA4">
      <w:pPr>
        <w:pStyle w:val="ListParagraph"/>
        <w:numPr>
          <w:ilvl w:val="0"/>
          <w:numId w:val="21"/>
        </w:numPr>
        <w:rPr>
          <w:sz w:val="32"/>
          <w:szCs w:val="32"/>
        </w:rPr>
      </w:pPr>
      <w:r>
        <w:rPr>
          <w:rFonts w:ascii="Arial" w:hAnsi="Arial" w:cs="Arial"/>
          <w:color w:val="222222"/>
          <w:sz w:val="20"/>
          <w:szCs w:val="20"/>
          <w:shd w:val="clear" w:color="auto" w:fill="FFFFFF"/>
        </w:rPr>
        <w:t>Wilson, A.E. and Ross, M., 2000. The frequency of temporal-self and social comparisons in people's personal appraisals. </w:t>
      </w:r>
      <w:r>
        <w:rPr>
          <w:rFonts w:ascii="Arial" w:hAnsi="Arial" w:cs="Arial"/>
          <w:i/>
          <w:iCs/>
          <w:color w:val="222222"/>
          <w:sz w:val="20"/>
          <w:szCs w:val="20"/>
          <w:shd w:val="clear" w:color="auto" w:fill="FFFFFF"/>
        </w:rPr>
        <w:t>Journal of personality and social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78</w:t>
      </w:r>
      <w:r>
        <w:rPr>
          <w:rFonts w:ascii="Arial" w:hAnsi="Arial" w:cs="Arial"/>
          <w:color w:val="222222"/>
          <w:sz w:val="20"/>
          <w:szCs w:val="20"/>
          <w:shd w:val="clear" w:color="auto" w:fill="FFFFFF"/>
        </w:rPr>
        <w:t>(5), p.928.</w:t>
      </w:r>
    </w:p>
    <w:p w14:paraId="07645821" w14:textId="402211D1" w:rsidR="00615C0C" w:rsidRPr="00286617" w:rsidRDefault="00615C0C" w:rsidP="001F6E55">
      <w:r>
        <w:br w:type="page"/>
      </w:r>
    </w:p>
    <w:p w14:paraId="4AFD4EE6" w14:textId="4CD7A1BB" w:rsidR="009B6D1F" w:rsidRPr="007803B8" w:rsidRDefault="009B6D1F" w:rsidP="001F6E55">
      <w:pPr>
        <w:pStyle w:val="Heading1"/>
      </w:pPr>
      <w:bookmarkStart w:id="14" w:name="_Toc104199491"/>
      <w:r>
        <w:lastRenderedPageBreak/>
        <w:t>APPENDIX</w:t>
      </w:r>
      <w:bookmarkEnd w:id="14"/>
    </w:p>
    <w:p w14:paraId="0DB0468D" w14:textId="77777777" w:rsidR="00D24FA4" w:rsidRDefault="00D24FA4" w:rsidP="001F6E55">
      <w:pPr>
        <w:rPr>
          <w:sz w:val="32"/>
          <w:szCs w:val="32"/>
        </w:rPr>
      </w:pPr>
      <w:r w:rsidRPr="005C28D9">
        <w:rPr>
          <w:noProof/>
        </w:rPr>
        <w:drawing>
          <wp:inline distT="0" distB="0" distL="0" distR="0" wp14:anchorId="06D89335" wp14:editId="3D9419AB">
            <wp:extent cx="2257425" cy="2970296"/>
            <wp:effectExtent l="19050" t="19050" r="9525"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5987" cy="3007878"/>
                    </a:xfrm>
                    <a:prstGeom prst="rect">
                      <a:avLst/>
                    </a:prstGeom>
                    <a:ln w="12700">
                      <a:solidFill>
                        <a:schemeClr val="tx1"/>
                      </a:solidFill>
                    </a:ln>
                  </pic:spPr>
                </pic:pic>
              </a:graphicData>
            </a:graphic>
          </wp:inline>
        </w:drawing>
      </w:r>
    </w:p>
    <w:p w14:paraId="1923FD05" w14:textId="77777777" w:rsidR="00D24FA4" w:rsidRDefault="00D24FA4" w:rsidP="001F6E55">
      <w:pPr>
        <w:rPr>
          <w:sz w:val="32"/>
          <w:szCs w:val="32"/>
        </w:rPr>
      </w:pPr>
    </w:p>
    <w:p w14:paraId="037E73BC" w14:textId="77777777" w:rsidR="00D24FA4" w:rsidRDefault="00D24FA4" w:rsidP="001F6E55">
      <w:pPr>
        <w:rPr>
          <w:sz w:val="32"/>
          <w:szCs w:val="32"/>
        </w:rPr>
      </w:pPr>
    </w:p>
    <w:p w14:paraId="72C8B062" w14:textId="237C69E9" w:rsidR="009B6D1F" w:rsidRDefault="009B6D1F" w:rsidP="001F6E55">
      <w:pPr>
        <w:rPr>
          <w:sz w:val="32"/>
          <w:szCs w:val="32"/>
        </w:rPr>
      </w:pPr>
    </w:p>
    <w:p w14:paraId="16E9C0A6" w14:textId="7CD4EF14" w:rsidR="004468EB" w:rsidRDefault="00B874A7" w:rsidP="001F6E55">
      <w:r w:rsidRPr="00B874A7">
        <w:rPr>
          <w:noProof/>
        </w:rPr>
        <w:drawing>
          <wp:inline distT="0" distB="0" distL="0" distR="0" wp14:anchorId="5A5295F3" wp14:editId="35DD69C0">
            <wp:extent cx="5733415" cy="2185035"/>
            <wp:effectExtent l="19050" t="19050" r="19685"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185035"/>
                    </a:xfrm>
                    <a:prstGeom prst="rect">
                      <a:avLst/>
                    </a:prstGeom>
                    <a:ln w="19050">
                      <a:solidFill>
                        <a:schemeClr val="tx1"/>
                      </a:solidFill>
                    </a:ln>
                  </pic:spPr>
                </pic:pic>
              </a:graphicData>
            </a:graphic>
          </wp:inline>
        </w:drawing>
      </w:r>
    </w:p>
    <w:p w14:paraId="2C69ED62" w14:textId="2C2E86B1" w:rsidR="001F6E55" w:rsidRDefault="001F6E55" w:rsidP="001F6E55">
      <w:r w:rsidRPr="001F6E55">
        <w:rPr>
          <w:noProof/>
        </w:rPr>
        <w:lastRenderedPageBreak/>
        <w:drawing>
          <wp:inline distT="0" distB="0" distL="0" distR="0" wp14:anchorId="0FF211BD" wp14:editId="6171B025">
            <wp:extent cx="5733415" cy="2126615"/>
            <wp:effectExtent l="19050" t="19050" r="19685" b="260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126615"/>
                    </a:xfrm>
                    <a:prstGeom prst="rect">
                      <a:avLst/>
                    </a:prstGeom>
                    <a:ln w="19050">
                      <a:solidFill>
                        <a:schemeClr val="tx1"/>
                      </a:solidFill>
                    </a:ln>
                  </pic:spPr>
                </pic:pic>
              </a:graphicData>
            </a:graphic>
          </wp:inline>
        </w:drawing>
      </w:r>
    </w:p>
    <w:p w14:paraId="55FC73CD" w14:textId="77777777" w:rsidR="00D83644" w:rsidRDefault="00D83644" w:rsidP="001F6E55">
      <w:pPr>
        <w:rPr>
          <w:noProof/>
        </w:rPr>
      </w:pPr>
    </w:p>
    <w:p w14:paraId="20906338" w14:textId="2D2777A8" w:rsidR="009B6D1F" w:rsidRDefault="009B6D1F" w:rsidP="001F6E55"/>
    <w:p w14:paraId="174E0DFC" w14:textId="207409B8" w:rsidR="004468EB" w:rsidRDefault="009B6D1F" w:rsidP="001F6E55">
      <w:r w:rsidRPr="009B6D1F">
        <w:t>Appendix A</w:t>
      </w:r>
    </w:p>
    <w:p w14:paraId="1EA5ACD1" w14:textId="7D141149" w:rsidR="0067530B" w:rsidRDefault="0067530B" w:rsidP="001F6E55">
      <w:r w:rsidRPr="0067530B">
        <w:rPr>
          <w:noProof/>
        </w:rPr>
        <w:drawing>
          <wp:inline distT="0" distB="0" distL="0" distR="0" wp14:anchorId="5B20AF37" wp14:editId="6F391CD5">
            <wp:extent cx="5733415" cy="4302125"/>
            <wp:effectExtent l="0" t="0" r="63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4302125"/>
                    </a:xfrm>
                    <a:prstGeom prst="rect">
                      <a:avLst/>
                    </a:prstGeom>
                  </pic:spPr>
                </pic:pic>
              </a:graphicData>
            </a:graphic>
          </wp:inline>
        </w:drawing>
      </w:r>
    </w:p>
    <w:p w14:paraId="05E80BBE" w14:textId="7A1D3D69" w:rsidR="0067530B" w:rsidRDefault="0067530B" w:rsidP="001F6E55">
      <w:r>
        <w:t>Test for Normality</w:t>
      </w:r>
    </w:p>
    <w:p w14:paraId="4EC9D7B6" w14:textId="507C671D" w:rsidR="008A656B" w:rsidRDefault="008A656B" w:rsidP="001F6E55">
      <w:r w:rsidRPr="008A656B">
        <w:rPr>
          <w:noProof/>
        </w:rPr>
        <w:lastRenderedPageBreak/>
        <w:drawing>
          <wp:inline distT="0" distB="0" distL="0" distR="0" wp14:anchorId="4F8CB068" wp14:editId="63585CB2">
            <wp:extent cx="5696745" cy="391532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745" cy="3915321"/>
                    </a:xfrm>
                    <a:prstGeom prst="rect">
                      <a:avLst/>
                    </a:prstGeom>
                  </pic:spPr>
                </pic:pic>
              </a:graphicData>
            </a:graphic>
          </wp:inline>
        </w:drawing>
      </w:r>
    </w:p>
    <w:p w14:paraId="607EEA1F" w14:textId="3FD6C3A1" w:rsidR="0067530B" w:rsidRDefault="001F7086" w:rsidP="001F6E55">
      <w:r w:rsidRPr="008F2B45">
        <w:rPr>
          <w:rFonts w:eastAsiaTheme="majorEastAsia"/>
          <w:noProof/>
        </w:rPr>
        <w:lastRenderedPageBreak/>
        <w:drawing>
          <wp:inline distT="0" distB="0" distL="0" distR="0" wp14:anchorId="2D1BD048" wp14:editId="7CF7391B">
            <wp:extent cx="5733415" cy="2076450"/>
            <wp:effectExtent l="19050" t="19050" r="1968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076450"/>
                    </a:xfrm>
                    <a:prstGeom prst="rect">
                      <a:avLst/>
                    </a:prstGeom>
                    <a:ln w="19050">
                      <a:solidFill>
                        <a:schemeClr val="tx1"/>
                      </a:solidFill>
                    </a:ln>
                  </pic:spPr>
                </pic:pic>
              </a:graphicData>
            </a:graphic>
          </wp:inline>
        </w:drawing>
      </w:r>
      <w:r w:rsidR="0067530B" w:rsidRPr="0067530B">
        <w:rPr>
          <w:noProof/>
        </w:rPr>
        <w:drawing>
          <wp:inline distT="0" distB="0" distL="0" distR="0" wp14:anchorId="43771140" wp14:editId="14122F45">
            <wp:extent cx="5733415" cy="421132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4211320"/>
                    </a:xfrm>
                    <a:prstGeom prst="rect">
                      <a:avLst/>
                    </a:prstGeom>
                  </pic:spPr>
                </pic:pic>
              </a:graphicData>
            </a:graphic>
          </wp:inline>
        </w:drawing>
      </w:r>
    </w:p>
    <w:p w14:paraId="3AB6E1FA" w14:textId="150819CD" w:rsidR="008A656B" w:rsidRDefault="008A656B" w:rsidP="001F6E55"/>
    <w:p w14:paraId="30328095" w14:textId="18D329C8" w:rsidR="008A656B" w:rsidRDefault="008A656B" w:rsidP="001F6E55">
      <w:r>
        <w:t xml:space="preserve">Normal Plot of Transformed data </w:t>
      </w:r>
    </w:p>
    <w:p w14:paraId="72D2891D" w14:textId="3BD3AD58" w:rsidR="008A656B" w:rsidRDefault="008A656B" w:rsidP="001F6E55">
      <w:r w:rsidRPr="008A656B">
        <w:rPr>
          <w:noProof/>
        </w:rPr>
        <w:lastRenderedPageBreak/>
        <w:drawing>
          <wp:inline distT="0" distB="0" distL="0" distR="0" wp14:anchorId="45755D11" wp14:editId="2B4F7671">
            <wp:extent cx="5733415" cy="3896995"/>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3896995"/>
                    </a:xfrm>
                    <a:prstGeom prst="rect">
                      <a:avLst/>
                    </a:prstGeom>
                  </pic:spPr>
                </pic:pic>
              </a:graphicData>
            </a:graphic>
          </wp:inline>
        </w:drawing>
      </w:r>
    </w:p>
    <w:p w14:paraId="42ADE6B4" w14:textId="729ABE18" w:rsidR="00BB0307" w:rsidRDefault="00BB0307" w:rsidP="001F6E55">
      <w:r w:rsidRPr="00BB0307">
        <w:rPr>
          <w:noProof/>
        </w:rPr>
        <w:drawing>
          <wp:inline distT="0" distB="0" distL="0" distR="0" wp14:anchorId="357B8479" wp14:editId="7CB1F245">
            <wp:extent cx="3629532" cy="2467319"/>
            <wp:effectExtent l="19050" t="19050" r="2857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532" cy="2467319"/>
                    </a:xfrm>
                    <a:prstGeom prst="rect">
                      <a:avLst/>
                    </a:prstGeom>
                    <a:ln w="19050">
                      <a:solidFill>
                        <a:schemeClr val="tx1"/>
                      </a:solidFill>
                    </a:ln>
                  </pic:spPr>
                </pic:pic>
              </a:graphicData>
            </a:graphic>
          </wp:inline>
        </w:drawing>
      </w:r>
    </w:p>
    <w:p w14:paraId="6439DDF5" w14:textId="77777777" w:rsidR="008A656B" w:rsidRDefault="008A656B" w:rsidP="001F6E55"/>
    <w:p w14:paraId="6652CF67" w14:textId="3A7B6701" w:rsidR="00D83644" w:rsidRDefault="00DD3BD1" w:rsidP="001F6E55">
      <w:pPr>
        <w:rPr>
          <w:noProof/>
        </w:rPr>
      </w:pPr>
      <w:r w:rsidRPr="00DD3BD1">
        <w:rPr>
          <w:noProof/>
        </w:rPr>
        <w:lastRenderedPageBreak/>
        <w:drawing>
          <wp:inline distT="0" distB="0" distL="0" distR="0" wp14:anchorId="6BF1E256" wp14:editId="0ED84E39">
            <wp:extent cx="5733415" cy="4230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4230370"/>
                    </a:xfrm>
                    <a:prstGeom prst="rect">
                      <a:avLst/>
                    </a:prstGeom>
                  </pic:spPr>
                </pic:pic>
              </a:graphicData>
            </a:graphic>
          </wp:inline>
        </w:drawing>
      </w:r>
      <w:r w:rsidR="00EE5257" w:rsidRPr="00EE5257">
        <w:t xml:space="preserve"> T-test showing effect of College type on </w:t>
      </w:r>
      <w:proofErr w:type="spellStart"/>
      <w:r w:rsidR="00EE5257" w:rsidRPr="00EE5257">
        <w:t>glhperLearner</w:t>
      </w:r>
      <w:proofErr w:type="spellEnd"/>
      <w:r w:rsidR="00EE5257" w:rsidRPr="00EE5257">
        <w:t xml:space="preserve"> in all 3 years</w:t>
      </w:r>
    </w:p>
    <w:p w14:paraId="5CBA176D" w14:textId="07059442" w:rsidR="00D83644" w:rsidRDefault="00DD3BD1" w:rsidP="001F6E55">
      <w:r w:rsidRPr="00DD3BD1">
        <w:rPr>
          <w:noProof/>
        </w:rPr>
        <w:drawing>
          <wp:inline distT="0" distB="0" distL="0" distR="0" wp14:anchorId="71625D8E" wp14:editId="3D431950">
            <wp:extent cx="5733415" cy="3149600"/>
            <wp:effectExtent l="19050" t="19050" r="1968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3149600"/>
                    </a:xfrm>
                    <a:prstGeom prst="rect">
                      <a:avLst/>
                    </a:prstGeom>
                    <a:ln w="19050">
                      <a:solidFill>
                        <a:schemeClr val="tx1"/>
                      </a:solidFill>
                    </a:ln>
                  </pic:spPr>
                </pic:pic>
              </a:graphicData>
            </a:graphic>
          </wp:inline>
        </w:drawing>
      </w:r>
    </w:p>
    <w:p w14:paraId="39EDB062" w14:textId="7C15620B" w:rsidR="00EE5257" w:rsidRDefault="00EE5257" w:rsidP="001F6E55">
      <w:r w:rsidRPr="00EE5257">
        <w:t xml:space="preserve">T-test showing effect of College type on </w:t>
      </w:r>
      <w:proofErr w:type="spellStart"/>
      <w:r w:rsidRPr="00EE5257">
        <w:t>glhperLearner</w:t>
      </w:r>
      <w:proofErr w:type="spellEnd"/>
      <w:r w:rsidRPr="00EE5257">
        <w:t xml:space="preserve"> in all 3 years</w:t>
      </w:r>
    </w:p>
    <w:p w14:paraId="2C30A7B6" w14:textId="3F3DABF5" w:rsidR="005A430F" w:rsidRDefault="005A430F" w:rsidP="001F6E55">
      <w:r w:rsidRPr="005A430F">
        <w:rPr>
          <w:noProof/>
        </w:rPr>
        <w:lastRenderedPageBreak/>
        <w:drawing>
          <wp:inline distT="0" distB="0" distL="0" distR="0" wp14:anchorId="4C093CFA" wp14:editId="2AE3AA36">
            <wp:extent cx="5733415" cy="3942715"/>
            <wp:effectExtent l="19050" t="19050" r="1968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3942715"/>
                    </a:xfrm>
                    <a:prstGeom prst="rect">
                      <a:avLst/>
                    </a:prstGeom>
                    <a:ln w="19050">
                      <a:solidFill>
                        <a:schemeClr val="tx1"/>
                      </a:solidFill>
                    </a:ln>
                  </pic:spPr>
                </pic:pic>
              </a:graphicData>
            </a:graphic>
          </wp:inline>
        </w:drawing>
      </w:r>
    </w:p>
    <w:p w14:paraId="3BFAA08F" w14:textId="48C6C113" w:rsidR="00EE5257" w:rsidRDefault="00EE5257" w:rsidP="001F6E55">
      <w:proofErr w:type="spellStart"/>
      <w:r w:rsidRPr="00EE5257">
        <w:t>Ttest</w:t>
      </w:r>
      <w:proofErr w:type="spellEnd"/>
      <w:r w:rsidRPr="00EE5257">
        <w:t xml:space="preserve"> showing effect of Year </w:t>
      </w:r>
      <w:r>
        <w:t xml:space="preserve">1 </w:t>
      </w:r>
      <w:r w:rsidRPr="00EE5257">
        <w:t>on learning hours per learner by College type '</w:t>
      </w:r>
      <w:r w:rsidRPr="005A430F">
        <w:rPr>
          <w:noProof/>
        </w:rPr>
        <w:drawing>
          <wp:inline distT="0" distB="0" distL="0" distR="0" wp14:anchorId="09A94DD3" wp14:editId="28FF69F7">
            <wp:extent cx="5733415" cy="3159760"/>
            <wp:effectExtent l="19050" t="19050" r="1968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3159760"/>
                    </a:xfrm>
                    <a:prstGeom prst="rect">
                      <a:avLst/>
                    </a:prstGeom>
                    <a:ln w="19050">
                      <a:solidFill>
                        <a:schemeClr val="tx1"/>
                      </a:solidFill>
                    </a:ln>
                  </pic:spPr>
                </pic:pic>
              </a:graphicData>
            </a:graphic>
          </wp:inline>
        </w:drawing>
      </w:r>
    </w:p>
    <w:p w14:paraId="0BE9DDC2" w14:textId="0E942BA6" w:rsidR="00EE5257" w:rsidRDefault="00EE5257" w:rsidP="001F6E55">
      <w:proofErr w:type="spellStart"/>
      <w:r w:rsidRPr="00EE5257">
        <w:t>Ttest</w:t>
      </w:r>
      <w:proofErr w:type="spellEnd"/>
      <w:r w:rsidRPr="00EE5257">
        <w:t xml:space="preserve"> showing effect of Year </w:t>
      </w:r>
      <w:r w:rsidR="00B93EE2">
        <w:t xml:space="preserve">1 </w:t>
      </w:r>
      <w:r w:rsidRPr="00EE5257">
        <w:t xml:space="preserve">on learning hours per learner by College type </w:t>
      </w:r>
    </w:p>
    <w:p w14:paraId="778CAAC1" w14:textId="77777777" w:rsidR="00B93EE2" w:rsidRDefault="00EE5257" w:rsidP="001F6E55">
      <w:r w:rsidRPr="00F47720">
        <w:rPr>
          <w:noProof/>
        </w:rPr>
        <w:lastRenderedPageBreak/>
        <w:drawing>
          <wp:inline distT="0" distB="0" distL="0" distR="0" wp14:anchorId="4949CB44" wp14:editId="660462EC">
            <wp:extent cx="5715798" cy="4248743"/>
            <wp:effectExtent l="19050" t="19050" r="1841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798" cy="4248743"/>
                    </a:xfrm>
                    <a:prstGeom prst="rect">
                      <a:avLst/>
                    </a:prstGeom>
                    <a:ln w="19050">
                      <a:solidFill>
                        <a:schemeClr val="tx1"/>
                      </a:solidFill>
                    </a:ln>
                  </pic:spPr>
                </pic:pic>
              </a:graphicData>
            </a:graphic>
          </wp:inline>
        </w:drawing>
      </w:r>
    </w:p>
    <w:p w14:paraId="63630AEE" w14:textId="6A7FAFD0" w:rsidR="005A430F" w:rsidRDefault="00EE5257" w:rsidP="001F6E55">
      <w:r w:rsidRPr="00F47720">
        <w:rPr>
          <w:noProof/>
        </w:rPr>
        <w:drawing>
          <wp:inline distT="0" distB="0" distL="0" distR="0" wp14:anchorId="1EA5C599" wp14:editId="424C09A8">
            <wp:extent cx="5572903" cy="3172268"/>
            <wp:effectExtent l="19050" t="19050" r="2794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2903" cy="3172268"/>
                    </a:xfrm>
                    <a:prstGeom prst="rect">
                      <a:avLst/>
                    </a:prstGeom>
                    <a:ln w="19050">
                      <a:solidFill>
                        <a:schemeClr val="tx1"/>
                      </a:solidFill>
                    </a:ln>
                  </pic:spPr>
                </pic:pic>
              </a:graphicData>
            </a:graphic>
          </wp:inline>
        </w:drawing>
      </w:r>
    </w:p>
    <w:p w14:paraId="3F88A896" w14:textId="7A4F0BF1" w:rsidR="00B93EE2" w:rsidRDefault="00B93EE2" w:rsidP="001F6E55">
      <w:proofErr w:type="spellStart"/>
      <w:r w:rsidRPr="00B93EE2">
        <w:t>Ttest</w:t>
      </w:r>
      <w:proofErr w:type="spellEnd"/>
      <w:r w:rsidRPr="00B93EE2">
        <w:t xml:space="preserve"> showing effect of Year </w:t>
      </w:r>
      <w:r>
        <w:t xml:space="preserve">2 </w:t>
      </w:r>
      <w:r w:rsidRPr="00B93EE2">
        <w:t xml:space="preserve">on learning hours per learner by College type </w:t>
      </w:r>
    </w:p>
    <w:p w14:paraId="2F4665A1" w14:textId="3AB590CE" w:rsidR="00B93EE2" w:rsidRDefault="00EE5257" w:rsidP="001F6E55">
      <w:r w:rsidRPr="00EE5257">
        <w:rPr>
          <w:noProof/>
        </w:rPr>
        <w:lastRenderedPageBreak/>
        <w:drawing>
          <wp:inline distT="0" distB="0" distL="0" distR="0" wp14:anchorId="637A0E6C" wp14:editId="0E813C8C">
            <wp:extent cx="5733415" cy="4108450"/>
            <wp:effectExtent l="19050" t="19050" r="19685"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4108450"/>
                    </a:xfrm>
                    <a:prstGeom prst="rect">
                      <a:avLst/>
                    </a:prstGeom>
                    <a:ln w="19050">
                      <a:solidFill>
                        <a:schemeClr val="tx1"/>
                      </a:solidFill>
                    </a:ln>
                  </pic:spPr>
                </pic:pic>
              </a:graphicData>
            </a:graphic>
          </wp:inline>
        </w:drawing>
      </w:r>
    </w:p>
    <w:p w14:paraId="6280F4F8" w14:textId="29744354" w:rsidR="00B93EE2" w:rsidRDefault="00B93EE2" w:rsidP="001F6E55">
      <w:proofErr w:type="spellStart"/>
      <w:r w:rsidRPr="00B93EE2">
        <w:t>Ttest</w:t>
      </w:r>
      <w:proofErr w:type="spellEnd"/>
      <w:r w:rsidRPr="00B93EE2">
        <w:t xml:space="preserve"> showing effect of Year </w:t>
      </w:r>
      <w:r>
        <w:t xml:space="preserve">3 </w:t>
      </w:r>
      <w:r w:rsidRPr="00B93EE2">
        <w:t>on learning hours per learner by College type '</w:t>
      </w:r>
    </w:p>
    <w:p w14:paraId="4381D374" w14:textId="6C47BEF6" w:rsidR="00EE5257" w:rsidRDefault="00EE5257" w:rsidP="001F6E55">
      <w:r w:rsidRPr="00EE5257">
        <w:rPr>
          <w:noProof/>
        </w:rPr>
        <w:drawing>
          <wp:inline distT="0" distB="0" distL="0" distR="0" wp14:anchorId="2A36A5FE" wp14:editId="0D8AD0A0">
            <wp:extent cx="5677692" cy="321037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77692" cy="3210373"/>
                    </a:xfrm>
                    <a:prstGeom prst="rect">
                      <a:avLst/>
                    </a:prstGeom>
                  </pic:spPr>
                </pic:pic>
              </a:graphicData>
            </a:graphic>
          </wp:inline>
        </w:drawing>
      </w:r>
    </w:p>
    <w:p w14:paraId="1775CE38" w14:textId="5B440D92" w:rsidR="00B93EE2" w:rsidRDefault="00B93EE2" w:rsidP="001F6E55">
      <w:proofErr w:type="spellStart"/>
      <w:r w:rsidRPr="00B93EE2">
        <w:t>Ttest</w:t>
      </w:r>
      <w:proofErr w:type="spellEnd"/>
      <w:r w:rsidRPr="00B93EE2">
        <w:t xml:space="preserve"> showing effect of Year </w:t>
      </w:r>
      <w:r>
        <w:t xml:space="preserve">3 </w:t>
      </w:r>
      <w:r w:rsidRPr="00B93EE2">
        <w:t>on learning hours per learner by College type '</w:t>
      </w:r>
    </w:p>
    <w:p w14:paraId="23E2AA6B" w14:textId="17F33D9E" w:rsidR="005A430F" w:rsidRDefault="005A430F" w:rsidP="001F6E55"/>
    <w:sectPr w:rsidR="005A430F" w:rsidSect="00BC064E">
      <w:footerReference w:type="default" r:id="rId34"/>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977CB" w14:textId="77777777" w:rsidR="003C76B0" w:rsidRDefault="003C76B0" w:rsidP="001F6E55">
      <w:r>
        <w:separator/>
      </w:r>
    </w:p>
  </w:endnote>
  <w:endnote w:type="continuationSeparator" w:id="0">
    <w:p w14:paraId="5A023F3B" w14:textId="77777777" w:rsidR="003C76B0" w:rsidRDefault="003C76B0" w:rsidP="001F6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988114"/>
      <w:docPartObj>
        <w:docPartGallery w:val="Page Numbers (Bottom of Page)"/>
        <w:docPartUnique/>
      </w:docPartObj>
    </w:sdtPr>
    <w:sdtEndPr/>
    <w:sdtContent>
      <w:p w14:paraId="00B7B192" w14:textId="77777777" w:rsidR="00BD63BC" w:rsidRPr="0003251C" w:rsidRDefault="00BD63BC" w:rsidP="001F6E55">
        <w:pPr>
          <w:pStyle w:val="Footer"/>
        </w:pPr>
        <w:r w:rsidRPr="0003251C">
          <w:t xml:space="preserve">Page | </w:t>
        </w:r>
        <w:r w:rsidRPr="0003251C">
          <w:fldChar w:fldCharType="begin"/>
        </w:r>
        <w:r w:rsidRPr="0003251C">
          <w:instrText xml:space="preserve"> PAGE   \* MERGEFORMAT </w:instrText>
        </w:r>
        <w:r w:rsidRPr="0003251C">
          <w:fldChar w:fldCharType="separate"/>
        </w:r>
        <w:r>
          <w:rPr>
            <w:noProof/>
          </w:rPr>
          <w:t>1</w:t>
        </w:r>
        <w:r w:rsidRPr="0003251C">
          <w:rPr>
            <w:noProof/>
          </w:rPr>
          <w:fldChar w:fldCharType="end"/>
        </w:r>
        <w:r w:rsidRPr="0003251C">
          <w:t xml:space="preserve"> </w:t>
        </w:r>
      </w:p>
    </w:sdtContent>
  </w:sdt>
  <w:p w14:paraId="2223DDEC" w14:textId="5D67AF49" w:rsidR="00BD63BC" w:rsidRPr="0003251C" w:rsidRDefault="00730CAF" w:rsidP="001F6E55">
    <w:pPr>
      <w:rPr>
        <w:highlight w:val="white"/>
      </w:rPr>
    </w:pPr>
    <w:r>
      <w:tab/>
    </w:r>
    <w:r>
      <w:tab/>
    </w:r>
    <w:r>
      <w:tab/>
    </w:r>
    <w:r>
      <w:tab/>
    </w:r>
    <w:r>
      <w:tab/>
    </w:r>
    <w:r>
      <w:tab/>
    </w:r>
    <w:r>
      <w:tab/>
    </w:r>
    <w:r>
      <w:tab/>
    </w:r>
    <w:r>
      <w:tab/>
    </w:r>
    <w:r>
      <w:tab/>
    </w:r>
    <w:r>
      <w:tab/>
      <w:t>P2686917</w:t>
    </w:r>
    <w:r w:rsidR="00BD63BC" w:rsidRPr="0003251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5CE4B" w14:textId="77777777" w:rsidR="003C76B0" w:rsidRDefault="003C76B0" w:rsidP="001F6E55">
      <w:r>
        <w:separator/>
      </w:r>
    </w:p>
  </w:footnote>
  <w:footnote w:type="continuationSeparator" w:id="0">
    <w:p w14:paraId="3D1B95D9" w14:textId="77777777" w:rsidR="003C76B0" w:rsidRDefault="003C76B0" w:rsidP="001F6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w14:anchorId="0A2AFEC1"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numPicBullet w:numPicBulletId="2">
    <w:pict>
      <v:rect id="_x0000_i1028" style="width:0;height:1.5pt" o:hralign="center" o:bullet="t" o:hrstd="t" o:hr="t" fillcolor="#a0a0a0" stroked="f"/>
    </w:pict>
  </w:numPicBullet>
  <w:numPicBullet w:numPicBulletId="3">
    <w:pict>
      <v:rect id="_x0000_i1029" style="width:0;height:1.5pt" o:hralign="center" o:bullet="t" o:hrstd="t" o:hr="t" fillcolor="#a0a0a0" stroked="f"/>
    </w:pict>
  </w:numPicBullet>
  <w:numPicBullet w:numPicBulletId="4">
    <w:pict>
      <v:rect id="_x0000_i1030" style="width:0;height:1.5pt" o:hralign="center" o:bullet="t" o:hrstd="t" o:hr="t" fillcolor="#a0a0a0" stroked="f"/>
    </w:pict>
  </w:numPicBullet>
  <w:abstractNum w:abstractNumId="0" w15:restartNumberingAfterBreak="0">
    <w:nsid w:val="06DC45D8"/>
    <w:multiLevelType w:val="multilevel"/>
    <w:tmpl w:val="57FA8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27532"/>
    <w:multiLevelType w:val="hybridMultilevel"/>
    <w:tmpl w:val="55C00A70"/>
    <w:lvl w:ilvl="0" w:tplc="A9827E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7B087B"/>
    <w:multiLevelType w:val="multilevel"/>
    <w:tmpl w:val="33C8D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C5B3E"/>
    <w:multiLevelType w:val="multilevel"/>
    <w:tmpl w:val="63DE9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C56E7A"/>
    <w:multiLevelType w:val="multilevel"/>
    <w:tmpl w:val="F894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F840AC"/>
    <w:multiLevelType w:val="multilevel"/>
    <w:tmpl w:val="8CF04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9A029E"/>
    <w:multiLevelType w:val="hybridMultilevel"/>
    <w:tmpl w:val="6DFE3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752AEC"/>
    <w:multiLevelType w:val="multilevel"/>
    <w:tmpl w:val="BED8F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E3430A"/>
    <w:multiLevelType w:val="hybridMultilevel"/>
    <w:tmpl w:val="114E1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392B7B"/>
    <w:multiLevelType w:val="hybridMultilevel"/>
    <w:tmpl w:val="0394BCF8"/>
    <w:lvl w:ilvl="0" w:tplc="8F1A4F92">
      <w:start w:val="1"/>
      <w:numFmt w:val="decimal"/>
      <w:lvlText w:val="%1."/>
      <w:lvlJc w:val="left"/>
      <w:pPr>
        <w:ind w:left="720" w:hanging="360"/>
      </w:pPr>
      <w:rPr>
        <w:rFonts w:ascii="Arial" w:hAnsi="Arial" w:cs="Arial"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F91E9B"/>
    <w:multiLevelType w:val="hybridMultilevel"/>
    <w:tmpl w:val="D1764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CD70DD"/>
    <w:multiLevelType w:val="multilevel"/>
    <w:tmpl w:val="5D3C1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C84327"/>
    <w:multiLevelType w:val="multilevel"/>
    <w:tmpl w:val="E09C6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0350BE"/>
    <w:multiLevelType w:val="hybridMultilevel"/>
    <w:tmpl w:val="A3A0AA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43EF6524"/>
    <w:multiLevelType w:val="multilevel"/>
    <w:tmpl w:val="D496135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4E764AD6"/>
    <w:multiLevelType w:val="multilevel"/>
    <w:tmpl w:val="7ACA1AA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3AE6EB8"/>
    <w:multiLevelType w:val="hybridMultilevel"/>
    <w:tmpl w:val="9A90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9A0CEE"/>
    <w:multiLevelType w:val="multilevel"/>
    <w:tmpl w:val="8C6EE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034283"/>
    <w:multiLevelType w:val="multilevel"/>
    <w:tmpl w:val="B3D4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546402"/>
    <w:multiLevelType w:val="multilevel"/>
    <w:tmpl w:val="F6305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D2706B"/>
    <w:multiLevelType w:val="hybridMultilevel"/>
    <w:tmpl w:val="F2FE82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4"/>
  </w:num>
  <w:num w:numId="3">
    <w:abstractNumId w:val="7"/>
  </w:num>
  <w:num w:numId="4">
    <w:abstractNumId w:val="17"/>
  </w:num>
  <w:num w:numId="5">
    <w:abstractNumId w:val="19"/>
  </w:num>
  <w:num w:numId="6">
    <w:abstractNumId w:val="0"/>
  </w:num>
  <w:num w:numId="7">
    <w:abstractNumId w:val="18"/>
  </w:num>
  <w:num w:numId="8">
    <w:abstractNumId w:val="11"/>
  </w:num>
  <w:num w:numId="9">
    <w:abstractNumId w:val="5"/>
  </w:num>
  <w:num w:numId="10">
    <w:abstractNumId w:val="12"/>
  </w:num>
  <w:num w:numId="11">
    <w:abstractNumId w:val="2"/>
  </w:num>
  <w:num w:numId="12">
    <w:abstractNumId w:val="8"/>
  </w:num>
  <w:num w:numId="13">
    <w:abstractNumId w:val="15"/>
  </w:num>
  <w:num w:numId="14">
    <w:abstractNumId w:val="1"/>
  </w:num>
  <w:num w:numId="15">
    <w:abstractNumId w:val="14"/>
  </w:num>
  <w:num w:numId="16">
    <w:abstractNumId w:val="6"/>
  </w:num>
  <w:num w:numId="17">
    <w:abstractNumId w:val="16"/>
  </w:num>
  <w:num w:numId="18">
    <w:abstractNumId w:val="13"/>
  </w:num>
  <w:num w:numId="19">
    <w:abstractNumId w:val="20"/>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39"/>
    <w:rsid w:val="00003F65"/>
    <w:rsid w:val="000134A8"/>
    <w:rsid w:val="00015074"/>
    <w:rsid w:val="000170CD"/>
    <w:rsid w:val="00030E95"/>
    <w:rsid w:val="0003251C"/>
    <w:rsid w:val="0003674B"/>
    <w:rsid w:val="00040D73"/>
    <w:rsid w:val="00051CD0"/>
    <w:rsid w:val="000553D3"/>
    <w:rsid w:val="000705F7"/>
    <w:rsid w:val="00080DDE"/>
    <w:rsid w:val="000B07F1"/>
    <w:rsid w:val="000B3EBF"/>
    <w:rsid w:val="000B4AAA"/>
    <w:rsid w:val="000B616D"/>
    <w:rsid w:val="000B7AD0"/>
    <w:rsid w:val="000C0FFD"/>
    <w:rsid w:val="000D35C6"/>
    <w:rsid w:val="000F3127"/>
    <w:rsid w:val="00110A6D"/>
    <w:rsid w:val="0011437A"/>
    <w:rsid w:val="00136AC2"/>
    <w:rsid w:val="00141C59"/>
    <w:rsid w:val="00152803"/>
    <w:rsid w:val="001675CB"/>
    <w:rsid w:val="001749E1"/>
    <w:rsid w:val="0018004B"/>
    <w:rsid w:val="00182541"/>
    <w:rsid w:val="00195375"/>
    <w:rsid w:val="001A69C9"/>
    <w:rsid w:val="001A6B4A"/>
    <w:rsid w:val="001A7637"/>
    <w:rsid w:val="001E2B76"/>
    <w:rsid w:val="001F1948"/>
    <w:rsid w:val="001F232D"/>
    <w:rsid w:val="001F6E55"/>
    <w:rsid w:val="001F7086"/>
    <w:rsid w:val="001F7559"/>
    <w:rsid w:val="00203EF6"/>
    <w:rsid w:val="00205F2D"/>
    <w:rsid w:val="00216DA6"/>
    <w:rsid w:val="002175F9"/>
    <w:rsid w:val="002361A8"/>
    <w:rsid w:val="0025495A"/>
    <w:rsid w:val="00263E26"/>
    <w:rsid w:val="00263E4D"/>
    <w:rsid w:val="00272C9A"/>
    <w:rsid w:val="002834F1"/>
    <w:rsid w:val="0028558C"/>
    <w:rsid w:val="00286617"/>
    <w:rsid w:val="002915F5"/>
    <w:rsid w:val="00292755"/>
    <w:rsid w:val="00293C8E"/>
    <w:rsid w:val="00293E2A"/>
    <w:rsid w:val="00296E60"/>
    <w:rsid w:val="002A269B"/>
    <w:rsid w:val="002A57C8"/>
    <w:rsid w:val="002C7663"/>
    <w:rsid w:val="002E07FE"/>
    <w:rsid w:val="002E1C51"/>
    <w:rsid w:val="002F7AE2"/>
    <w:rsid w:val="0030171D"/>
    <w:rsid w:val="003055DC"/>
    <w:rsid w:val="00311800"/>
    <w:rsid w:val="00320413"/>
    <w:rsid w:val="0032183C"/>
    <w:rsid w:val="00331843"/>
    <w:rsid w:val="00346D69"/>
    <w:rsid w:val="00357B06"/>
    <w:rsid w:val="00370C91"/>
    <w:rsid w:val="00373E12"/>
    <w:rsid w:val="00375C3D"/>
    <w:rsid w:val="00376E78"/>
    <w:rsid w:val="00377078"/>
    <w:rsid w:val="003819A1"/>
    <w:rsid w:val="00383C4A"/>
    <w:rsid w:val="003930C2"/>
    <w:rsid w:val="00395048"/>
    <w:rsid w:val="003966A0"/>
    <w:rsid w:val="003A02F0"/>
    <w:rsid w:val="003A127F"/>
    <w:rsid w:val="003A7B40"/>
    <w:rsid w:val="003B41E7"/>
    <w:rsid w:val="003B4DCD"/>
    <w:rsid w:val="003B4E52"/>
    <w:rsid w:val="003C76B0"/>
    <w:rsid w:val="003D6DDF"/>
    <w:rsid w:val="003E5BEC"/>
    <w:rsid w:val="003F2BEF"/>
    <w:rsid w:val="003F7428"/>
    <w:rsid w:val="0040404F"/>
    <w:rsid w:val="00427F3C"/>
    <w:rsid w:val="0043017C"/>
    <w:rsid w:val="0043419C"/>
    <w:rsid w:val="00440A27"/>
    <w:rsid w:val="004412D0"/>
    <w:rsid w:val="004468EB"/>
    <w:rsid w:val="00451AD8"/>
    <w:rsid w:val="004532C2"/>
    <w:rsid w:val="00457624"/>
    <w:rsid w:val="00471919"/>
    <w:rsid w:val="004876F4"/>
    <w:rsid w:val="0048793E"/>
    <w:rsid w:val="0049615E"/>
    <w:rsid w:val="004A040E"/>
    <w:rsid w:val="004A37BF"/>
    <w:rsid w:val="004B03D7"/>
    <w:rsid w:val="004B053B"/>
    <w:rsid w:val="004B0C66"/>
    <w:rsid w:val="004B6B9A"/>
    <w:rsid w:val="004C1F49"/>
    <w:rsid w:val="004D3E4C"/>
    <w:rsid w:val="004D5BD5"/>
    <w:rsid w:val="004E16CB"/>
    <w:rsid w:val="004F2A16"/>
    <w:rsid w:val="0050424C"/>
    <w:rsid w:val="00532FD7"/>
    <w:rsid w:val="00547624"/>
    <w:rsid w:val="00551404"/>
    <w:rsid w:val="00552601"/>
    <w:rsid w:val="005552FF"/>
    <w:rsid w:val="0056341B"/>
    <w:rsid w:val="00583046"/>
    <w:rsid w:val="005866EC"/>
    <w:rsid w:val="00593834"/>
    <w:rsid w:val="005A28FB"/>
    <w:rsid w:val="005A430F"/>
    <w:rsid w:val="005A4E6B"/>
    <w:rsid w:val="005A5C95"/>
    <w:rsid w:val="005B2932"/>
    <w:rsid w:val="005C28D9"/>
    <w:rsid w:val="005C2BAA"/>
    <w:rsid w:val="005C5514"/>
    <w:rsid w:val="005D5601"/>
    <w:rsid w:val="005E1E95"/>
    <w:rsid w:val="005E6E9D"/>
    <w:rsid w:val="005E76B6"/>
    <w:rsid w:val="005F64B7"/>
    <w:rsid w:val="00611880"/>
    <w:rsid w:val="00612A7E"/>
    <w:rsid w:val="00615C0C"/>
    <w:rsid w:val="006179AF"/>
    <w:rsid w:val="006241CE"/>
    <w:rsid w:val="006309CE"/>
    <w:rsid w:val="00631C90"/>
    <w:rsid w:val="00633493"/>
    <w:rsid w:val="00633EEE"/>
    <w:rsid w:val="00635053"/>
    <w:rsid w:val="00641E9C"/>
    <w:rsid w:val="00655793"/>
    <w:rsid w:val="00660546"/>
    <w:rsid w:val="006635BE"/>
    <w:rsid w:val="00666E9B"/>
    <w:rsid w:val="00673D8F"/>
    <w:rsid w:val="0067530B"/>
    <w:rsid w:val="0069699D"/>
    <w:rsid w:val="006A4445"/>
    <w:rsid w:val="006B0C5E"/>
    <w:rsid w:val="006B3303"/>
    <w:rsid w:val="006B6027"/>
    <w:rsid w:val="00700B73"/>
    <w:rsid w:val="00704C6C"/>
    <w:rsid w:val="00704F76"/>
    <w:rsid w:val="00725FA0"/>
    <w:rsid w:val="00730CAF"/>
    <w:rsid w:val="00747808"/>
    <w:rsid w:val="00747B11"/>
    <w:rsid w:val="00752827"/>
    <w:rsid w:val="00755EFD"/>
    <w:rsid w:val="0077313D"/>
    <w:rsid w:val="007803B8"/>
    <w:rsid w:val="007819DE"/>
    <w:rsid w:val="007946A2"/>
    <w:rsid w:val="007954BC"/>
    <w:rsid w:val="007A3F45"/>
    <w:rsid w:val="007B0BFB"/>
    <w:rsid w:val="007C268E"/>
    <w:rsid w:val="007D06A5"/>
    <w:rsid w:val="007D7A88"/>
    <w:rsid w:val="007E4B3D"/>
    <w:rsid w:val="007F18E4"/>
    <w:rsid w:val="00800656"/>
    <w:rsid w:val="00801178"/>
    <w:rsid w:val="00806C86"/>
    <w:rsid w:val="00817252"/>
    <w:rsid w:val="008228EB"/>
    <w:rsid w:val="00824743"/>
    <w:rsid w:val="00842531"/>
    <w:rsid w:val="00847B15"/>
    <w:rsid w:val="008500DE"/>
    <w:rsid w:val="00860499"/>
    <w:rsid w:val="00870A85"/>
    <w:rsid w:val="00874A0E"/>
    <w:rsid w:val="0088296B"/>
    <w:rsid w:val="008829D2"/>
    <w:rsid w:val="008A656B"/>
    <w:rsid w:val="008B0014"/>
    <w:rsid w:val="008B6E9B"/>
    <w:rsid w:val="008C1900"/>
    <w:rsid w:val="008D00F5"/>
    <w:rsid w:val="008D0E96"/>
    <w:rsid w:val="008D5F8C"/>
    <w:rsid w:val="008F2B45"/>
    <w:rsid w:val="009130CA"/>
    <w:rsid w:val="00920023"/>
    <w:rsid w:val="00925598"/>
    <w:rsid w:val="00935894"/>
    <w:rsid w:val="00942ED5"/>
    <w:rsid w:val="00992B45"/>
    <w:rsid w:val="009932DD"/>
    <w:rsid w:val="009A5105"/>
    <w:rsid w:val="009A5DBD"/>
    <w:rsid w:val="009A7258"/>
    <w:rsid w:val="009B0FA1"/>
    <w:rsid w:val="009B166C"/>
    <w:rsid w:val="009B5509"/>
    <w:rsid w:val="009B6D1F"/>
    <w:rsid w:val="009C38C2"/>
    <w:rsid w:val="009C7379"/>
    <w:rsid w:val="009D4106"/>
    <w:rsid w:val="00A11035"/>
    <w:rsid w:val="00A14284"/>
    <w:rsid w:val="00A20C12"/>
    <w:rsid w:val="00A20C6D"/>
    <w:rsid w:val="00A3138F"/>
    <w:rsid w:val="00A34ED0"/>
    <w:rsid w:val="00A367BC"/>
    <w:rsid w:val="00A43A40"/>
    <w:rsid w:val="00A46970"/>
    <w:rsid w:val="00A574FE"/>
    <w:rsid w:val="00A70910"/>
    <w:rsid w:val="00A7156D"/>
    <w:rsid w:val="00A8269A"/>
    <w:rsid w:val="00A86EAE"/>
    <w:rsid w:val="00A94211"/>
    <w:rsid w:val="00A96EEA"/>
    <w:rsid w:val="00AA41D3"/>
    <w:rsid w:val="00AB563B"/>
    <w:rsid w:val="00AC4D25"/>
    <w:rsid w:val="00AD61E5"/>
    <w:rsid w:val="00AD6347"/>
    <w:rsid w:val="00AD6E32"/>
    <w:rsid w:val="00AE4A4E"/>
    <w:rsid w:val="00AF4264"/>
    <w:rsid w:val="00AF7F5F"/>
    <w:rsid w:val="00B00D68"/>
    <w:rsid w:val="00B017B2"/>
    <w:rsid w:val="00B11EB2"/>
    <w:rsid w:val="00B204F0"/>
    <w:rsid w:val="00B21C26"/>
    <w:rsid w:val="00B2240B"/>
    <w:rsid w:val="00B24468"/>
    <w:rsid w:val="00B264AE"/>
    <w:rsid w:val="00B44167"/>
    <w:rsid w:val="00B46DDA"/>
    <w:rsid w:val="00B470A4"/>
    <w:rsid w:val="00B50278"/>
    <w:rsid w:val="00B52224"/>
    <w:rsid w:val="00B54243"/>
    <w:rsid w:val="00B57EBE"/>
    <w:rsid w:val="00B64177"/>
    <w:rsid w:val="00B6421C"/>
    <w:rsid w:val="00B652C0"/>
    <w:rsid w:val="00B6689D"/>
    <w:rsid w:val="00B77FB4"/>
    <w:rsid w:val="00B846CB"/>
    <w:rsid w:val="00B85651"/>
    <w:rsid w:val="00B866B6"/>
    <w:rsid w:val="00B874A7"/>
    <w:rsid w:val="00B87A86"/>
    <w:rsid w:val="00B93EE2"/>
    <w:rsid w:val="00BB0307"/>
    <w:rsid w:val="00BB11B5"/>
    <w:rsid w:val="00BB768B"/>
    <w:rsid w:val="00BC064E"/>
    <w:rsid w:val="00BC5093"/>
    <w:rsid w:val="00BD2589"/>
    <w:rsid w:val="00BD29C5"/>
    <w:rsid w:val="00BD390A"/>
    <w:rsid w:val="00BD63BC"/>
    <w:rsid w:val="00BD66A7"/>
    <w:rsid w:val="00BE3108"/>
    <w:rsid w:val="00BE516E"/>
    <w:rsid w:val="00BF1470"/>
    <w:rsid w:val="00BF4E31"/>
    <w:rsid w:val="00BF7550"/>
    <w:rsid w:val="00BF7E75"/>
    <w:rsid w:val="00C01846"/>
    <w:rsid w:val="00C01DFD"/>
    <w:rsid w:val="00C065EA"/>
    <w:rsid w:val="00C10D68"/>
    <w:rsid w:val="00C12DBC"/>
    <w:rsid w:val="00C255B0"/>
    <w:rsid w:val="00C429E2"/>
    <w:rsid w:val="00C43AB2"/>
    <w:rsid w:val="00C45F48"/>
    <w:rsid w:val="00C56A27"/>
    <w:rsid w:val="00C56B10"/>
    <w:rsid w:val="00C62A38"/>
    <w:rsid w:val="00C62F02"/>
    <w:rsid w:val="00C95F40"/>
    <w:rsid w:val="00C97776"/>
    <w:rsid w:val="00C97EAE"/>
    <w:rsid w:val="00CA60F3"/>
    <w:rsid w:val="00CA7DE5"/>
    <w:rsid w:val="00CB11EE"/>
    <w:rsid w:val="00CB29FD"/>
    <w:rsid w:val="00CB4A51"/>
    <w:rsid w:val="00CC4B45"/>
    <w:rsid w:val="00CE4023"/>
    <w:rsid w:val="00CE4C8D"/>
    <w:rsid w:val="00CF1DA2"/>
    <w:rsid w:val="00CF3D09"/>
    <w:rsid w:val="00CF61F7"/>
    <w:rsid w:val="00D0041E"/>
    <w:rsid w:val="00D105CC"/>
    <w:rsid w:val="00D1584C"/>
    <w:rsid w:val="00D24FA4"/>
    <w:rsid w:val="00D44589"/>
    <w:rsid w:val="00D45136"/>
    <w:rsid w:val="00D5108A"/>
    <w:rsid w:val="00D54F4B"/>
    <w:rsid w:val="00D642AF"/>
    <w:rsid w:val="00D6683E"/>
    <w:rsid w:val="00D67F89"/>
    <w:rsid w:val="00D76141"/>
    <w:rsid w:val="00D77437"/>
    <w:rsid w:val="00D83644"/>
    <w:rsid w:val="00D93D7F"/>
    <w:rsid w:val="00D94124"/>
    <w:rsid w:val="00D97844"/>
    <w:rsid w:val="00DA1307"/>
    <w:rsid w:val="00DA30BD"/>
    <w:rsid w:val="00DB3434"/>
    <w:rsid w:val="00DB6BAE"/>
    <w:rsid w:val="00DC3840"/>
    <w:rsid w:val="00DC67F0"/>
    <w:rsid w:val="00DD3607"/>
    <w:rsid w:val="00DD3892"/>
    <w:rsid w:val="00DD3BD1"/>
    <w:rsid w:val="00DE273A"/>
    <w:rsid w:val="00DE3A55"/>
    <w:rsid w:val="00DF226D"/>
    <w:rsid w:val="00DF73CF"/>
    <w:rsid w:val="00DF7AE4"/>
    <w:rsid w:val="00E124BB"/>
    <w:rsid w:val="00E331BD"/>
    <w:rsid w:val="00E334AE"/>
    <w:rsid w:val="00E37DA8"/>
    <w:rsid w:val="00E44C83"/>
    <w:rsid w:val="00E5000C"/>
    <w:rsid w:val="00E55513"/>
    <w:rsid w:val="00E65029"/>
    <w:rsid w:val="00E82AB3"/>
    <w:rsid w:val="00E87C21"/>
    <w:rsid w:val="00E94A3F"/>
    <w:rsid w:val="00EA2251"/>
    <w:rsid w:val="00EA3987"/>
    <w:rsid w:val="00EA7F42"/>
    <w:rsid w:val="00EB3B82"/>
    <w:rsid w:val="00EC2F9B"/>
    <w:rsid w:val="00ED27B5"/>
    <w:rsid w:val="00EE096A"/>
    <w:rsid w:val="00EE5257"/>
    <w:rsid w:val="00EF34E6"/>
    <w:rsid w:val="00EF4FE6"/>
    <w:rsid w:val="00EF5F0E"/>
    <w:rsid w:val="00EF6312"/>
    <w:rsid w:val="00F06381"/>
    <w:rsid w:val="00F07BA3"/>
    <w:rsid w:val="00F120B6"/>
    <w:rsid w:val="00F13336"/>
    <w:rsid w:val="00F1531B"/>
    <w:rsid w:val="00F17E27"/>
    <w:rsid w:val="00F2139E"/>
    <w:rsid w:val="00F31539"/>
    <w:rsid w:val="00F31CE6"/>
    <w:rsid w:val="00F346F0"/>
    <w:rsid w:val="00F34F2E"/>
    <w:rsid w:val="00F43892"/>
    <w:rsid w:val="00F45E2E"/>
    <w:rsid w:val="00F47720"/>
    <w:rsid w:val="00F5787F"/>
    <w:rsid w:val="00F77C6D"/>
    <w:rsid w:val="00F87531"/>
    <w:rsid w:val="00F9064E"/>
    <w:rsid w:val="00F97474"/>
    <w:rsid w:val="00FA0A00"/>
    <w:rsid w:val="00FA3FA1"/>
    <w:rsid w:val="00FA55DF"/>
    <w:rsid w:val="00FA7B21"/>
    <w:rsid w:val="00FB18BC"/>
    <w:rsid w:val="00FD4D67"/>
    <w:rsid w:val="00FD79B5"/>
    <w:rsid w:val="00FF03BF"/>
    <w:rsid w:val="00FF5ACB"/>
    <w:rsid w:val="00FF6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E94D7"/>
  <w15:docId w15:val="{F3915969-0D79-4CBB-9341-12E9FDF8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E55"/>
    <w:pPr>
      <w:spacing w:line="254" w:lineRule="auto"/>
      <w:jc w:val="both"/>
    </w:pPr>
    <w:rPr>
      <w:rFonts w:ascii="Times New Roman" w:hAnsi="Times New Roman" w:cs="Times New Roman"/>
      <w:lang w:val="en-US"/>
    </w:rPr>
  </w:style>
  <w:style w:type="paragraph" w:styleId="Heading1">
    <w:name w:val="heading 1"/>
    <w:basedOn w:val="Normal"/>
    <w:next w:val="Normal"/>
    <w:link w:val="Heading1Char"/>
    <w:uiPriority w:val="9"/>
    <w:qFormat/>
    <w:rsid w:val="00631C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31C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Heading2"/>
    <w:next w:val="Normal"/>
    <w:link w:val="Heading3Char"/>
    <w:uiPriority w:val="9"/>
    <w:unhideWhenUsed/>
    <w:qFormat/>
    <w:rsid w:val="001F6E55"/>
    <w:pPr>
      <w:outlineLvl w:val="2"/>
    </w:pPr>
    <w:rPr>
      <w:rFonts w:ascii="Times New Roman" w:hAnsi="Times New Roman"/>
      <w:b/>
      <w:color w:val="auto"/>
      <w:sz w:val="22"/>
      <w:szCs w:val="28"/>
    </w:rPr>
  </w:style>
  <w:style w:type="paragraph" w:styleId="Heading4">
    <w:name w:val="heading 4"/>
    <w:basedOn w:val="Normal"/>
    <w:next w:val="Normal"/>
    <w:link w:val="Heading4Char"/>
    <w:uiPriority w:val="9"/>
    <w:unhideWhenUsed/>
    <w:qFormat/>
    <w:rsid w:val="00631C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631C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631C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31C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31C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31C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C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31C90"/>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Header">
    <w:name w:val="header"/>
    <w:basedOn w:val="Normal"/>
    <w:link w:val="HeaderChar"/>
    <w:uiPriority w:val="99"/>
    <w:unhideWhenUsed/>
    <w:rsid w:val="005F64B7"/>
    <w:pPr>
      <w:tabs>
        <w:tab w:val="center" w:pos="4513"/>
        <w:tab w:val="right" w:pos="9026"/>
      </w:tabs>
      <w:spacing w:line="240" w:lineRule="auto"/>
    </w:pPr>
  </w:style>
  <w:style w:type="character" w:customStyle="1" w:styleId="HeaderChar">
    <w:name w:val="Header Char"/>
    <w:basedOn w:val="DefaultParagraphFont"/>
    <w:link w:val="Header"/>
    <w:uiPriority w:val="99"/>
    <w:rsid w:val="005F64B7"/>
  </w:style>
  <w:style w:type="paragraph" w:styleId="Footer">
    <w:name w:val="footer"/>
    <w:basedOn w:val="Normal"/>
    <w:link w:val="FooterChar"/>
    <w:uiPriority w:val="99"/>
    <w:unhideWhenUsed/>
    <w:rsid w:val="005F64B7"/>
    <w:pPr>
      <w:tabs>
        <w:tab w:val="center" w:pos="4513"/>
        <w:tab w:val="right" w:pos="9026"/>
      </w:tabs>
      <w:spacing w:line="240" w:lineRule="auto"/>
    </w:pPr>
  </w:style>
  <w:style w:type="character" w:customStyle="1" w:styleId="FooterChar">
    <w:name w:val="Footer Char"/>
    <w:basedOn w:val="DefaultParagraphFont"/>
    <w:link w:val="Footer"/>
    <w:uiPriority w:val="99"/>
    <w:rsid w:val="005F64B7"/>
  </w:style>
  <w:style w:type="paragraph" w:styleId="NoSpacing">
    <w:name w:val="No Spacing"/>
    <w:link w:val="NoSpacingChar"/>
    <w:uiPriority w:val="1"/>
    <w:qFormat/>
    <w:rsid w:val="00631C90"/>
    <w:pPr>
      <w:spacing w:after="0" w:line="240" w:lineRule="auto"/>
    </w:pPr>
  </w:style>
  <w:style w:type="character" w:customStyle="1" w:styleId="NoSpacingChar">
    <w:name w:val="No Spacing Char"/>
    <w:basedOn w:val="DefaultParagraphFont"/>
    <w:link w:val="NoSpacing"/>
    <w:uiPriority w:val="1"/>
    <w:rsid w:val="00BC064E"/>
  </w:style>
  <w:style w:type="table" w:styleId="TableGrid">
    <w:name w:val="Table Grid"/>
    <w:basedOn w:val="TableNormal"/>
    <w:uiPriority w:val="59"/>
    <w:rsid w:val="003055DC"/>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55DC"/>
    <w:pPr>
      <w:autoSpaceDE w:val="0"/>
      <w:autoSpaceDN w:val="0"/>
      <w:adjustRightInd w:val="0"/>
      <w:spacing w:line="240" w:lineRule="auto"/>
    </w:pPr>
    <w:rPr>
      <w:rFonts w:ascii="Calibri" w:eastAsiaTheme="minorHAnsi" w:hAnsi="Calibri" w:cs="Calibri"/>
      <w:sz w:val="24"/>
      <w:szCs w:val="24"/>
      <w:lang w:eastAsia="en-US"/>
    </w:rPr>
  </w:style>
  <w:style w:type="paragraph" w:styleId="ListParagraph">
    <w:name w:val="List Paragraph"/>
    <w:basedOn w:val="Normal"/>
    <w:uiPriority w:val="34"/>
    <w:qFormat/>
    <w:rsid w:val="009B5509"/>
    <w:pPr>
      <w:ind w:left="720"/>
      <w:contextualSpacing/>
    </w:pPr>
  </w:style>
  <w:style w:type="character" w:styleId="Hyperlink">
    <w:name w:val="Hyperlink"/>
    <w:basedOn w:val="DefaultParagraphFont"/>
    <w:uiPriority w:val="99"/>
    <w:unhideWhenUsed/>
    <w:rsid w:val="009B5509"/>
    <w:rPr>
      <w:color w:val="0563C1" w:themeColor="hyperlink"/>
      <w:u w:val="single"/>
    </w:rPr>
  </w:style>
  <w:style w:type="character" w:styleId="FollowedHyperlink">
    <w:name w:val="FollowedHyperlink"/>
    <w:basedOn w:val="DefaultParagraphFont"/>
    <w:uiPriority w:val="99"/>
    <w:semiHidden/>
    <w:unhideWhenUsed/>
    <w:rsid w:val="003B4E52"/>
    <w:rPr>
      <w:color w:val="954F72" w:themeColor="followedHyperlink"/>
      <w:u w:val="single"/>
    </w:rPr>
  </w:style>
  <w:style w:type="character" w:customStyle="1" w:styleId="UnresolvedMention1">
    <w:name w:val="Unresolved Mention1"/>
    <w:basedOn w:val="DefaultParagraphFont"/>
    <w:uiPriority w:val="99"/>
    <w:semiHidden/>
    <w:unhideWhenUsed/>
    <w:rsid w:val="006A4445"/>
    <w:rPr>
      <w:color w:val="808080"/>
      <w:shd w:val="clear" w:color="auto" w:fill="E6E6E6"/>
    </w:rPr>
  </w:style>
  <w:style w:type="character" w:customStyle="1" w:styleId="UnresolvedMention2">
    <w:name w:val="Unresolved Mention2"/>
    <w:basedOn w:val="DefaultParagraphFont"/>
    <w:uiPriority w:val="99"/>
    <w:semiHidden/>
    <w:unhideWhenUsed/>
    <w:rsid w:val="00F346F0"/>
    <w:rPr>
      <w:color w:val="808080"/>
      <w:shd w:val="clear" w:color="auto" w:fill="E6E6E6"/>
    </w:rPr>
  </w:style>
  <w:style w:type="character" w:customStyle="1" w:styleId="UnresolvedMention3">
    <w:name w:val="Unresolved Mention3"/>
    <w:basedOn w:val="DefaultParagraphFont"/>
    <w:uiPriority w:val="99"/>
    <w:semiHidden/>
    <w:unhideWhenUsed/>
    <w:rsid w:val="00B00D68"/>
    <w:rPr>
      <w:color w:val="808080"/>
      <w:shd w:val="clear" w:color="auto" w:fill="E6E6E6"/>
    </w:rPr>
  </w:style>
  <w:style w:type="paragraph" w:styleId="TOCHeading">
    <w:name w:val="TOC Heading"/>
    <w:basedOn w:val="Heading1"/>
    <w:next w:val="Normal"/>
    <w:uiPriority w:val="39"/>
    <w:unhideWhenUsed/>
    <w:qFormat/>
    <w:rsid w:val="00631C90"/>
    <w:pPr>
      <w:outlineLvl w:val="9"/>
    </w:pPr>
  </w:style>
  <w:style w:type="paragraph" w:styleId="TOC2">
    <w:name w:val="toc 2"/>
    <w:basedOn w:val="Normal"/>
    <w:next w:val="Normal"/>
    <w:autoRedefine/>
    <w:uiPriority w:val="39"/>
    <w:unhideWhenUsed/>
    <w:rsid w:val="000B4AAA"/>
    <w:pPr>
      <w:spacing w:after="100"/>
      <w:ind w:left="220"/>
    </w:pPr>
    <w:rPr>
      <w:lang w:eastAsia="en-US"/>
    </w:rPr>
  </w:style>
  <w:style w:type="paragraph" w:styleId="TOC1">
    <w:name w:val="toc 1"/>
    <w:basedOn w:val="Normal"/>
    <w:next w:val="Normal"/>
    <w:autoRedefine/>
    <w:uiPriority w:val="39"/>
    <w:unhideWhenUsed/>
    <w:rsid w:val="000B4AAA"/>
    <w:pPr>
      <w:spacing w:after="100"/>
    </w:pPr>
    <w:rPr>
      <w:lang w:eastAsia="en-US"/>
    </w:rPr>
  </w:style>
  <w:style w:type="paragraph" w:styleId="TOC3">
    <w:name w:val="toc 3"/>
    <w:basedOn w:val="Normal"/>
    <w:next w:val="Normal"/>
    <w:autoRedefine/>
    <w:uiPriority w:val="39"/>
    <w:unhideWhenUsed/>
    <w:rsid w:val="000B4AAA"/>
    <w:pPr>
      <w:spacing w:after="100"/>
      <w:ind w:left="440"/>
    </w:pPr>
    <w:rPr>
      <w:lang w:eastAsia="en-US"/>
    </w:rPr>
  </w:style>
  <w:style w:type="character" w:customStyle="1" w:styleId="Heading1Char">
    <w:name w:val="Heading 1 Char"/>
    <w:basedOn w:val="DefaultParagraphFont"/>
    <w:link w:val="Heading1"/>
    <w:uiPriority w:val="9"/>
    <w:rsid w:val="00631C9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31C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E55"/>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631C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631C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631C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31C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31C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31C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631C90"/>
    <w:pPr>
      <w:spacing w:line="240" w:lineRule="auto"/>
    </w:pPr>
    <w:rPr>
      <w:b/>
      <w:bCs/>
      <w:smallCaps/>
      <w:color w:val="44546A" w:themeColor="text2"/>
    </w:rPr>
  </w:style>
  <w:style w:type="character" w:customStyle="1" w:styleId="TitleChar">
    <w:name w:val="Title Char"/>
    <w:basedOn w:val="DefaultParagraphFont"/>
    <w:link w:val="Title"/>
    <w:uiPriority w:val="10"/>
    <w:rsid w:val="00631C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631C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31C90"/>
    <w:rPr>
      <w:b/>
      <w:bCs/>
    </w:rPr>
  </w:style>
  <w:style w:type="character" w:styleId="Emphasis">
    <w:name w:val="Emphasis"/>
    <w:basedOn w:val="DefaultParagraphFont"/>
    <w:uiPriority w:val="20"/>
    <w:qFormat/>
    <w:rsid w:val="00631C90"/>
    <w:rPr>
      <w:i/>
      <w:iCs/>
    </w:rPr>
  </w:style>
  <w:style w:type="paragraph" w:styleId="Quote">
    <w:name w:val="Quote"/>
    <w:basedOn w:val="Normal"/>
    <w:next w:val="Normal"/>
    <w:link w:val="QuoteChar"/>
    <w:uiPriority w:val="29"/>
    <w:qFormat/>
    <w:rsid w:val="00631C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31C90"/>
    <w:rPr>
      <w:color w:val="44546A" w:themeColor="text2"/>
      <w:sz w:val="24"/>
      <w:szCs w:val="24"/>
    </w:rPr>
  </w:style>
  <w:style w:type="paragraph" w:styleId="IntenseQuote">
    <w:name w:val="Intense Quote"/>
    <w:basedOn w:val="Normal"/>
    <w:next w:val="Normal"/>
    <w:link w:val="IntenseQuoteChar"/>
    <w:uiPriority w:val="30"/>
    <w:qFormat/>
    <w:rsid w:val="00631C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31C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31C90"/>
    <w:rPr>
      <w:i/>
      <w:iCs/>
      <w:color w:val="595959" w:themeColor="text1" w:themeTint="A6"/>
    </w:rPr>
  </w:style>
  <w:style w:type="character" w:styleId="IntenseEmphasis">
    <w:name w:val="Intense Emphasis"/>
    <w:basedOn w:val="DefaultParagraphFont"/>
    <w:uiPriority w:val="21"/>
    <w:qFormat/>
    <w:rsid w:val="00631C90"/>
    <w:rPr>
      <w:b/>
      <w:bCs/>
      <w:i/>
      <w:iCs/>
    </w:rPr>
  </w:style>
  <w:style w:type="character" w:styleId="SubtleReference">
    <w:name w:val="Subtle Reference"/>
    <w:basedOn w:val="DefaultParagraphFont"/>
    <w:uiPriority w:val="31"/>
    <w:qFormat/>
    <w:rsid w:val="00631C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31C90"/>
    <w:rPr>
      <w:b/>
      <w:bCs/>
      <w:smallCaps/>
      <w:color w:val="44546A" w:themeColor="text2"/>
      <w:u w:val="single"/>
    </w:rPr>
  </w:style>
  <w:style w:type="character" w:styleId="BookTitle">
    <w:name w:val="Book Title"/>
    <w:basedOn w:val="DefaultParagraphFont"/>
    <w:uiPriority w:val="33"/>
    <w:qFormat/>
    <w:rsid w:val="00631C90"/>
    <w:rPr>
      <w:b/>
      <w:bCs/>
      <w:smallCaps/>
      <w:spacing w:val="10"/>
    </w:rPr>
  </w:style>
  <w:style w:type="paragraph" w:styleId="Bibliography">
    <w:name w:val="Bibliography"/>
    <w:basedOn w:val="Normal"/>
    <w:next w:val="Normal"/>
    <w:uiPriority w:val="37"/>
    <w:unhideWhenUsed/>
    <w:rsid w:val="0056341B"/>
    <w:pPr>
      <w:spacing w:after="240" w:line="240" w:lineRule="auto"/>
      <w:ind w:left="720" w:hanging="720"/>
    </w:pPr>
  </w:style>
  <w:style w:type="paragraph" w:styleId="FootnoteText">
    <w:name w:val="footnote text"/>
    <w:basedOn w:val="Normal"/>
    <w:link w:val="FootnoteTextChar"/>
    <w:uiPriority w:val="99"/>
    <w:semiHidden/>
    <w:unhideWhenUsed/>
    <w:rsid w:val="00C12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2DBC"/>
    <w:rPr>
      <w:sz w:val="20"/>
      <w:szCs w:val="20"/>
    </w:rPr>
  </w:style>
  <w:style w:type="character" w:styleId="FootnoteReference">
    <w:name w:val="footnote reference"/>
    <w:basedOn w:val="DefaultParagraphFont"/>
    <w:uiPriority w:val="99"/>
    <w:semiHidden/>
    <w:unhideWhenUsed/>
    <w:rsid w:val="00C12DBC"/>
    <w:rPr>
      <w:vertAlign w:val="superscript"/>
    </w:rPr>
  </w:style>
  <w:style w:type="table" w:customStyle="1" w:styleId="PlainTable51">
    <w:name w:val="Plain Table 51"/>
    <w:basedOn w:val="TableNormal"/>
    <w:uiPriority w:val="45"/>
    <w:rsid w:val="005E76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31">
    <w:name w:val="Grid Table 2 - Accent 31"/>
    <w:basedOn w:val="TableNormal"/>
    <w:uiPriority w:val="47"/>
    <w:rsid w:val="00DF73C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76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41"/>
    <w:rPr>
      <w:rFonts w:ascii="Tahoma" w:hAnsi="Tahoma" w:cs="Tahoma"/>
      <w:sz w:val="16"/>
      <w:szCs w:val="16"/>
    </w:rPr>
  </w:style>
  <w:style w:type="paragraph" w:styleId="NormalWeb">
    <w:name w:val="Normal (Web)"/>
    <w:basedOn w:val="Normal"/>
    <w:uiPriority w:val="99"/>
    <w:semiHidden/>
    <w:unhideWhenUsed/>
    <w:rsid w:val="00CA7DE5"/>
    <w:pPr>
      <w:spacing w:before="100" w:beforeAutospacing="1" w:after="100" w:afterAutospacing="1" w:line="240" w:lineRule="auto"/>
      <w:jc w:val="left"/>
    </w:pPr>
    <w:rPr>
      <w:rFonts w:ascii="Calibri" w:hAnsi="Calibri" w:cs="Calibr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05986">
      <w:bodyDiv w:val="1"/>
      <w:marLeft w:val="0"/>
      <w:marRight w:val="0"/>
      <w:marTop w:val="0"/>
      <w:marBottom w:val="0"/>
      <w:divBdr>
        <w:top w:val="none" w:sz="0" w:space="0" w:color="auto"/>
        <w:left w:val="none" w:sz="0" w:space="0" w:color="auto"/>
        <w:bottom w:val="none" w:sz="0" w:space="0" w:color="auto"/>
        <w:right w:val="none" w:sz="0" w:space="0" w:color="auto"/>
      </w:divBdr>
      <w:divsChild>
        <w:div w:id="1826048037">
          <w:marLeft w:val="0"/>
          <w:marRight w:val="0"/>
          <w:marTop w:val="0"/>
          <w:marBottom w:val="528"/>
          <w:divBdr>
            <w:top w:val="none" w:sz="0" w:space="0" w:color="auto"/>
            <w:left w:val="none" w:sz="0" w:space="0" w:color="auto"/>
            <w:bottom w:val="none" w:sz="0" w:space="0" w:color="auto"/>
            <w:right w:val="none" w:sz="0" w:space="0" w:color="auto"/>
          </w:divBdr>
        </w:div>
        <w:div w:id="1069502837">
          <w:marLeft w:val="0"/>
          <w:marRight w:val="0"/>
          <w:marTop w:val="0"/>
          <w:marBottom w:val="0"/>
          <w:divBdr>
            <w:top w:val="none" w:sz="0" w:space="0" w:color="auto"/>
            <w:left w:val="none" w:sz="0" w:space="0" w:color="auto"/>
            <w:bottom w:val="none" w:sz="0" w:space="0" w:color="auto"/>
            <w:right w:val="none" w:sz="0" w:space="0" w:color="auto"/>
          </w:divBdr>
        </w:div>
      </w:divsChild>
    </w:div>
    <w:div w:id="545533269">
      <w:bodyDiv w:val="1"/>
      <w:marLeft w:val="0"/>
      <w:marRight w:val="0"/>
      <w:marTop w:val="0"/>
      <w:marBottom w:val="0"/>
      <w:divBdr>
        <w:top w:val="none" w:sz="0" w:space="0" w:color="auto"/>
        <w:left w:val="none" w:sz="0" w:space="0" w:color="auto"/>
        <w:bottom w:val="none" w:sz="0" w:space="0" w:color="auto"/>
        <w:right w:val="none" w:sz="0" w:space="0" w:color="auto"/>
      </w:divBdr>
    </w:div>
    <w:div w:id="682703158">
      <w:bodyDiv w:val="1"/>
      <w:marLeft w:val="0"/>
      <w:marRight w:val="0"/>
      <w:marTop w:val="0"/>
      <w:marBottom w:val="0"/>
      <w:divBdr>
        <w:top w:val="none" w:sz="0" w:space="0" w:color="auto"/>
        <w:left w:val="none" w:sz="0" w:space="0" w:color="auto"/>
        <w:bottom w:val="none" w:sz="0" w:space="0" w:color="auto"/>
        <w:right w:val="none" w:sz="0" w:space="0" w:color="auto"/>
      </w:divBdr>
    </w:div>
    <w:div w:id="1079406845">
      <w:bodyDiv w:val="1"/>
      <w:marLeft w:val="0"/>
      <w:marRight w:val="0"/>
      <w:marTop w:val="0"/>
      <w:marBottom w:val="0"/>
      <w:divBdr>
        <w:top w:val="none" w:sz="0" w:space="0" w:color="auto"/>
        <w:left w:val="none" w:sz="0" w:space="0" w:color="auto"/>
        <w:bottom w:val="none" w:sz="0" w:space="0" w:color="auto"/>
        <w:right w:val="none" w:sz="0" w:space="0" w:color="auto"/>
      </w:divBdr>
    </w:div>
    <w:div w:id="1754274133">
      <w:bodyDiv w:val="1"/>
      <w:marLeft w:val="0"/>
      <w:marRight w:val="0"/>
      <w:marTop w:val="0"/>
      <w:marBottom w:val="0"/>
      <w:divBdr>
        <w:top w:val="none" w:sz="0" w:space="0" w:color="auto"/>
        <w:left w:val="none" w:sz="0" w:space="0" w:color="auto"/>
        <w:bottom w:val="none" w:sz="0" w:space="0" w:color="auto"/>
        <w:right w:val="none" w:sz="0" w:space="0" w:color="auto"/>
      </w:divBdr>
    </w:div>
    <w:div w:id="1858881289">
      <w:bodyDiv w:val="1"/>
      <w:marLeft w:val="0"/>
      <w:marRight w:val="0"/>
      <w:marTop w:val="0"/>
      <w:marBottom w:val="0"/>
      <w:divBdr>
        <w:top w:val="none" w:sz="0" w:space="0" w:color="auto"/>
        <w:left w:val="none" w:sz="0" w:space="0" w:color="auto"/>
        <w:bottom w:val="none" w:sz="0" w:space="0" w:color="auto"/>
        <w:right w:val="none" w:sz="0" w:space="0" w:color="auto"/>
      </w:divBdr>
    </w:div>
    <w:div w:id="191917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2686917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1A553-480C-4C09-A504-432676E1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Report on Guided Learning Hours in Sixth Form and Further Education Colleges</vt:lpstr>
    </vt:vector>
  </TitlesOfParts>
  <Company>De Montfort University</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Guided Learning Hours in Sixth Form and Further Education Colleges</dc:title>
  <dc:subject>IMAT5168: ANALYTICS PROGRAMMING</dc:subject>
  <dc:creator>Oladipupo Hilton</dc:creator>
  <cp:lastModifiedBy>Oladipupo Hilton</cp:lastModifiedBy>
  <cp:revision>3</cp:revision>
  <dcterms:created xsi:type="dcterms:W3CDTF">2022-05-23T10:58:00Z</dcterms:created>
  <dcterms:modified xsi:type="dcterms:W3CDTF">2022-05-23T11:09:00Z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id="IdaDkjP0"/&gt;&lt;style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 name="noteType" value="0"/&gt;&lt;/prefs&gt;&lt;/data&gt;</vt:lpwstr>
  </property>
  <property fmtid="{D5CDD505-2E9C-101B-9397-08002B2CF9AE}" pid="4" name="ZOTERO_BREF_xe1OdyfhbM6R_1">
    <vt:lpwstr>ZOTERO_ITEM CSL_CITATION {"citationID":"qMMmUysZ","properties":{"formattedCitation":"(Yook and Jeong, 2002)","plainCitation":"(Yook and Jeong, 2002)"},"citationItems":[{"id":49,"uris":["http://zotero.org/users/local/IIxdA4V2/items/4IZ88RTR"],"uri":["http:</vt:lpwstr>
  </property>
  <property fmtid="{D5CDD505-2E9C-101B-9397-08002B2CF9AE}" pid="5" name="ZOTERO_BREF_xe1OdyfhbM6R_2">
    <vt:lpwstr>//zotero.org/users/local/IIxdA4V2/items/4IZ88RTR"],"itemData":{"id":49,"type":"article-journal","title":"Modeling the Internet's large-scale topology","container-title":"Proceedings of the National Academy of Sciences of the United States of America","pag</vt:lpwstr>
  </property>
  <property fmtid="{D5CDD505-2E9C-101B-9397-08002B2CF9AE}" pid="6" name="ZOTERO_BREF_xe1OdyfhbM6R_3">
    <vt:lpwstr>e":"13382-13386","volume":"99","issue":"21","source":"PubMed Central","abstract":"Network generators that capture the Internet's large-scale topology are crucial for the development of efficient routing protocols and modeling Internet traffic. Our ability</vt:lpwstr>
  </property>
  <property fmtid="{D5CDD505-2E9C-101B-9397-08002B2CF9AE}" pid="7" name="ZOTERO_BREF_xe1OdyfhbM6R_4">
    <vt:lpwstr> to design realistic generators is limited by the incomplete understanding of the fundamental driving forces that affect the Internet's evolution. By combining several independent databases capturing the time evolution, topology, and physical layout of th</vt:lpwstr>
  </property>
  <property fmtid="{D5CDD505-2E9C-101B-9397-08002B2CF9AE}" pid="8" name="ZOTERO_BREF_xe1OdyfhbM6R_5">
    <vt:lpwstr>e Internet, we identify the universal mechanisms that shape the Internet's router and autonomous system level topology. We find that the physical layout of nodes form a fractal set, determined by population density patterns around the globe. The placement</vt:lpwstr>
  </property>
  <property fmtid="{D5CDD505-2E9C-101B-9397-08002B2CF9AE}" pid="9" name="ZOTERO_BREF_xe1OdyfhbM6R_6">
    <vt:lpwstr> of links is driven by competition between preferential attachment and linear distance dependence, a marked departure from the currently used exponential laws. The universal parameters that we extract significantly restrict the class of potentially correc</vt:lpwstr>
  </property>
  <property fmtid="{D5CDD505-2E9C-101B-9397-08002B2CF9AE}" pid="10" name="ZOTERO_BREF_xe1OdyfhbM6R_7">
    <vt:lpwstr>t Internet models and indicate that the networks created by all available topology generators are fundamentally different from the current Internet.","DOI":"10.1073/pnas.172501399","ISSN":"0027-8424","note":"PMID: 12368484\nPMCID: PMC129681","journalAbbre</vt:lpwstr>
  </property>
  <property fmtid="{D5CDD505-2E9C-101B-9397-08002B2CF9AE}" pid="11" name="ZOTERO_BREF_xe1OdyfhbM6R_8">
    <vt:lpwstr>viation":"Proc Natl Acad Sci U S A","author":[{"family":"Yook","given":"Soon-Hyung"},{"family":"Jeong","given":"Hawoong"}],"issued":{"date-parts":[["2002",10,15]]}}}],"schema":"https://github.com/citation-style-language/schema/raw/master/csl-citation.json</vt:lpwstr>
  </property>
  <property fmtid="{D5CDD505-2E9C-101B-9397-08002B2CF9AE}" pid="12" name="ZOTERO_BREF_xe1OdyfhbM6R_9">
    <vt:lpwstr>"}</vt:lpwstr>
  </property>
  <property fmtid="{D5CDD505-2E9C-101B-9397-08002B2CF9AE}" pid="13" name="ZOTERO_BREF_KKNUKyMMwfJz_1">
    <vt:lpwstr>ZOTERO_BIBL {"custom":[]} CSL_BIBLIOGRAPHY</vt:lpwstr>
  </property>
  <property fmtid="{D5CDD505-2E9C-101B-9397-08002B2CF9AE}" pid="14" name="ZOTERO_BREF_NASCqhLAgFn6_1">
    <vt:lpwstr>ZOTERO_BIBL {"custom":[]} CSL_BIBLIOGRAPHY</vt:lpwstr>
  </property>
  <property fmtid="{D5CDD505-2E9C-101B-9397-08002B2CF9AE}" pid="15" name="ZOTERO_BREF_kQebN9z6qVdZ_1">
    <vt:lpwstr>ZOTERO_BIBL {"custom":[]} CSL_BIBLIOGRAPHY</vt:lpwstr>
  </property>
  <property fmtid="{D5CDD505-2E9C-101B-9397-08002B2CF9AE}" pid="16" name="ZOTERO_BREF_s0OsO4HZjuGD_1">
    <vt:lpwstr>ZOTERO_BIBL {"custom":[]} CSL_BIBLIOGRAPHY</vt:lpwstr>
  </property>
  <property fmtid="{D5CDD505-2E9C-101B-9397-08002B2CF9AE}" pid="17" name="ZOTERO_BREF_T5g6GWYhGqeM_1">
    <vt:lpwstr>ZOTERO_BIBL {"custom":[]} CSL_BIBLIOGRAPHY</vt:lpwstr>
  </property>
  <property fmtid="{D5CDD505-2E9C-101B-9397-08002B2CF9AE}" pid="18" name="ZOTERO_BREF_l82LN2DcY1e6_1">
    <vt:lpwstr>ZOTERO_BIBL {"custom":[]} CSL_BIBLIOGRAPHY</vt:lpwstr>
  </property>
  <property fmtid="{D5CDD505-2E9C-101B-9397-08002B2CF9AE}" pid="19" name="Docear4Word_StyleTitle">
    <vt:lpwstr>ACM SIG Proceedings With Long Author List</vt:lpwstr>
  </property>
</Properties>
</file>