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b365d"/>
          <w:sz w:val="44"/>
          <w:szCs w:val="44"/>
          <w:rtl w:val="0"/>
        </w:rPr>
        <w:t xml:space="preserve">Post-mortem retailers —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606060"/>
          <w:sz w:val="20"/>
          <w:szCs w:val="20"/>
          <w:rtl w:val="0"/>
        </w:rPr>
        <w:t xml:space="preserve">Snapshot 2026-05-06  |  1 640 retailers  |  16 744 disbursements  |  3.52 Md FCFA décaissés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Synthèse exécutive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Top-line — pour First Circle, Ciwara, Renew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Net charge-off J+180 = 2.3% sur 1.96 Md FCFA décaissés éligibles. Top 5 fournisseurs concentrent 44.0% des pertes — risque concentré, gérable, mitigeable.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Top 20% retailers (257 sur 1 280 transactants) = 83.4% du revenu 6m. PMF concentré, pas dilué.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Cohortes matures atteignent un ARPU cumulé M+12 entre 80 et 120 K FCFA et continuent à scaler — pas de plafond observé. Les nouvelles cohortes (oct-25 à mars-26) démarrent plus bas, signal acquisition à diagnostiquer.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Top-line — pour le board (Fabrice / Ulrich / Aude)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 décisions à instruire ce mois : (a) gel ou audit des 5 fournisseurs concentrant 44.0% des pertes, dont 2 signaux de collusion critiques (GIDIC DISTRIBUTION : 95.7% des défauts groupés sur mars-26 ; Yapi Brassivoire : 100% sur nov-24) ; (b) ré-allocation budget commercial vers le profil platine (253 retailers : beverage / maquis-demi-gros / segment builder ou topAccount) ; (c) augmentation immédiate des limites des actifs saturés (408 retailers à ≥80 % util, dont une majorité à saturation totale).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Hypothèse Aude validée pour partie : les retailers en plateau performent mieux que ceux en croissance ou déclin (ARPU 6m moyen 108 K FCFA vs 93 K FCFA et 52 K FCFA), mais la stabilité prédit la rentabilité, pas la croissance pure.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Recouvrement : 13 439 actions enregistrées, médiane 0 j entre maturité et première action. Le bras de recouvrement fonctionne au quotidien — mais 0,5% seulement des actions sont des promise-to-pay structurées, le reste est non-typé.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277897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7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Conventions : défaut = principal impayé J+30 ; charge-off = J+180 ; actif = ≥1 tx 30j ; churner = 0 tx depuis 30j. Périmètre : toute la base 1 640 retailers (sans filtre cohorte).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1 — Pareto retailers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65754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10 retailers — 6 derniers mois</w:t>
      </w:r>
      <w:r w:rsidDel="00000000" w:rsidR="00000000" w:rsidRPr="00000000">
        <w:rPr>
          <w:rtl w:val="0"/>
        </w:rPr>
      </w:r>
    </w:p>
    <w:tbl>
      <w:tblPr>
        <w:tblStyle w:val="Table1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Revenu 6m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 limite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Vertical /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KOFFI PEAUKOUD HALLANGBA AKAFOUBLA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Akre Franck Romaric YABA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Boisson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EKOUHO MONSON DIANE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TOTI DJAZE SERGE ANTOINE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maquis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N'GORAN EHUI KOUAME VINCENT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maquis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OUEDRAOGO YOUSSOUF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488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Drogbeu Fulgence Gah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Boisson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Gnan Marie Chantal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JEAN THES CONSTANT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/ demi-gros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Kouame augustin Konan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Boisson / Demi-gros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Profil comparé</w:t>
      </w:r>
      <w:r w:rsidDel="00000000" w:rsidR="00000000" w:rsidRPr="00000000">
        <w:rPr>
          <w:rtl w:val="0"/>
        </w:rPr>
      </w:r>
    </w:p>
    <w:tbl>
      <w:tblPr>
        <w:tblStyle w:val="Table2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Revenu moyen 6m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Tx moy.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Bottom 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Churners 30j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top 20 % (257 retailers) capte 83.4% du revenu et défaille seulement à 0.8%. Sa caractéristique distinctive : utilisation de la limite à 82.3% (vs 47.4% pour le bottom 20 %), 70% sont arrivés via recommandation fournisseur, et leur fréquence d'achat fournisseur déclarée est très élevée (~2 600/mois).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Les churners 30j (761 retailers) défaillent à 6.1% et utilisent leur limite à 47.4% — donc ce ne sont pas les pires payeurs, ce sont des retailers qui n'ont pas réussi à atteindre la fréquence régulière (10 tx en moyenne avant de partir).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Définir un score d'engagement précoce à M+1 combinant (a) % d'utilisation de la limite, (b) fréquence de transaction, (c) qualité de la recommandation fournisseur. Tout retailer sous le seuil à M+1 doit déclencher une intervention commerciale ciblée, pas l'acquisition d'un nouveau retailer.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2 — Courbes ARPU par cohorte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85200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ARPU cumulé par cohorte</w:t>
      </w:r>
      <w:r w:rsidDel="00000000" w:rsidR="00000000" w:rsidRPr="00000000">
        <w:rPr>
          <w:rtl w:val="0"/>
        </w:rPr>
      </w:r>
    </w:p>
    <w:tbl>
      <w:tblPr>
        <w:tblStyle w:val="Table3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Cohorte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ARPU M+1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ARPU M+3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ARPU M+6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ARPU M+12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119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Pas de plafond ARPU observé. Les cohortes oct-24 à juil-25 atteignent 70-120 K FCFA d'ARPU à M+12 et continuent à monter. C'est encourageant : le PMF est réel pour la fraction qui s'engage, et il scale dans la durée.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Mais l'ARPU M+1 se dégrade dans les cohortes récentes — le delta est progressif et structurel. L'acquisition perd en qualité, ou le tissu de retailers nouvellement accessibles est moins solvable, ou les fournisseurs poussent moins. À diagnostiquer avant de scaler le commercial.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Geler le scaling commercial tant que l'ARPU M+1 des nouvelles cohortes n'est pas remonté à 15 K minimum. Investir le delta budget dans le ré-engagement des cohortes 2024-25 dont la trajectoire M+12 est validée.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3 — Couple détaillant-fournisseur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304645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6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Sur 122 fournisseurs actifs : 31 vertueux (revenu/retailer haut + défaut bas), 28 boiteux (l'inverse), 63 neutres.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5 fournisseurs vertueux</w:t>
      </w:r>
      <w:r w:rsidDel="00000000" w:rsidR="00000000" w:rsidRPr="00000000">
        <w:rPr>
          <w:rtl w:val="0"/>
        </w:rPr>
      </w:r>
    </w:p>
    <w:tbl>
      <w:tblPr>
        <w:tblStyle w:val="Table4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 retailers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Rev/retailer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Depôt N'Dri Abobo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385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Dépôt Francky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plaisir des papilles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cave royale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180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Baudelaire Adjamé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5 fournisseurs boiteux</w:t>
      </w:r>
      <w:r w:rsidDel="00000000" w:rsidR="00000000" w:rsidRPr="00000000">
        <w:rPr>
          <w:rtl w:val="0"/>
        </w:rPr>
      </w:r>
    </w:p>
    <w:tbl>
      <w:tblPr>
        <w:tblStyle w:val="Table5"/>
        <w:tblW w:w="974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 retailers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Rev/retailer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Charge-off J+180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Yapi Brassivoire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Philippe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Philippe Brassivoire Yop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bricamax_distribution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Naya distribution m’badon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L'effet fournisseur est structurel, pas du bruit. Les vertueux génèrent 170-385 K FCFA par retailer recommandé avec un défaut sous 1 %. Les boiteux génèrent 2-42 K FCFA avec un défaut entre 19 % et 53 %. La différence n'est pas marginale — c'est un facteur 10 sur le revenu et un facteur 50 sur le défaut. Yapi Brassivoire (53 % de défaut, 2 K FCFA de revenu/retailer) est un cas extrême à investiguer.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Mettre en place un classement fournisseur publié en interne mensuellement (vertueux / neutre / boiteux). Récompenser les vertueux par un partage de revenu. Pour les 28 boiteux : passer en mode opt-in — ne pas accepter automatiquement leurs recommandations sans validation Credit Officer.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4 — Signaux de collusion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85478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4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signaux de clustering temporel</w:t>
      </w:r>
      <w:r w:rsidDel="00000000" w:rsidR="00000000" w:rsidRPr="00000000">
        <w:rPr>
          <w:rtl w:val="0"/>
        </w:rPr>
      </w:r>
    </w:p>
    <w:tbl>
      <w:tblPr>
        <w:tblStyle w:val="Table6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Tx en défaut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Retailers en défaut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Mois 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défauts dans le pic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Yapi Brassivoire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collusion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GIDIC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collusion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bricamax_distribution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Philippe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62.5%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SODIC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King Abatta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Depot Florent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Depot les Graces Abobo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2025-02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warning clustered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22 fournisseurs présentent un clustering temporel anormal. 2 sont en alerte critique (peak_share &gt; 70%). Yapi Brassivoire concentre 100 % de ses défauts en novembre 2024 — incompatible avec du défaut idiosyncratique. GIDIC DISTRIBUTION concentre 95,7 % de ses défauts en mars 2026 (23 retailers impliqués) : c'est récent, et c'est gros.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Trois explications possibles : (a) le fournisseur a fait défaut lui-même et entraîné ses retailers, (b) il a recruté un lot de retailers fragiles à la même période, (c) il y a fraude organisée. Dans tous les cas, audit nécessaire.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Audit immédiat sur les 2 fournisseurs en alerte critique. Demander à chacun : (a) chronologie commerciale, (b) liste des retailers recommandés vs validés, (c) historique des relations agent-fournisseur. Suspension préventive des nouvelles recommandations en attendant.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5 — Productivité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317609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6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8 agents par volume</w:t>
      </w:r>
      <w:r w:rsidDel="00000000" w:rsidR="00000000" w:rsidRPr="00000000">
        <w:rPr>
          <w:rtl w:val="0"/>
        </w:rPr>
      </w:r>
    </w:p>
    <w:tbl>
      <w:tblPr>
        <w:tblStyle w:val="Table7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 (recommendBy)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Onboardés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Rev/onboardé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Churn 30j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1869.0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3986.0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1460.0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1790.0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L'agent 1869 (Basil) a le volume : 324 retailers onboardés, deux fois plus que le n°2. Et — surprise vs v1 — un défaut J+30 exceptionnellement bas à 0,7 %. Il pousse beaucoup mais ses retailers ne défaillent pas. En revanche, son revenu par onboardé reste faible (22 K FCFA) : il acquiert des retailers à faible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L'agent 1005 (Yannick) est inverse : moins de volume (104), revenu 3× supérieur par retailer (64 K), mais défaut un peu plus haut (1,9 %) et churn 54 %. Son talent est l'identification de retailers à fort potentiel transactionnel — mais il les retient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L'agent 404 est un cas particulier : 17 onboardés, 249 K FCFA de revenu/retailer (le record), mais 64 % de churn et 3 % de défaut. Son funnel sélectionne très bien mais sature ou s'épuise.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Restructurer la rémunération agent : 30 % volume, 30 % revenu généré à 90 j, 20 % défaut sous 5 %, 20 % rétention 6 mois. Aujourd'hui, tout est aligné sur le volume (Basil sur-payé, Yannick sous-payé). Faire travailler Yannick comme closer sur les leads de Basil pourrait combiner les deux profils.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6 — Utilisation de la limite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83711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Lecture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Utilisation moyenne (actifs 30j) : 80.6%. Médiane : 100.0%. 78.6% des actifs sont à ≥80 % d'utilisation. Le top 20 % a une util moyenne de 82.3%, le bottom 20 % seulement 47.4%, les churners 47.4%.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79 % des retailers actifs saturent leur limite. C'est un revenu plafonné mécaniquement. Dans la base totale, 643 retailers sont déjà en "overspent" (limite &lt; balance utilisée). À l'inverse, les bottom 20 % qui n'utilisent que 47 % de leur limite n'ont pas un problème de limite, ils ont un problème de demande ou d'engagement.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Programme « Limit Boost Platine » : pour les 253 retailers du profil platine, augmenter la limite de +30 % par trimestre tant que défaut J+30 reste sous 5 %. Estimation grossière : si la moitié des actifs saturés peut absorber +30 %, le revenu marginal projeté = ~10-12 M FCFA additionnels par trimestre, sans coût d'acquisition.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7 — Croissance du business retailer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83711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Retailers à 6+ mois d'historique</w:t>
      </w:r>
      <w:r w:rsidDel="00000000" w:rsidR="00000000" w:rsidRPr="00000000">
        <w:rPr>
          <w:rtl w:val="0"/>
        </w:rPr>
      </w:r>
    </w:p>
    <w:tbl>
      <w:tblPr>
        <w:tblStyle w:val="Table8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Tendance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Revenu moyen 6m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Déclin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108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Croissance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 K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L'hypothèse Aude ("prêter aux retailers en croissance les rend plus rentables et moins défaillants") est partiellement validée. Les retailers en croissance défaillent moins que ceux en déclin (1,4 % vs 2,1 %), ce qui confirme l'intuition.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Mais ce ne sont pas les retailers en croissance les plus rentables — ce sont les retailers en plateau. Ils génèrent en moyenne 108 K FCFA de revenu sur 6 mois (vs 93 K pour la croissance, 52 K pour le déclin) avec le défaut le plus bas (1,0 %). La stabilité prédit la rentabilité mieux que la croissance pure.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Inverser la stratégie de prêt : prioriser le maintien des retailers en plateau (renouvellements faciles, limites stables) plutôt que la sur-allocation aux retailers en croissance forte. Pour ces derniers, accompagner la croissance avec une limite progressive et un monitoring rapproché sur les 3 premiers mois post-augmentation.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8 — Stock dormant (créés non-transactants)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65754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Concentration par agent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Agent (recommendBy)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Dormants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(vide)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1869.0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3986.0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1005.0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1293.0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1790.0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[object Set]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Classe de réactivation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Dormants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reactivable_priority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fresh_normal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likely_lost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reactivable_last_chance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Sur 359 dormants, l'agent 1869 (Basil) en a recommandé 106 (30 %). C'est cohérent avec son taux d'activation 67 % vu au cut 5 — il pousse beaucoup mais 1/3 ne convertit pas. L'agent 3986 en a 26, l'agent 1005 en a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Selon l'âge : 105 en réactivation prioritaire (60-180 j post-onboarding), 60 en dernière chance, 97 probablement perdus, et 97 encore frais (&lt;60 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Limitation source : les champs blocking_reason et waiting_reason sont vides à 100 % dans la base — on ne peut pas inférer la raison de non-activation. À fiabiliser.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Lancer une campagne de réactivation ciblée. Sur les 165 réactivables (priority + last chance), intervention commerciale standard avec offre fournisseur sur les top 3 (1869, 3986, 1005). Estimation conservatrice à 15 % de conversion = 25 retailers actifs additionnels = équivalent à 2-3 semaines d'onboarding sans CAC.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9 — Net charge-off réel J+180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65754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57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Synthèse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8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Décaissé éligible (transactions ≥180 j) : 1.96 Md FCFA. Pertes nettes post-recovery : 44.4 M FCFA. Charge-off rate global : 2.3%.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Top 10 fournisseurs par perte absolue</w:t>
      </w:r>
      <w:r w:rsidDel="00000000" w:rsidR="00000000" w:rsidRPr="00000000">
        <w:rPr>
          <w:rtl w:val="0"/>
        </w:rPr>
      </w:r>
    </w:p>
    <w:tbl>
      <w:tblPr>
        <w:tblStyle w:val="Table11"/>
        <w:tblW w:w="974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49"/>
        <w:gridCol w:w="1949"/>
        <w:gridCol w:w="1949"/>
        <w:gridCol w:w="1949"/>
        <w:gridCol w:w="1949"/>
        <w:tblGridChange w:id="0">
          <w:tblGrid>
            <w:gridCol w:w="1949"/>
            <w:gridCol w:w="1949"/>
            <w:gridCol w:w="1949"/>
            <w:gridCol w:w="1949"/>
            <w:gridCol w:w="1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Principal décaissé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Perte nette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Charge-off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Inouss Brassivoire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314.5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10.4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Philippe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42.6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9.9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Depot Florent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153.6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6.7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Sysy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63.3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6.7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bricamax_distribution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19.4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5.3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Depot Sogephia Koumassi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34.3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4.8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54.7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Depot les Graces Abobo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31.7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SODIC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42.0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 Jude Blockhauss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42.9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 M FCFA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coût risque GAAP réel est de 2,26 % — meilleur que l'industrie microfinance (≥4 % typique) mais avec une concentration extrême : 44.0% des pertes proviennent de 5 fournisseurs (Inouss Brassivoire Koumassi, SD Philippe Koumassi, Depot Florent Koumassi, SD Sysy Koumassi, bricamax_distribution). Trois d'entre eux ont un taux de charge-off ≥10 % : SD Philippe Koumassi à 23 %, bricamax à 27 %, SD Sysy à 11 %. Soit 5-12× la moyenne.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Provisionner 2,26 % en baseline mais identifier en sub-ledger les expositions sur les 5 fournisseurs concentrant les pertes (provision spéciale 10-15 %). Geler les nouvelles recommandations des 3 fournisseurs critiques (SD Philippe Koumassi, bricamax, SD Sysy) jusqu'à audit complet. Pour le credit engine v2 : pondérer le score retailer par un facteur "qualité fournisseur" historique.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10 — Profil retailer platine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253 retailers identifiés (top 20 % revenu + défaut J+30 &lt; 15 %)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Caractéristiques distinctives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Valeurs dominantes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beverage (201), Boisson (26), (vide) (26)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builder (76), topAccount (50), hero (44)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 business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maquis (83), demi-gros (79), (vide) (29)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Recommandation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supplier (174), (vide) (35), Recommandation Fournisseur (28)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(top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1005.0 (30), 1869.0 (27), 1293.0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Quartier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Abobo Avenue Casa (4), Cité verte (3), Bimbresso (3), Koumassi Soweto (3)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Comportement moyen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Métrique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Relation fournisseur (mois)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Transactions Waribei lifetime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Revenu 6 mois moyen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171 K FCFA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Utilisation limite moyenne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Défaut J+30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Synthèse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retailer platine est : un commerçant beverage (89 %), au format maquis ou demi-gros (65 %), segmenté builder ou topAccount (50 %), recommandé par un fournisseur (76 %, surtout via les agents 1005 et 1869), avec une relation fournisseur installée (44 mois en moyenne) et une fréquence d'achat élevée (~2 700/mois déclarée). Sur Waribei, il fait ~28 transactions, sature sa limite à 82 %, et défaille à 0,7 %.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Implication pour le credit engine v2 et la stratégie commerciale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scoring v2 doit pondérer fortement (a) la fréquence d'achat fournisseur déclarée (&gt;2 000/mois = booster), (b) le format business (maquis/demi-gros = booster, autres = malus), (c) le canal de recommandation (supplier = booster, prospecting = malus), (d) l'agent qui a onboardé (top 3 = booster), (e) le segment commercial (builder/topAccount = booster).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Deux signaux à M+1 doivent déclencher un downgrade automatique : utilisation limite &lt; 25 % et fréquence transaction &lt; 1/semaine. Ces deux signaux capturent la majorité des futurs churners.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Cut 11 — Recovery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85756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13 439 actions de recouvrement sur 6 539 transactions distinctes (87 clients impliqués). Médiane : 0 j entre maturité et première action de recouvrement. P75 : 6 j. Mean 4.4 actions par transaction en défaut.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Répartition par type d'action</w:t>
      </w:r>
      <w:r w:rsidDel="00000000" w:rsidR="00000000" w:rsidRPr="00000000">
        <w:rPr>
          <w:rtl w:val="0"/>
        </w:rPr>
      </w:r>
    </w:p>
    <w:tbl>
      <w:tblPr>
        <w:tblStyle w:val="Table14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 d'action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du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 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11 248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visit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promise to pay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 seizure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Interprétation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Le bras de recouvrement fonctionne au quotidien — la médiane de réaction est de 0 jour, c'est-à-dire la quasi-totalité des cas reçoivent une première action le jour même de la maturité. Le P75 à 6 jours montre que les cas dérapants restent suivis dans la première semaine.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répartition est très déséquilibrée : 84 % d'appels téléphoniques, 15 % d'actions "autres" (commentaires non typés), seulement 1 % de visites terrain et 0,5 % de promise-to-pay structurées (67 cas seulement). Sept saisies de stock seulement sur la période — instrument peu utilisé.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Limite : 99 % des actions proviennent de la table Comment, 1 % de AccountingEventComment. La typologie "action_type" est inférée par mots-clés sur le contenu — pas une catégorisation source. La fiabilité du cut dépend donc de la qualité des commentaires saisis terrain.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404040"/>
          <w:sz w:val="22"/>
          <w:szCs w:val="22"/>
          <w:rtl w:val="0"/>
        </w:rPr>
        <w:t xml:space="preserve">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Structurer la table de recouvrement en interne : remplacer les commentaires libres par un menu déroulant action_type + outcome (promise_to_pay / partial_payment / no_response / dispute) + champ promised_payment_date. Permet d'extraire un taux de promise-to-pay réel et de mesurer l'efficacité par type d'action.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Tester un protocole gradué : appel à J+1, SMS à J+3, visite terrain à J+7, lettre à J+15, restructuration à J+30. Comparer le taux de récupération par cohorte pour valider le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1"/>
        <w:spacing w:after="160" w:before="240" w:lineRule="auto"/>
        <w:rPr/>
      </w:pPr>
      <w:r w:rsidDel="00000000" w:rsidR="00000000" w:rsidRPr="00000000">
        <w:rPr>
          <w:b w:val="1"/>
          <w:bCs w:val="1"/>
          <w:color w:val="1b365d"/>
          <w:sz w:val="36"/>
          <w:szCs w:val="36"/>
          <w:rtl w:val="0"/>
        </w:rPr>
        <w:t xml:space="preserve">Annexe — Méthodologie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Conventions verrouillées (v2)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Défaut : principal impayé à J+30 post-maturité (principal_paid_j30 &lt; principal × 0,99).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Charge-off : principal impayé à J+180 post-maturité (mesuré uniquement sur transactions matures ≥180 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Actif : ≥1 disbursement sur les 30 derniers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Churner : transactant historique sans disbursement depuis 30+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Données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Source : Excel "Data de Waribei formattées" — exports SQL des 11 requêtes du PostMortem_Script_v1.sql, snapshot 2026-05-06.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Périmètre : toute la base 1 640 retailers (pas de filtre cohorte oct-24+ comme v1).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Date de référence : max(approved_date) = 2026-05-06.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Évolution v1 →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Périmètre v1 : 1 632 retailers cohorte oct-24+, 1 269 transactants, 525 actifs au 30 avril, 363 dormants.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Périmètre v2 : 1 640 retailers (toute la base), 1 280 transactants, 519 actifs au 2026-05-06, 360 dormants.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Différences notables : default rate top 20% recalculé à 0,8 % (v1 : 2,8 %) — le calcul propre via ReconciledTransaction × JulayaTransaction est plus précis que les snapshots agrégés. Retailers en croissance sont en fait moins défaillants que retailers en déclin (v2 : 1,4 % vs 2,1 %), nuance vs v1 qui les classait similaires. Profil platine identique (253 vs 245 retailers) avec mêmes caractéristiques distinctives.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Champ recommended_by reste un nombre/string sans table dim_agent — Basil/Yannick/Djamila identifiés par ID. Enrichissement nominatif à faire post-traitement.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Tables Comment et AccountingEventComment mélangées (99 % / 1 %) avec inférence type d'action par mots-clés. Pas une catégorisation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Champs blocking_reason et waiting_reason vides à 100 % côté Prospect — la raison de non-activation des dormants ne peut être inférée que par corrélation.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• Doublons d'encodage persistants : "beverage" vs "Boisson", "hero" vs "Héro", "demi-gros" vs "Demi-gros". À normaliser avant credit engine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Tableaux bruts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master_v2.csv (1 641 retailers consolidés), fournisseurs_v2.csv (122 fournisseurs avec classification), agents_v2.csv (19 agents), chargeoff_supplier_v2.csv (charge-off détaillé par fournisseur).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