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3"/>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3"/>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[1]</w:t>
      </w:r>
      <w:r>
        <w:t xml:space="preserve">、话题发现</w:t>
      </w:r>
      <w:r>
        <w:rPr>
          <w:vertAlign w:val="superscript"/>
        </w:rPr>
        <w:t xml:space="preserve">[2]</w:t>
      </w:r>
      <w:r>
        <w:t xml:space="preserve">等问题中，认为在某些隐形属性上（如社团、话题等）距离近的用户更容易聚集为一个社团，或者更容易形成一个话题。在道路网络中，假设路网拥有很多隐层属性，且隐层属性间可能会相互影响，同时这些隐层属性会影响路网的流量信息，从而便可以根据路网的历史流量数据从而推算出未来路网的流量数据</w:t>
      </w:r>
      <w:r>
        <w:rPr>
          <w:vertAlign w:val="superscript"/>
        </w:rPr>
        <w:t xml:space="preserve">[3]</w:t>
      </w:r>
      <w:r>
        <w:t xml:space="preserve">。</w:t>
      </w:r>
    </w:p>
    <w:p>
      <w:pPr>
        <w:pStyle w:val="BodyText"/>
      </w:pPr>
      <w:r>
        <w:t xml:space="preserve">隐空间模型实现原理是通过最小化实际值和根据隐空间属性表示得到的估计值间的差别，常用的有KL散度、最小平方误差等指标。具体实现方法有很多种，最常用的是非负矩阵分解(Non-negative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m:t>
          </m:r>
          <m:r>
            <m:t>W</m:t>
          </m:r>
          <m:r>
            <m:t>×</m:t>
          </m:r>
          <m:r>
            <m:t>H</m:t>
          </m:r>
        </m:oMath>
      </m:oMathPara>
    </w:p>
    <w:p>
      <w:pPr>
        <w:pStyle w:val="FirstParagraph"/>
      </w:pPr>
      <w:r>
        <w:t xml:space="preserve">非负矩阵分解可以通过乘子迭代法迭代优化目标函数，从而得到局部最优解。</w:t>
      </w:r>
    </w:p>
    <w:p>
      <w:pPr>
        <w:pStyle w:val="Heading3"/>
      </w:pPr>
      <w:bookmarkStart w:id="24" w:name="因子分解隐空间模型"/>
      <w:r>
        <w:t xml:space="preserve">2因子分解隐空间模型</w:t>
      </w:r>
      <w:bookmarkEnd w:id="24"/>
    </w:p>
    <w:p>
      <w:pPr>
        <w:pStyle w:val="Heading3"/>
      </w:pPr>
      <w:bookmarkStart w:id="25" w:name="因子分解隐空间模型-1"/>
      <w:r>
        <w:t xml:space="preserve">3因子分解隐空间模型</w:t>
      </w:r>
      <w:bookmarkEnd w:id="25"/>
    </w:p>
    <w:p>
      <w:pPr>
        <w:pStyle w:val="Heading3"/>
      </w:pPr>
      <w:bookmarkStart w:id="26" w:name="lsm-rn模型"/>
      <w:r>
        <w:t xml:space="preserve">LSM-RN模型</w:t>
      </w:r>
      <w:bookmarkEnd w:id="26"/>
    </w:p>
    <w:p>
      <w:pPr>
        <w:pStyle w:val="Heading4"/>
      </w:pPr>
      <w:bookmarkStart w:id="27" w:name="lsm-基础模型"/>
      <w:r>
        <w:t xml:space="preserve">LSM 基础模型</w:t>
      </w:r>
      <w:bookmarkEnd w:id="27"/>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limLow>
            <m:e>
              <m:limUpp>
                <m:e>
                  <m:r>
                    <m:t>∥</m:t>
                  </m:r>
                </m:e>
                <m:lim>
                  <m:r>
                    <m:t>2</m:t>
                  </m:r>
                </m:lim>
              </m:limUpp>
            </m:e>
            <m:lim>
              <m:r>
                <m:t>F</m:t>
              </m:r>
            </m:lim>
          </m:limLow>
        </m:oMath>
      </m:oMathPara>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center"/>
                        <m:count m:val="1"/>
                      </m:mcPr>
                    </m:mc>
                  </m:mcs>
                </m:mPr>
                <m:mr>
                  <m:e>
                    <m:r>
                      <m:t>1</m:t>
                    </m:r>
                  </m:e>
                  <m:e>
                    <m:sSub>
                      <m:e>
                        <m:r>
                          <m:t>c</m:t>
                        </m:r>
                      </m:e>
                      <m:sub>
                        <m:r>
                          <m:t>i</m:t>
                        </m:r>
                        <m:r>
                          <m:t>j</m:t>
                        </m:r>
                      </m:sub>
                    </m:sSub>
                    <m:r>
                      <m:t>&gt;</m:t>
                    </m:r>
                    <m:r>
                      <m:t>0</m:t>
                    </m:r>
                  </m:e>
                </m:mr>
                <m:mr>
                  <m:e>
                    <m:r>
                      <m:t>2</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limLow>
            <m:e>
              <m:limUpp>
                <m:e>
                  <m:r>
                    <m:t>∥</m:t>
                  </m:r>
                </m:e>
                <m:lim>
                  <m:r>
                    <m:t>2</m:t>
                  </m:r>
                </m:lim>
              </m:limUpp>
            </m:e>
            <m:lim>
              <m:r>
                <m:t>F</m:t>
              </m:r>
            </m:lim>
          </m:limLow>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limUpp>
            <m:e>
              <m:r>
                <m:t>∥</m:t>
              </m:r>
            </m:e>
            <m:lim>
              <m:r>
                <m:t>2</m:t>
              </m:r>
            </m:lim>
          </m:limUp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limUpp>
                  <m:e>
                    <m:r>
                      <m:t>∥</m:t>
                    </m:r>
                  </m:e>
                  <m:lim>
                    <m:r>
                      <m:t>2</m:t>
                    </m:r>
                  </m:lim>
                </m:limUp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w:t>
      </w:r>
    </w:p>
    <w:p>
      <w:pPr>
        <w:pStyle w:val="Heading3"/>
      </w:pPr>
      <w:bookmarkStart w:id="28" w:name="数据集说明"/>
      <w:r>
        <w:t xml:space="preserve">数据集说明</w:t>
      </w:r>
      <w:bookmarkEnd w:id="28"/>
    </w:p>
    <w:bookmarkStart w:id="32" w:name="refs"/>
    <w:bookmarkStart w:id="29" w:name="ref-wang2011community"/>
    <w:p>
      <w:pPr>
        <w:pStyle w:val="Bibliography"/>
      </w:pPr>
      <w:r>
        <w:t xml:space="preserve">[1] WANG F, LI T, WANG X, 等. Community discovery using nonnegative matrix factorization[J]. Data Mining and Knowledge Discovery, Springer, 2011, 22(3): 493–521.</w:t>
      </w:r>
    </w:p>
    <w:bookmarkEnd w:id="29"/>
    <w:bookmarkStart w:id="30" w:name="ref-saha2012learning"/>
    <w:p>
      <w:pPr>
        <w:pStyle w:val="Bibliography"/>
      </w:pPr>
      <w:r>
        <w:t xml:space="preserve">[2] SAHA A, SINDHWANI V. Learning evolving and emerging topics in social media: a dynamic nmf approach with temporal regularization[C]//Proceedings of the fifth ACM international conference on Web search and data mining. ACM, 2012: 693–702.</w:t>
      </w:r>
    </w:p>
    <w:bookmarkEnd w:id="30"/>
    <w:bookmarkStart w:id="31" w:name="ref-deng2016latent"/>
    <w:p>
      <w:pPr>
        <w:pStyle w:val="Bibliography"/>
      </w:pPr>
      <w:r>
        <w:t xml:space="preserve">[3] DENG D, SHAHABI C, DEMIRYUREK U, 等. Latent space model for road networks to predict time-varying traffic[C]//Proceedings of the 22nd ACM SIGKDD International Conference on Knowledge Discovery and Data Mining. ACM, 2016: 1525–1534.</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5d72f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2018-02-27T09:25:23Z</dcterms:created>
  <dcterms:modified xsi:type="dcterms:W3CDTF">2018-02-27T09:25:23Z</dcterms:modified>
</cp:coreProperties>
</file>