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2A93" w14:textId="77777777" w:rsidR="00C539F7" w:rsidRPr="00322623" w:rsidRDefault="00EE531F" w:rsidP="00322623">
      <w:pPr>
        <w:rPr>
          <w:sz w:val="28"/>
          <w:szCs w:val="28"/>
          <w:lang w:val="ru-RU"/>
        </w:rPr>
      </w:pPr>
      <w:r w:rsidRPr="00322623">
        <w:rPr>
          <w:sz w:val="28"/>
          <w:szCs w:val="28"/>
          <w:lang w:val="ru-RU"/>
        </w:rPr>
        <w:t>Стандарт ЕСПД</w:t>
      </w:r>
    </w:p>
    <w:p w14:paraId="49563107" w14:textId="77777777" w:rsidR="00EE531F" w:rsidRDefault="00EE531F" w:rsidP="00322623">
      <w:pPr>
        <w:rPr>
          <w:lang w:val="ru-RU"/>
        </w:rPr>
      </w:pPr>
    </w:p>
    <w:p w14:paraId="0AA3BB7A" w14:textId="77777777" w:rsidR="00EE531F" w:rsidRDefault="00EE531F" w:rsidP="00322623">
      <w:pPr>
        <w:rPr>
          <w:lang w:val="ru-RU"/>
        </w:rPr>
      </w:pPr>
    </w:p>
    <w:p w14:paraId="465BFA4E" w14:textId="77777777" w:rsidR="00EE531F" w:rsidRPr="00EE531F" w:rsidRDefault="00EE531F" w:rsidP="00322623">
      <w:pPr>
        <w:shd w:val="clear" w:color="auto" w:fill="FFFFFF"/>
        <w:outlineLvl w:val="3"/>
        <w:rPr>
          <w:rFonts w:ascii="Fira Sans" w:eastAsia="Times New Roman" w:hAnsi="Fira Sans" w:cs="Times New Roman"/>
          <w:color w:val="333333"/>
          <w:kern w:val="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lang w:eastAsia="ru-RU"/>
          <w14:ligatures w14:val="none"/>
        </w:rPr>
        <w:t>ЕСПД</w:t>
      </w:r>
    </w:p>
    <w:p w14:paraId="519E6B03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Расшифровывается как “Единая система программной документации”. Существуют и другие серии: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457C226A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 ЕСКД (единая система конструкторской документации, префикс “2.”);</w:t>
      </w:r>
    </w:p>
    <w:p w14:paraId="46410B8F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 ЕСТД (единая система технологической документации, префикс “3.”);</w:t>
      </w:r>
    </w:p>
    <w:p w14:paraId="486538A0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 Р, Система разработки и постановки продукции на производство, префикс “15.”;</w:t>
      </w:r>
    </w:p>
    <w:p w14:paraId="6E3A3D7F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 РВ, Вооружение и военная техника. Система разработки и постановки продукции на производство, префикс “15.”;</w:t>
      </w:r>
    </w:p>
    <w:p w14:paraId="4B561624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ГОСТ, Система технической документации на АСУ, префикс “24.”;</w:t>
      </w:r>
    </w:p>
    <w:p w14:paraId="409C3739" w14:textId="77777777" w:rsidR="00EE531F" w:rsidRPr="00EE531F" w:rsidRDefault="00EE531F" w:rsidP="00322623">
      <w:pPr>
        <w:numPr>
          <w:ilvl w:val="0"/>
          <w:numId w:val="1"/>
        </w:numPr>
        <w:shd w:val="clear" w:color="auto" w:fill="FFFFFF"/>
        <w:spacing w:before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ГОСТ, Комплекс стандартов на автоматизированные системы, префикс “34.”.</w:t>
      </w:r>
    </w:p>
    <w:p w14:paraId="43FF5EDF" w14:textId="77777777" w:rsidR="00EE531F" w:rsidRPr="00EE531F" w:rsidRDefault="00EE531F" w:rsidP="00322623">
      <w:pPr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Итак, ЕСПД содержит в себе набор стандартов, применяемых при разработке программного обеспечения. Далее для каждого стандарта из ЕСПД дается краткая характеристика и пояснение для неочевидных случаев.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Приведены графические обозначения допустимых типов элементов блок-схемы. Нужен, если используются блок-схемы.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36E770B2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19.004-80. Термины и определения.</w:t>
      </w:r>
    </w:p>
    <w:p w14:paraId="67DB34C7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Скудный глоссарий. Из интересного — содержит формальные определения программного и эксплуатационного документов.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5F84A782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19.005-85. Р-схемы алгоритмов и программ</w:t>
      </w:r>
    </w:p>
    <w:p w14:paraId="7F1B11AC" w14:textId="77777777" w:rsidR="00EE531F" w:rsidRDefault="00EE531F" w:rsidP="00322623">
      <w:pPr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Практически забытый язык. В свое время Р-схемы широко использовались в ракетно-космической отрасли, став стандартом де-факто для написания программ управления пусками и моделирования запусков. Однако ныне этот язык полностью предан забвению. В своей работе я ни разу не сталкивался с Р-схемами. Хотя по сравнению с блок-схемами они имеют заметные преимущества: компактны, подходят для визуализации нелинейных алгоритмов (например, классов в С++) или структур данных. При этом в интернете информации по ним практически нет: мне показались полезными </w:t>
      </w:r>
      <w:hyperlink r:id="rId5" w:history="1">
        <w:r w:rsidRPr="00EE531F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FFFFF"/>
            <w:lang w:eastAsia="ru-RU"/>
            <w14:ligatures w14:val="none"/>
          </w:rPr>
          <w:t>вот этот</w:t>
        </w:r>
      </w:hyperlink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 и </w:t>
      </w:r>
      <w:hyperlink r:id="rId6" w:history="1">
        <w:r w:rsidRPr="00EE531F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FFFFF"/>
            <w:lang w:eastAsia="ru-RU"/>
            <w14:ligatures w14:val="none"/>
          </w:rPr>
          <w:t>вот этот</w:t>
        </w:r>
      </w:hyperlink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 сайты. В любом случае, если бы сейчас мне пришлось вставлять в программную документацию схему алгоритма, я бы выбрал Р-схемы, а не блок-схемы.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4C81DF75" w14:textId="02F08FD1" w:rsidR="00EE531F" w:rsidRPr="00EE531F" w:rsidRDefault="00D529E7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66000E2" wp14:editId="3AECAD44">
            <wp:extent cx="5731510" cy="4291965"/>
            <wp:effectExtent l="0" t="0" r="2540" b="0"/>
            <wp:docPr id="1" name="Picture 1" descr="Документирование программного обеспечени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ирование программного обеспечени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31F">
        <w:fldChar w:fldCharType="begin"/>
      </w:r>
      <w:r w:rsidR="00EE531F">
        <w:instrText xml:space="preserve"> INCLUDEPICTURE "https://image3.slideserve.com/6308656/slide10-l.jpg" \* MERGEFORMATINET </w:instrText>
      </w:r>
      <w:r w:rsidR="00EE531F">
        <w:fldChar w:fldCharType="separate"/>
      </w:r>
      <w:r w:rsidR="00EE531F">
        <w:fldChar w:fldCharType="end"/>
      </w:r>
      <w:r w:rsidR="00EE531F"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2D665B9B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19.101-77. Виды программ и программных документов</w:t>
      </w:r>
    </w:p>
    <w:p w14:paraId="4AD50374" w14:textId="77777777" w:rsidR="0023500F" w:rsidRPr="0023500F" w:rsidRDefault="00EE531F" w:rsidP="002350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Содержит таблицу соответствия вида документа его коду, а также деление видов документов на эксплуатационные и программные. Вводится понятие комплекса и компонента. Больше ничего полезного нет.</w:t>
      </w:r>
    </w:p>
    <w:p w14:paraId="68F2512E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33213BF6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19.104-78. Основные надписи</w:t>
      </w:r>
    </w:p>
    <w:p w14:paraId="1D061593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Описывает два листа документа — лист утверждения (ЛУ) и титульный лист. Лист утверждения в ЕСПД содержит подписи как начальства, утвердившего документ, так и разработчиков, нормоконтролеров, представителей приемки и т.д. Т.е. на нем присутствует достаточно много чувствительной для предприятия информации. Поэтому в стандарте принято, что ЛУ остается на предприятии-разработчике, и высылается только по особому указанию. Еще раз — ЛУ не является частью документа, а является как бы отдельным документом, и в спецификацию его вносят отдельной строкой.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Поначалу смущающая странность в отделении ЛУ от самого документа имеет весьма веские причины: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0D766DA4" w14:textId="77777777" w:rsidR="00EE531F" w:rsidRPr="00EE531F" w:rsidRDefault="00EE531F" w:rsidP="00322623">
      <w:pPr>
        <w:numPr>
          <w:ilvl w:val="0"/>
          <w:numId w:val="2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как было уже сказано, часто предприятие не хочет раскрывать информацию о разработчике. Отделение ЛУ и его “зажатие” позволяет это сделать (штампа, в отличии от ЕСКД, в ЕСПД на листах документа нет, вся информация локализована только в ЛУ);</w:t>
      </w:r>
    </w:p>
    <w:p w14:paraId="1358D9C3" w14:textId="77777777" w:rsidR="00EE531F" w:rsidRPr="00EE531F" w:rsidRDefault="00EE531F" w:rsidP="00322623">
      <w:pPr>
        <w:numPr>
          <w:ilvl w:val="0"/>
          <w:numId w:val="2"/>
        </w:numPr>
        <w:shd w:val="clear" w:color="auto" w:fill="FFFFFF"/>
        <w:spacing w:before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lastRenderedPageBreak/>
        <w:t>на ряде предприятий используется смешанный документооборот: подлинники документов хранятся в электронном виде в архиве предприятия, а ЛУ на них (с оригиналами подписей) — в бумажном;</w:t>
      </w:r>
    </w:p>
    <w:p w14:paraId="52A6D59F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Что касается оформления ЛУ, то сплошь и рядом на предприятиях используется смесь — часть надписей ЛУ оформляется по ЕСПД, часть — по ЕСКД, а часть — по своему. Поэтому лучше всего прежде, чем делать ЛУ самому, поискать, нет ли стандарта предприятия (СТО), или взять пример у местного нормоконтроля.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Также следует помнить, что ЛУ не нумеруется, и первый лист — титульный, а первый лист, на котором ставится номер — следующий за титульным. Но в том случае, если ЛУ больше одного (это бывает, если все подписи не влезли на лист), то ЛУ нумеруются отдельно.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655E0F0C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19.105-78. Общие требования к программным документам</w:t>
      </w:r>
    </w:p>
    <w:p w14:paraId="64743AD7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Вводится общая структура документа, не зависящая от способа его исполнения. Т.е. еще в 1978 году было заложено в стандарт, что документ может быть не обязательно бумажным. В частности, вводиться понятие содержания для полностью электронных документов. Для бумажного исполнения, распространенного в то время, был принят ГОСТ 19.106-78.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В настоящее время к этому стандарту приходиться обращаться очень редко: разве что забывается порядок следования основных частей документа.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5A023121" w14:textId="77777777" w:rsidR="00EE531F" w:rsidRPr="00EE531F" w:rsidRDefault="00EE531F" w:rsidP="00322623">
      <w:pPr>
        <w:shd w:val="clear" w:color="auto" w:fill="FFFFFF"/>
        <w:outlineLvl w:val="4"/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E531F">
        <w:rPr>
          <w:rFonts w:ascii="Fira Sans" w:eastAsia="Times New Roman" w:hAnsi="Fira Sans" w:cs="Times New Roman"/>
          <w:color w:val="333333"/>
          <w:kern w:val="0"/>
          <w:sz w:val="20"/>
          <w:szCs w:val="20"/>
          <w:lang w:eastAsia="ru-RU"/>
          <w14:ligatures w14:val="none"/>
        </w:rPr>
        <w:t>19.106-78. Общие требования к программным документам, выполненным печатным способом</w:t>
      </w:r>
    </w:p>
    <w:p w14:paraId="2123B5D4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Самый объемный стандарт из ЕСПД, уступающий разве что описанию R-схем. Является основным рабочим стандартом при оформлении документации. Вводит правила оформления текста, элементов структуры документа, изображений, формул и т.д. Однако в отличии от соответствующего 2.106 из ЕСКД, 19.106 существенно менее подробный, что приводит к многочисленным неопределенностям.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Во первых, стандарт фактически не определяет межстрочное расстояние и величину вертикальных отступов между заголовками. Он вводит три правила определения интервала: для машинописного текста, машинного и типографского.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Машинописный текст — это текст, набранный на печатной машинке. Смещение следующей строки относительно предыдущей производилось автоматически при так называемом «переводе каретки» — переходе к печати следующей строки, производимым перемещением специального рычага. Как правило, интервал мог быть вручную скорректирован поворотом вала протяжки бумаги, и имел “настройку”, позволяющую задать величину интервала — одинарный или двойной.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Машинный — это, скорее всего, и есть распечатанный текст. Но для него есть только указание, что результат должен быть пригоден для микрофильмирования. Это неявная ссылка на 13.1.002-2003, в котором, к сожалению, задается межстрочный интервал (и, кстати, минимальная высота шрифта) только для рукописных документов (п.4.2.5).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lastRenderedPageBreak/>
        <w:t>Типографский — текст, набранный в типографии. Учитывая год принятия стандарта, скорее всего речь идет о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[</w:t>
      </w:r>
      <w:hyperlink r:id="rId8" w:history="1">
        <w:r w:rsidRPr="00EE531F">
          <w:rPr>
            <w:rFonts w:ascii="Arial" w:eastAsia="Times New Roman" w:hAnsi="Arial" w:cs="Arial"/>
            <w:color w:val="0000FF"/>
            <w:kern w:val="0"/>
            <w:u w:val="single"/>
            <w:shd w:val="clear" w:color="auto" w:fill="FFFFFF"/>
            <w:lang w:eastAsia="ru-RU"/>
            <w14:ligatures w14:val="none"/>
          </w:rPr>
          <w:t>высокой печати</w:t>
        </w:r>
      </w:hyperlink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, где межстрочный интервал определялся используемыми литерами. Я не специалист в типографском деле, а информации о методах набора сейчас очень мало.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Какой интервал использовать в итоге часто определяется местным нормоконтролем или СТО. Типичные значения — полуторный интервал и 14 размер шрифта.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Часто вызывает много вопросов способ структурирования документа. 19.106 считает, что весь документ делится на разделы, подразделы, пункты и подпункты. У всех них (кроме раздела и подраздела) заголовок может быть и или не быть. При этом: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72033CA3" w14:textId="77777777" w:rsidR="00EE531F" w:rsidRPr="00EE531F" w:rsidRDefault="00EE531F" w:rsidP="00322623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“в содержание документа включают номер разделов, подразделов, пунктов и подпунктов, имеющих заголовок” (п. 2.1.4). Это прямое указание на то, что подпункт может иметь заголовок и включаться в оглавление;</w:t>
      </w:r>
    </w:p>
    <w:p w14:paraId="013A2305" w14:textId="77777777" w:rsidR="00EE531F" w:rsidRPr="00EE531F" w:rsidRDefault="00EE531F" w:rsidP="00322623">
      <w:pPr>
        <w:numPr>
          <w:ilvl w:val="0"/>
          <w:numId w:val="3"/>
        </w:numPr>
        <w:shd w:val="clear" w:color="auto" w:fill="FFFFFF"/>
        <w:spacing w:before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“допускается помещать текст между заголовками раздела и подраздела, между заголовками подраздела и пункта”. Важно обратить внимание, что ненумерованный текст может быть только между заголовками, и только на верхних 2х уровнях.</w:t>
      </w:r>
    </w:p>
    <w:p w14:paraId="2E5E1636" w14:textId="77777777" w:rsidR="00EE531F" w:rsidRPr="00EE531F" w:rsidRDefault="00EE531F" w:rsidP="003226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В отличии от ЕСКД, в ЕСПД принят странный способ оформления рисунков: сначала идет название рисунка, потом сам рисунок, потом опциональный “подрисуночный текст”, и потом, на новой строке, “Рис. N”.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Этот стандарт имеет ряд “дыр”, недостказанностей. К примеру, сказано: “иллюстрации, если их в данном документе более одной, нумеруют арабскими цифрами в пределах всего документа. “ Но если иллюстрация одна, то она ненумерованная, и как тогда на нее ссылаться? Аналогично и для таблиц. Для сносок ГОСТ не указывает способ их нумерации — в пределах всего документа или в пределах страницы.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Таблицы. В самом документе дана ссылка на ГОСТ 1.5.68. Судя по первой серии, несложно заключить, что это стандарт на разработку стандартов. Причем тут он, неясно. По смыслу он соответствует правилам оформления таблиц в ЕСКД, с небольшими исключениями. Этот стандарт был отменен, взамен веден, через несколько итераций, 1.5-2012, в котором правила оформления таблицы… просто исчезли. Еще в 1.5-2002 были, а уже в 1.5-2004 исчезли. В реальной жизни мы оформляем таблицы согласно ЕСКД.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Приложения. Стандарт не указывает, попадают ли рисунки, формулы и таблицы из приложений в общий перечень. Аналогично не сказано, нужно ли в оглавлении раскрывать структуру приложения, если оно содержит свои разделы, пункты и т.д. В нашей практике мы не раскрываем внутренности приложений.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Наконец, следует сказать об отступах. Абзацный отступ, равный 5 символам, является общим для: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</w:p>
    <w:p w14:paraId="6A86F393" w14:textId="77777777" w:rsidR="00EE531F" w:rsidRPr="00EE531F" w:rsidRDefault="00EE531F" w:rsidP="00322623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красной строки;</w:t>
      </w:r>
    </w:p>
    <w:p w14:paraId="563B5190" w14:textId="77777777" w:rsidR="00EE531F" w:rsidRPr="00EE531F" w:rsidRDefault="00EE531F" w:rsidP="00322623">
      <w:pPr>
        <w:numPr>
          <w:ilvl w:val="0"/>
          <w:numId w:val="4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отступа элемента структуры документа после раздела (подраздел, пункт, подпункт);</w:t>
      </w:r>
    </w:p>
    <w:p w14:paraId="3CB4ECE9" w14:textId="77777777" w:rsidR="00EE531F" w:rsidRPr="00EE531F" w:rsidRDefault="00EE531F" w:rsidP="00322623">
      <w:pPr>
        <w:numPr>
          <w:ilvl w:val="0"/>
          <w:numId w:val="4"/>
        </w:numPr>
        <w:shd w:val="clear" w:color="auto" w:fill="FFFFFF"/>
        <w:spacing w:before="90" w:after="9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lastRenderedPageBreak/>
        <w:t>элемент перечисления.</w:t>
      </w:r>
    </w:p>
    <w:p w14:paraId="03F17A32" w14:textId="77777777" w:rsidR="00EE531F" w:rsidRPr="00EE531F" w:rsidRDefault="00EE531F" w:rsidP="00322623">
      <w:pPr>
        <w:shd w:val="clear" w:color="auto" w:fill="FFFFFF"/>
        <w:ind w:left="720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  <w:t>При этом текст, расположенный на следующей строку после строки с отступом, выравнивается уже по левому полю. Часто встречаются ошибки, когда отступ скачет — красная строка — одно значение, номер пункта — нас другим интервалом, в вложенные отступы в списках — так вообще обязательно.</w:t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</w:r>
      <w:r w:rsidRPr="00EE531F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br/>
        <w:t>В следующих частях планирую уже добраться до конца списка стандартов ЕСП</w:t>
      </w:r>
    </w:p>
    <w:p w14:paraId="61E97195" w14:textId="77777777" w:rsidR="00EE531F" w:rsidRPr="00D529E7" w:rsidRDefault="00EE531F" w:rsidP="00322623">
      <w:pPr>
        <w:rPr>
          <w:lang w:val="ru-RU"/>
        </w:rPr>
      </w:pPr>
    </w:p>
    <w:sectPr w:rsidR="00EE531F" w:rsidRPr="00D5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277"/>
    <w:multiLevelType w:val="multilevel"/>
    <w:tmpl w:val="C0C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52A36"/>
    <w:multiLevelType w:val="multilevel"/>
    <w:tmpl w:val="2B1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75C71"/>
    <w:multiLevelType w:val="multilevel"/>
    <w:tmpl w:val="432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E0F1A"/>
    <w:multiLevelType w:val="multilevel"/>
    <w:tmpl w:val="14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F"/>
    <w:rsid w:val="0023500F"/>
    <w:rsid w:val="00322623"/>
    <w:rsid w:val="00C539F7"/>
    <w:rsid w:val="00D529E7"/>
    <w:rsid w:val="00DE7E00"/>
    <w:rsid w:val="00E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03A8"/>
  <w15:chartTrackingRefBased/>
  <w15:docId w15:val="{3DA85A3F-B04F-FC41-A56D-4D74990D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531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E531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531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E531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5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1%8B%D1%81%D0%BE%D0%BA%D0%B0%D1%8F_%D0%BF%D0%B5%D1%87%D0%B0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ushkov.org/?page_id=59" TargetMode="External"/><Relationship Id="rId5" Type="http://schemas.openxmlformats.org/officeDocument/2006/relationships/hyperlink" Target="http://forum.oberoncore.ru/viewtopic.php?f=62&amp;t=40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Savich</dc:creator>
  <cp:keywords/>
  <dc:description/>
  <cp:lastModifiedBy>Вакуленчик Владислав</cp:lastModifiedBy>
  <cp:revision>3</cp:revision>
  <dcterms:created xsi:type="dcterms:W3CDTF">2024-11-21T10:03:00Z</dcterms:created>
  <dcterms:modified xsi:type="dcterms:W3CDTF">2024-11-22T05:18:00Z</dcterms:modified>
</cp:coreProperties>
</file>