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CD" w:rsidRPr="00EA394F" w:rsidRDefault="00E3307D" w:rsidP="00EA39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394F">
        <w:rPr>
          <w:rFonts w:ascii="Times New Roman" w:hAnsi="Times New Roman" w:cs="Times New Roman"/>
          <w:sz w:val="28"/>
          <w:szCs w:val="28"/>
        </w:rPr>
        <w:t xml:space="preserve">История </w:t>
      </w:r>
      <w:proofErr w:type="spellStart"/>
      <w:r w:rsidRPr="00EA394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B062DB" w:rsidRPr="00EA394F" w:rsidRDefault="00B062DB" w:rsidP="00EA394F">
      <w:pPr>
        <w:pStyle w:val="a3"/>
        <w:shd w:val="clear" w:color="auto" w:fill="FFFFFF"/>
        <w:spacing w:before="0" w:beforeAutospacing="0" w:after="240" w:afterAutospacing="0" w:line="360" w:lineRule="auto"/>
        <w:ind w:firstLine="709"/>
        <w:rPr>
          <w:spacing w:val="2"/>
          <w:sz w:val="28"/>
          <w:szCs w:val="28"/>
        </w:rPr>
      </w:pPr>
      <w:proofErr w:type="spellStart"/>
      <w:r w:rsidRPr="00EA394F">
        <w:rPr>
          <w:spacing w:val="2"/>
          <w:sz w:val="28"/>
          <w:szCs w:val="28"/>
        </w:rPr>
        <w:t>GitHub</w:t>
      </w:r>
      <w:proofErr w:type="spellEnd"/>
      <w:r w:rsidRPr="00EA394F">
        <w:rPr>
          <w:spacing w:val="2"/>
          <w:sz w:val="28"/>
          <w:szCs w:val="28"/>
        </w:rPr>
        <w:t xml:space="preserve">, </w:t>
      </w:r>
      <w:proofErr w:type="gramStart"/>
      <w:r w:rsidRPr="00EA394F">
        <w:rPr>
          <w:spacing w:val="2"/>
          <w:sz w:val="28"/>
          <w:szCs w:val="28"/>
        </w:rPr>
        <w:t>основанный</w:t>
      </w:r>
      <w:proofErr w:type="gramEnd"/>
      <w:r w:rsidRPr="00EA394F">
        <w:rPr>
          <w:spacing w:val="2"/>
          <w:sz w:val="28"/>
          <w:szCs w:val="28"/>
        </w:rPr>
        <w:t xml:space="preserve"> в 2008 году Томом Престон-Вернером, Крисом </w:t>
      </w:r>
      <w:proofErr w:type="spellStart"/>
      <w:r w:rsidRPr="00EA394F">
        <w:rPr>
          <w:spacing w:val="2"/>
          <w:sz w:val="28"/>
          <w:szCs w:val="28"/>
        </w:rPr>
        <w:t>Ванстрасом</w:t>
      </w:r>
      <w:proofErr w:type="spellEnd"/>
      <w:r w:rsidRPr="00EA394F">
        <w:rPr>
          <w:spacing w:val="2"/>
          <w:sz w:val="28"/>
          <w:szCs w:val="28"/>
        </w:rPr>
        <w:t xml:space="preserve"> и Пи </w:t>
      </w:r>
      <w:proofErr w:type="spellStart"/>
      <w:r w:rsidRPr="00EA394F">
        <w:rPr>
          <w:spacing w:val="2"/>
          <w:sz w:val="28"/>
          <w:szCs w:val="28"/>
        </w:rPr>
        <w:t>Джей</w:t>
      </w:r>
      <w:proofErr w:type="spellEnd"/>
      <w:r w:rsidRPr="00EA394F">
        <w:rPr>
          <w:spacing w:val="2"/>
          <w:sz w:val="28"/>
          <w:szCs w:val="28"/>
        </w:rPr>
        <w:t xml:space="preserve"> </w:t>
      </w:r>
      <w:proofErr w:type="spellStart"/>
      <w:r w:rsidRPr="00EA394F">
        <w:rPr>
          <w:spacing w:val="2"/>
          <w:sz w:val="28"/>
          <w:szCs w:val="28"/>
        </w:rPr>
        <w:t>Хайет</w:t>
      </w:r>
      <w:proofErr w:type="spellEnd"/>
      <w:r w:rsidRPr="00EA394F">
        <w:rPr>
          <w:spacing w:val="2"/>
          <w:sz w:val="28"/>
          <w:szCs w:val="28"/>
        </w:rPr>
        <w:t xml:space="preserve"> (</w:t>
      </w:r>
      <w:proofErr w:type="spellStart"/>
      <w:r w:rsidRPr="00EA394F">
        <w:rPr>
          <w:spacing w:val="2"/>
          <w:sz w:val="28"/>
          <w:szCs w:val="28"/>
        </w:rPr>
        <w:t>Tom</w:t>
      </w:r>
      <w:proofErr w:type="spellEnd"/>
      <w:r w:rsidRPr="00EA394F">
        <w:rPr>
          <w:spacing w:val="2"/>
          <w:sz w:val="28"/>
          <w:szCs w:val="28"/>
        </w:rPr>
        <w:t xml:space="preserve"> </w:t>
      </w:r>
      <w:proofErr w:type="spellStart"/>
      <w:r w:rsidRPr="00EA394F">
        <w:rPr>
          <w:spacing w:val="2"/>
          <w:sz w:val="28"/>
          <w:szCs w:val="28"/>
        </w:rPr>
        <w:t>Preston-Werner</w:t>
      </w:r>
      <w:proofErr w:type="spellEnd"/>
      <w:r w:rsidRPr="00EA394F">
        <w:rPr>
          <w:spacing w:val="2"/>
          <w:sz w:val="28"/>
          <w:szCs w:val="28"/>
        </w:rPr>
        <w:t xml:space="preserve">, </w:t>
      </w:r>
      <w:proofErr w:type="spellStart"/>
      <w:r w:rsidRPr="00EA394F">
        <w:rPr>
          <w:spacing w:val="2"/>
          <w:sz w:val="28"/>
          <w:szCs w:val="28"/>
        </w:rPr>
        <w:t>Chris</w:t>
      </w:r>
      <w:proofErr w:type="spellEnd"/>
      <w:r w:rsidRPr="00EA394F">
        <w:rPr>
          <w:spacing w:val="2"/>
          <w:sz w:val="28"/>
          <w:szCs w:val="28"/>
        </w:rPr>
        <w:t xml:space="preserve"> </w:t>
      </w:r>
      <w:proofErr w:type="spellStart"/>
      <w:r w:rsidRPr="00EA394F">
        <w:rPr>
          <w:spacing w:val="2"/>
          <w:sz w:val="28"/>
          <w:szCs w:val="28"/>
        </w:rPr>
        <w:t>Wanstrath</w:t>
      </w:r>
      <w:proofErr w:type="spellEnd"/>
      <w:r w:rsidRPr="00EA394F">
        <w:rPr>
          <w:spacing w:val="2"/>
          <w:sz w:val="28"/>
          <w:szCs w:val="28"/>
        </w:rPr>
        <w:t xml:space="preserve">, PJ </w:t>
      </w:r>
      <w:proofErr w:type="spellStart"/>
      <w:r w:rsidRPr="00EA394F">
        <w:rPr>
          <w:spacing w:val="2"/>
          <w:sz w:val="28"/>
          <w:szCs w:val="28"/>
        </w:rPr>
        <w:t>Hyett</w:t>
      </w:r>
      <w:proofErr w:type="spellEnd"/>
      <w:r w:rsidRPr="00EA394F">
        <w:rPr>
          <w:spacing w:val="2"/>
          <w:sz w:val="28"/>
          <w:szCs w:val="28"/>
        </w:rPr>
        <w:t xml:space="preserve">), — изначально предполагался как сообщество по разработке и управлению открытым исходным кодом, использующим </w:t>
      </w:r>
      <w:proofErr w:type="spellStart"/>
      <w:r w:rsidRPr="00EA394F">
        <w:rPr>
          <w:spacing w:val="2"/>
          <w:sz w:val="28"/>
          <w:szCs w:val="28"/>
        </w:rPr>
        <w:t>Git</w:t>
      </w:r>
      <w:proofErr w:type="spellEnd"/>
      <w:r w:rsidRPr="00EA394F">
        <w:rPr>
          <w:spacing w:val="2"/>
          <w:sz w:val="28"/>
          <w:szCs w:val="28"/>
        </w:rPr>
        <w:t>.</w:t>
      </w:r>
    </w:p>
    <w:p w:rsidR="00E3307D" w:rsidRPr="00EA394F" w:rsidRDefault="00B062DB" w:rsidP="00EA394F">
      <w:pPr>
        <w:pStyle w:val="a3"/>
        <w:shd w:val="clear" w:color="auto" w:fill="FFFFFF"/>
        <w:spacing w:before="0" w:beforeAutospacing="0" w:after="240" w:afterAutospacing="0" w:line="360" w:lineRule="auto"/>
        <w:ind w:firstLine="709"/>
        <w:rPr>
          <w:spacing w:val="2"/>
          <w:sz w:val="28"/>
          <w:szCs w:val="28"/>
        </w:rPr>
      </w:pPr>
      <w:r w:rsidRPr="00EA394F">
        <w:rPr>
          <w:spacing w:val="2"/>
          <w:sz w:val="28"/>
          <w:szCs w:val="28"/>
        </w:rPr>
        <w:t xml:space="preserve">Спустя год после запуска, компания уже имела первые 100 000 пользователей. В июле 2012-го </w:t>
      </w:r>
      <w:proofErr w:type="spellStart"/>
      <w:r w:rsidRPr="00EA394F">
        <w:rPr>
          <w:spacing w:val="2"/>
          <w:sz w:val="28"/>
          <w:szCs w:val="28"/>
        </w:rPr>
        <w:t>GitHub</w:t>
      </w:r>
      <w:proofErr w:type="spellEnd"/>
      <w:r w:rsidRPr="00EA394F">
        <w:rPr>
          <w:spacing w:val="2"/>
          <w:sz w:val="28"/>
          <w:szCs w:val="28"/>
        </w:rPr>
        <w:t xml:space="preserve"> получила $100 000 000 венчурного капитала от фонда </w:t>
      </w:r>
      <w:proofErr w:type="spellStart"/>
      <w:r w:rsidRPr="00EA394F">
        <w:rPr>
          <w:spacing w:val="2"/>
          <w:sz w:val="28"/>
          <w:szCs w:val="28"/>
        </w:rPr>
        <w:t>Andreessen</w:t>
      </w:r>
      <w:proofErr w:type="spellEnd"/>
      <w:r w:rsidRPr="00EA394F">
        <w:rPr>
          <w:spacing w:val="2"/>
          <w:sz w:val="28"/>
          <w:szCs w:val="28"/>
        </w:rPr>
        <w:t xml:space="preserve"> </w:t>
      </w:r>
      <w:proofErr w:type="spellStart"/>
      <w:r w:rsidRPr="00EA394F">
        <w:rPr>
          <w:spacing w:val="2"/>
          <w:sz w:val="28"/>
          <w:szCs w:val="28"/>
        </w:rPr>
        <w:t>Horowitz</w:t>
      </w:r>
      <w:proofErr w:type="spellEnd"/>
      <w:r w:rsidRPr="00EA394F">
        <w:rPr>
          <w:spacing w:val="2"/>
          <w:sz w:val="28"/>
          <w:szCs w:val="28"/>
        </w:rPr>
        <w:t xml:space="preserve">, огромное подспорье для производящей софт компании на этой стадии развития, демонстрирующее уверенность инвесторов в росте. Эти инвестиции, на сегодняшний день самые крупные в истории </w:t>
      </w:r>
      <w:proofErr w:type="spellStart"/>
      <w:r w:rsidRPr="00EA394F">
        <w:rPr>
          <w:spacing w:val="2"/>
          <w:sz w:val="28"/>
          <w:szCs w:val="28"/>
        </w:rPr>
        <w:t>GitHub</w:t>
      </w:r>
      <w:proofErr w:type="spellEnd"/>
      <w:r w:rsidRPr="00EA394F">
        <w:rPr>
          <w:spacing w:val="2"/>
          <w:sz w:val="28"/>
          <w:szCs w:val="28"/>
        </w:rPr>
        <w:t xml:space="preserve">, привели к тому, что компания была оценена в $750 000 000. В том же году </w:t>
      </w:r>
      <w:proofErr w:type="spellStart"/>
      <w:r w:rsidRPr="00EA394F">
        <w:rPr>
          <w:spacing w:val="2"/>
          <w:sz w:val="28"/>
          <w:szCs w:val="28"/>
        </w:rPr>
        <w:t>Forbes</w:t>
      </w:r>
      <w:proofErr w:type="spellEnd"/>
      <w:r w:rsidRPr="00EA394F">
        <w:rPr>
          <w:spacing w:val="2"/>
          <w:sz w:val="28"/>
          <w:szCs w:val="28"/>
        </w:rPr>
        <w:t xml:space="preserve"> назвал </w:t>
      </w:r>
      <w:proofErr w:type="spellStart"/>
      <w:r w:rsidRPr="00EA394F">
        <w:rPr>
          <w:spacing w:val="2"/>
          <w:sz w:val="28"/>
          <w:szCs w:val="28"/>
        </w:rPr>
        <w:t>стартап</w:t>
      </w:r>
      <w:proofErr w:type="spellEnd"/>
      <w:r w:rsidRPr="00EA394F">
        <w:rPr>
          <w:spacing w:val="2"/>
          <w:sz w:val="28"/>
          <w:szCs w:val="28"/>
        </w:rPr>
        <w:t xml:space="preserve"> одной из 10 </w:t>
      </w:r>
      <w:proofErr w:type="spellStart"/>
      <w:r w:rsidRPr="00EA394F">
        <w:rPr>
          <w:spacing w:val="2"/>
          <w:sz w:val="28"/>
          <w:szCs w:val="28"/>
        </w:rPr>
        <w:t>топовых</w:t>
      </w:r>
      <w:proofErr w:type="spellEnd"/>
      <w:r w:rsidRPr="00EA394F">
        <w:rPr>
          <w:spacing w:val="2"/>
          <w:sz w:val="28"/>
          <w:szCs w:val="28"/>
        </w:rPr>
        <w:t xml:space="preserve"> технологичных компаний.</w:t>
      </w:r>
    </w:p>
    <w:p w:rsidR="00B062DB" w:rsidRPr="00EA394F" w:rsidRDefault="00B062DB" w:rsidP="00EA394F">
      <w:pPr>
        <w:pStyle w:val="a3"/>
        <w:shd w:val="clear" w:color="auto" w:fill="FFFFFF"/>
        <w:spacing w:before="0" w:beforeAutospacing="0" w:after="240" w:afterAutospacing="0" w:line="360" w:lineRule="auto"/>
        <w:ind w:firstLine="709"/>
        <w:rPr>
          <w:spacing w:val="2"/>
          <w:sz w:val="28"/>
          <w:szCs w:val="28"/>
        </w:rPr>
      </w:pPr>
      <w:r w:rsidRPr="00EA394F">
        <w:rPr>
          <w:spacing w:val="2"/>
          <w:sz w:val="28"/>
          <w:szCs w:val="28"/>
        </w:rPr>
        <w:t xml:space="preserve">К январю 2013-го </w:t>
      </w:r>
      <w:proofErr w:type="spellStart"/>
      <w:r w:rsidRPr="00EA394F">
        <w:rPr>
          <w:spacing w:val="2"/>
          <w:sz w:val="28"/>
          <w:szCs w:val="28"/>
        </w:rPr>
        <w:t>GitHub</w:t>
      </w:r>
      <w:proofErr w:type="spellEnd"/>
      <w:r w:rsidRPr="00EA394F">
        <w:rPr>
          <w:spacing w:val="2"/>
          <w:sz w:val="28"/>
          <w:szCs w:val="28"/>
        </w:rPr>
        <w:t xml:space="preserve"> вырос до 3 миллионов пользователей и 4,9 миллионов </w:t>
      </w:r>
      <w:proofErr w:type="spellStart"/>
      <w:r w:rsidRPr="00EA394F">
        <w:rPr>
          <w:spacing w:val="2"/>
          <w:sz w:val="28"/>
          <w:szCs w:val="28"/>
        </w:rPr>
        <w:t>репозиториев</w:t>
      </w:r>
      <w:proofErr w:type="spellEnd"/>
      <w:r w:rsidRPr="00EA394F">
        <w:rPr>
          <w:spacing w:val="2"/>
          <w:sz w:val="28"/>
          <w:szCs w:val="28"/>
        </w:rPr>
        <w:t xml:space="preserve"> (или архивов кода, которым поделились на сайте). А к декабрю того же года число последних достигло 10 миллионов. Из блога компании: «Первый миллион </w:t>
      </w:r>
      <w:proofErr w:type="spellStart"/>
      <w:r w:rsidRPr="00EA394F">
        <w:rPr>
          <w:spacing w:val="2"/>
          <w:sz w:val="28"/>
          <w:szCs w:val="28"/>
        </w:rPr>
        <w:t>репозиториев</w:t>
      </w:r>
      <w:proofErr w:type="spellEnd"/>
      <w:r w:rsidRPr="00EA394F">
        <w:rPr>
          <w:spacing w:val="2"/>
          <w:sz w:val="28"/>
          <w:szCs w:val="28"/>
        </w:rPr>
        <w:t xml:space="preserve"> был создан всего лишь за 4 года, 3 года 18 месяцев и 15 дней, если быть точными. Последний миллион занял лишь 48 дней. На самом деле более 5,5 миллионов — то есть больше половины — появились лишь в этом году».</w:t>
      </w:r>
    </w:p>
    <w:p w:rsidR="00B062DB" w:rsidRPr="00EA394F" w:rsidRDefault="00B062DB" w:rsidP="00EA394F">
      <w:pPr>
        <w:pStyle w:val="a3"/>
        <w:shd w:val="clear" w:color="auto" w:fill="FFFFFF"/>
        <w:spacing w:before="0" w:beforeAutospacing="0" w:after="240" w:afterAutospacing="0" w:line="360" w:lineRule="auto"/>
        <w:ind w:firstLine="709"/>
        <w:rPr>
          <w:spacing w:val="2"/>
          <w:sz w:val="28"/>
          <w:szCs w:val="28"/>
        </w:rPr>
      </w:pPr>
      <w:r w:rsidRPr="00EA394F">
        <w:rPr>
          <w:spacing w:val="2"/>
          <w:sz w:val="28"/>
          <w:szCs w:val="28"/>
        </w:rPr>
        <w:t xml:space="preserve">В список наиболее известных клиентов компании входят </w:t>
      </w:r>
      <w:proofErr w:type="spellStart"/>
      <w:r w:rsidRPr="00EA394F">
        <w:rPr>
          <w:spacing w:val="2"/>
          <w:sz w:val="28"/>
          <w:szCs w:val="28"/>
        </w:rPr>
        <w:t>Amazon</w:t>
      </w:r>
      <w:proofErr w:type="spellEnd"/>
      <w:r w:rsidRPr="00EA394F">
        <w:rPr>
          <w:spacing w:val="2"/>
          <w:sz w:val="28"/>
          <w:szCs w:val="28"/>
        </w:rPr>
        <w:t xml:space="preserve">, </w:t>
      </w:r>
      <w:proofErr w:type="spellStart"/>
      <w:r w:rsidRPr="00EA394F">
        <w:rPr>
          <w:spacing w:val="2"/>
          <w:sz w:val="28"/>
          <w:szCs w:val="28"/>
        </w:rPr>
        <w:t>Twitter</w:t>
      </w:r>
      <w:proofErr w:type="spellEnd"/>
      <w:r w:rsidRPr="00EA394F">
        <w:rPr>
          <w:spacing w:val="2"/>
          <w:sz w:val="28"/>
          <w:szCs w:val="28"/>
        </w:rPr>
        <w:t xml:space="preserve">, </w:t>
      </w:r>
      <w:proofErr w:type="spellStart"/>
      <w:r w:rsidRPr="00EA394F">
        <w:rPr>
          <w:spacing w:val="2"/>
          <w:sz w:val="28"/>
          <w:szCs w:val="28"/>
        </w:rPr>
        <w:t>The</w:t>
      </w:r>
      <w:proofErr w:type="spellEnd"/>
      <w:r w:rsidRPr="00EA394F">
        <w:rPr>
          <w:spacing w:val="2"/>
          <w:sz w:val="28"/>
          <w:szCs w:val="28"/>
        </w:rPr>
        <w:t xml:space="preserve"> </w:t>
      </w:r>
      <w:proofErr w:type="spellStart"/>
      <w:r w:rsidRPr="00EA394F">
        <w:rPr>
          <w:spacing w:val="2"/>
          <w:sz w:val="28"/>
          <w:szCs w:val="28"/>
        </w:rPr>
        <w:t>White</w:t>
      </w:r>
      <w:proofErr w:type="spellEnd"/>
      <w:r w:rsidRPr="00EA394F">
        <w:rPr>
          <w:spacing w:val="2"/>
          <w:sz w:val="28"/>
          <w:szCs w:val="28"/>
        </w:rPr>
        <w:t xml:space="preserve"> </w:t>
      </w:r>
      <w:proofErr w:type="spellStart"/>
      <w:r w:rsidRPr="00EA394F">
        <w:rPr>
          <w:spacing w:val="2"/>
          <w:sz w:val="28"/>
          <w:szCs w:val="28"/>
        </w:rPr>
        <w:t>House</w:t>
      </w:r>
      <w:proofErr w:type="spellEnd"/>
      <w:r w:rsidRPr="00EA394F">
        <w:rPr>
          <w:spacing w:val="2"/>
          <w:sz w:val="28"/>
          <w:szCs w:val="28"/>
        </w:rPr>
        <w:t xml:space="preserve">, </w:t>
      </w:r>
      <w:proofErr w:type="spellStart"/>
      <w:r w:rsidRPr="00EA394F">
        <w:rPr>
          <w:spacing w:val="2"/>
          <w:sz w:val="28"/>
          <w:szCs w:val="28"/>
        </w:rPr>
        <w:t>Facebook</w:t>
      </w:r>
      <w:proofErr w:type="spellEnd"/>
      <w:r w:rsidRPr="00EA394F">
        <w:rPr>
          <w:spacing w:val="2"/>
          <w:sz w:val="28"/>
          <w:szCs w:val="28"/>
        </w:rPr>
        <w:t xml:space="preserve">, использовавший </w:t>
      </w:r>
      <w:proofErr w:type="spellStart"/>
      <w:r w:rsidRPr="00EA394F">
        <w:rPr>
          <w:spacing w:val="2"/>
          <w:sz w:val="28"/>
          <w:szCs w:val="28"/>
        </w:rPr>
        <w:t>GitHub</w:t>
      </w:r>
      <w:proofErr w:type="spellEnd"/>
      <w:r w:rsidRPr="00EA394F">
        <w:rPr>
          <w:spacing w:val="2"/>
          <w:sz w:val="28"/>
          <w:szCs w:val="28"/>
        </w:rPr>
        <w:t xml:space="preserve"> для создания инструмента, отслеживающего баги, и </w:t>
      </w:r>
      <w:proofErr w:type="spellStart"/>
      <w:r w:rsidRPr="00EA394F">
        <w:rPr>
          <w:spacing w:val="2"/>
          <w:sz w:val="28"/>
          <w:szCs w:val="28"/>
        </w:rPr>
        <w:t>LinkedIn</w:t>
      </w:r>
      <w:proofErr w:type="spellEnd"/>
      <w:r w:rsidRPr="00EA394F">
        <w:rPr>
          <w:spacing w:val="2"/>
          <w:sz w:val="28"/>
          <w:szCs w:val="28"/>
        </w:rPr>
        <w:t>, поддерживающий свои функции «Люди, которых вы можете знать» и «Навыки и их подтверждения» (</w:t>
      </w:r>
      <w:proofErr w:type="spellStart"/>
      <w:r w:rsidRPr="00EA394F">
        <w:rPr>
          <w:spacing w:val="2"/>
          <w:sz w:val="28"/>
          <w:szCs w:val="28"/>
        </w:rPr>
        <w:t>People</w:t>
      </w:r>
      <w:proofErr w:type="spellEnd"/>
      <w:r w:rsidRPr="00EA394F">
        <w:rPr>
          <w:spacing w:val="2"/>
          <w:sz w:val="28"/>
          <w:szCs w:val="28"/>
        </w:rPr>
        <w:t xml:space="preserve"> </w:t>
      </w:r>
      <w:proofErr w:type="spellStart"/>
      <w:r w:rsidRPr="00EA394F">
        <w:rPr>
          <w:spacing w:val="2"/>
          <w:sz w:val="28"/>
          <w:szCs w:val="28"/>
        </w:rPr>
        <w:t>You</w:t>
      </w:r>
      <w:proofErr w:type="spellEnd"/>
      <w:r w:rsidRPr="00EA394F">
        <w:rPr>
          <w:spacing w:val="2"/>
          <w:sz w:val="28"/>
          <w:szCs w:val="28"/>
        </w:rPr>
        <w:t xml:space="preserve"> </w:t>
      </w:r>
      <w:proofErr w:type="spellStart"/>
      <w:r w:rsidRPr="00EA394F">
        <w:rPr>
          <w:spacing w:val="2"/>
          <w:sz w:val="28"/>
          <w:szCs w:val="28"/>
        </w:rPr>
        <w:t>May</w:t>
      </w:r>
      <w:proofErr w:type="spellEnd"/>
      <w:r w:rsidRPr="00EA394F">
        <w:rPr>
          <w:spacing w:val="2"/>
          <w:sz w:val="28"/>
          <w:szCs w:val="28"/>
        </w:rPr>
        <w:t xml:space="preserve"> </w:t>
      </w:r>
      <w:proofErr w:type="spellStart"/>
      <w:r w:rsidRPr="00EA394F">
        <w:rPr>
          <w:spacing w:val="2"/>
          <w:sz w:val="28"/>
          <w:szCs w:val="28"/>
        </w:rPr>
        <w:t>Know</w:t>
      </w:r>
      <w:proofErr w:type="spellEnd"/>
      <w:r w:rsidRPr="00EA394F">
        <w:rPr>
          <w:spacing w:val="2"/>
          <w:sz w:val="28"/>
          <w:szCs w:val="28"/>
        </w:rPr>
        <w:t xml:space="preserve"> и </w:t>
      </w:r>
      <w:proofErr w:type="spellStart"/>
      <w:r w:rsidRPr="00EA394F">
        <w:rPr>
          <w:spacing w:val="2"/>
          <w:sz w:val="28"/>
          <w:szCs w:val="28"/>
        </w:rPr>
        <w:t>Skills</w:t>
      </w:r>
      <w:proofErr w:type="spellEnd"/>
      <w:r w:rsidRPr="00EA394F">
        <w:rPr>
          <w:spacing w:val="2"/>
          <w:sz w:val="28"/>
          <w:szCs w:val="28"/>
        </w:rPr>
        <w:t xml:space="preserve"> &amp; </w:t>
      </w:r>
      <w:proofErr w:type="spellStart"/>
      <w:r w:rsidRPr="00EA394F">
        <w:rPr>
          <w:spacing w:val="2"/>
          <w:sz w:val="28"/>
          <w:szCs w:val="28"/>
        </w:rPr>
        <w:t>Endorsements</w:t>
      </w:r>
      <w:proofErr w:type="spellEnd"/>
      <w:r w:rsidRPr="00EA394F">
        <w:rPr>
          <w:spacing w:val="2"/>
          <w:sz w:val="28"/>
          <w:szCs w:val="28"/>
        </w:rPr>
        <w:t xml:space="preserve">) с помощью </w:t>
      </w:r>
      <w:proofErr w:type="spellStart"/>
      <w:r w:rsidRPr="00EA394F">
        <w:rPr>
          <w:spacing w:val="2"/>
          <w:sz w:val="28"/>
          <w:szCs w:val="28"/>
        </w:rPr>
        <w:t>GitHub</w:t>
      </w:r>
      <w:proofErr w:type="spellEnd"/>
      <w:r w:rsidRPr="00EA394F">
        <w:rPr>
          <w:spacing w:val="2"/>
          <w:sz w:val="28"/>
          <w:szCs w:val="28"/>
        </w:rPr>
        <w:t>.</w:t>
      </w:r>
    </w:p>
    <w:p w:rsidR="00EA394F" w:rsidRPr="00EA394F" w:rsidRDefault="00EA394F" w:rsidP="00EA394F">
      <w:pPr>
        <w:pStyle w:val="a3"/>
        <w:shd w:val="clear" w:color="auto" w:fill="FFFFFF"/>
        <w:spacing w:before="0" w:beforeAutospacing="0" w:after="240" w:afterAutospacing="0" w:line="360" w:lineRule="auto"/>
        <w:ind w:firstLine="709"/>
        <w:rPr>
          <w:spacing w:val="2"/>
          <w:sz w:val="28"/>
          <w:szCs w:val="28"/>
        </w:rPr>
      </w:pPr>
      <w:r w:rsidRPr="00EA394F">
        <w:rPr>
          <w:spacing w:val="2"/>
          <w:sz w:val="28"/>
          <w:szCs w:val="28"/>
        </w:rPr>
        <w:t>А) Реквизитный анализ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Документ о работе сервис-инженера.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этого документа является одной из обязанностей сервис-инженера. Исходными данными для расчета заработной платы сервис инженера в организации является данный документ. В нем представляется посещение клиента с детализацией выполненной работы. Документ предназначен для фиксации посещения клиента, является частью отчетности, а так же является незаменимым документом в случае, если вы в отпуске или на больничном, и вас замещает другой сервис-инженер. Чтобы человек, который вас замещает, посетил клиентов закрепленных за вами наиболее плодотворно, необходимо вносить в маршрутный лист как можно больше информации о клиентах. Пример маршрутного листа можно посмотреть в приложении 12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рассмотрим сам маршрутный лист. Здесь я опишу поля обязательные для заполнения, остальные заполняются в зависимости, выполнено это действие или же нет: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2.1.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Реквизитный состав маршрутного листа сервис-инженера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867"/>
        <w:gridCol w:w="2236"/>
        <w:gridCol w:w="2282"/>
      </w:tblGrid>
      <w:tr w:rsidR="00EA394F" w:rsidRPr="00EA394F" w:rsidTr="00EA394F">
        <w:trPr>
          <w:gridAfter w:val="3"/>
          <w:wAfter w:w="7385" w:type="dxa"/>
        </w:trPr>
        <w:tc>
          <w:tcPr>
            <w:tcW w:w="2000" w:type="dxa"/>
            <w:shd w:val="clear" w:color="auto" w:fill="A9A9A9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Данные о заказчике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 100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</w:t>
            </w: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Контактное лицо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 100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Имя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человека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которым обычно работаем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Телефон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 50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Телефон организации либо контактного лица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Текст, Число, 50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Клиента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Сервисные услуги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Релиз</w:t>
            </w:r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платформы</w:t>
            </w:r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исходный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 30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Релиз</w:t>
            </w:r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платформы</w:t>
            </w:r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установленный</w:t>
            </w:r>
            <w:proofErr w:type="gramEnd"/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 30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Релиз</w:t>
            </w:r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конфигурации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исходный</w:t>
            </w:r>
            <w:proofErr w:type="gramEnd"/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 30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Релиз конфигурации установленный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 30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Релиз </w:t>
            </w: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установленных форм отчетности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Число 30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Исполнитель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 50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 серви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с-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инженера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исполнения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Дата 30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Заполняет сервис-инженер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 работы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Окончание работы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 50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клиента не должно превышать 1 ч.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 30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клиента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подписи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Заполняет клиент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Разработанное приложение должно генерировать следующие отчеты: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Зарплата за месяц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отчете будет выводиться значение заработной платы - поле Результат (табличная часть). И должны присутствовать 2 поля: начало периода, конец периода.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2.2.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Реквизитный состав отчета «Зарплата за месяц»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2104"/>
        <w:gridCol w:w="1598"/>
        <w:gridCol w:w="3191"/>
        <w:gridCol w:w="1924"/>
      </w:tblGrid>
      <w:tr w:rsidR="00EA394F" w:rsidRPr="00EA394F" w:rsidTr="00EA394F">
        <w:trPr>
          <w:gridAfter w:val="4"/>
        </w:trPr>
        <w:tc>
          <w:tcPr>
            <w:tcW w:w="0" w:type="auto"/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EA394F" w:rsidRPr="00EA394F" w:rsidTr="00EA394F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 периода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периода для подсчета начисления з/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</w:p>
        </w:tc>
      </w:tr>
      <w:tr w:rsidR="00EA394F" w:rsidRPr="00EA394F" w:rsidTr="00EA394F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Конец периода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сумма акта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 10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было разовое</w:t>
            </w:r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</w:t>
            </w:r>
          </w:p>
        </w:tc>
      </w:tr>
      <w:tr w:rsidR="00EA394F" w:rsidRPr="00EA394F" w:rsidTr="00EA394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Всего сумма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End"/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зарплату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 10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подсчета</w:t>
            </w:r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зарплаты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часы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 10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</w:t>
            </w:r>
            <w:proofErr w:type="gramEnd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посещениям клиентов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отчете будет </w:t>
      </w:r>
      <w:proofErr w:type="gramStart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</w:t>
      </w:r>
      <w:proofErr w:type="gramEnd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заработной платы за посещение 1-го клиента в месяце - поле Результат (Табл. часть). Так же должны присутствовать 2 поля: начало периода, конец периода.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2.3.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Реквизитный состав отчета «Посещение клиентов»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2152"/>
        <w:gridCol w:w="2412"/>
        <w:gridCol w:w="4253"/>
      </w:tblGrid>
      <w:tr w:rsidR="00EA394F" w:rsidRPr="00EA394F" w:rsidTr="00EA394F">
        <w:trPr>
          <w:gridAfter w:val="3"/>
        </w:trPr>
        <w:tc>
          <w:tcPr>
            <w:tcW w:w="0" w:type="auto"/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EA394F" w:rsidRPr="00EA394F" w:rsidTr="00EA394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 периода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периода для подсчета начисления з/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</w:p>
        </w:tc>
      </w:tr>
      <w:tr w:rsidR="00EA394F" w:rsidRPr="00EA394F" w:rsidTr="00EA394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Конец периода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Табличный 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подсчета</w:t>
            </w:r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зарплаты</w:t>
            </w:r>
          </w:p>
        </w:tc>
      </w:tr>
    </w:tbl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Обороты по клиентам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отчете будет </w:t>
      </w:r>
      <w:proofErr w:type="gramStart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</w:t>
      </w:r>
      <w:proofErr w:type="gramEnd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заработной платы за разовые посещения(в основном это клиенты которые не состоят на сопровождении фирмы 1С) - поле Результат(Табл. часть) и 2 поля: начало периода, конец периода.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2.4.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Реквизитный состав отчета «Обороты по клиентам»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14"/>
        <w:gridCol w:w="2198"/>
        <w:gridCol w:w="2854"/>
        <w:gridCol w:w="3751"/>
      </w:tblGrid>
      <w:tr w:rsidR="00EA394F" w:rsidRPr="00EA394F" w:rsidTr="00EA394F">
        <w:trPr>
          <w:gridAfter w:val="4"/>
          <w:wAfter w:w="8817" w:type="dxa"/>
        </w:trPr>
        <w:tc>
          <w:tcPr>
            <w:tcW w:w="568" w:type="dxa"/>
            <w:shd w:val="clear" w:color="auto" w:fill="A9A9A9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EA394F" w:rsidRPr="00EA394F" w:rsidTr="00EA394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 периода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периода для подсчета</w:t>
            </w:r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начисления з/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</w:p>
        </w:tc>
      </w:tr>
      <w:tr w:rsidR="00EA394F" w:rsidRPr="00EA394F" w:rsidTr="00EA394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Конец периода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94F" w:rsidRPr="00EA394F" w:rsidRDefault="00EA394F" w:rsidP="00EA39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94F" w:rsidRPr="00EA394F" w:rsidTr="00EA394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Табличный документ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подсчета</w:t>
            </w:r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зарплаты </w:t>
            </w:r>
            <w:proofErr w:type="gramStart"/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</w:t>
            </w:r>
            <w:proofErr w:type="gramEnd"/>
          </w:p>
          <w:p w:rsidR="00EA394F" w:rsidRPr="00EA394F" w:rsidRDefault="00EA394F" w:rsidP="00EA39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разовые посещения</w:t>
            </w:r>
          </w:p>
        </w:tc>
      </w:tr>
    </w:tbl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Данные</w:t>
      </w:r>
      <w:proofErr w:type="gramEnd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необходимо сохранять в мобильном приложении для построения отчетов: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· Наименование организации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· Дата посещения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· Выполненные работы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· </w:t>
      </w:r>
      <w:proofErr w:type="gramStart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proofErr w:type="gramEnd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затраченное на выполнение работы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· Зона обслуживани</w:t>
      </w:r>
      <w:proofErr w:type="gramStart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я(</w:t>
      </w:r>
      <w:proofErr w:type="gramEnd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разового посещения)</w:t>
      </w:r>
    </w:p>
    <w:p w:rsidR="00EA394F" w:rsidRPr="00EA394F" w:rsidRDefault="00EA394F" w:rsidP="00EA394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· Вид акт</w:t>
      </w:r>
      <w:proofErr w:type="gramStart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>а(</w:t>
      </w:r>
      <w:proofErr w:type="gramEnd"/>
      <w:r w:rsidRPr="00EA39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разового посещения).</w:t>
      </w:r>
    </w:p>
    <w:p w:rsidR="00EA394F" w:rsidRDefault="00EA394F" w:rsidP="00EA394F">
      <w:pPr>
        <w:pStyle w:val="a3"/>
        <w:shd w:val="clear" w:color="auto" w:fill="FFFFFF"/>
        <w:spacing w:before="0" w:beforeAutospacing="0" w:after="240" w:afterAutospacing="0" w:line="360" w:lineRule="auto"/>
        <w:ind w:firstLine="709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lastRenderedPageBreak/>
        <w:t>Б) Модель базы данных</w:t>
      </w:r>
      <w:r>
        <w:rPr>
          <w:noProof/>
        </w:rPr>
        <w:drawing>
          <wp:inline distT="0" distB="0" distL="0" distR="0" wp14:anchorId="62EC29EE" wp14:editId="191183AD">
            <wp:extent cx="5940425" cy="4297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E8" w:rsidRDefault="00EA394F" w:rsidP="00AD15E8">
      <w:pPr>
        <w:pStyle w:val="1"/>
        <w:shd w:val="clear" w:color="auto" w:fill="FFFFFF"/>
        <w:spacing w:before="600" w:beforeAutospacing="0" w:after="150" w:afterAutospacing="0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В)</w:t>
      </w:r>
      <w:r w:rsidR="00AD15E8" w:rsidRPr="00AD15E8">
        <w:rPr>
          <w:spacing w:val="2"/>
          <w:sz w:val="28"/>
          <w:szCs w:val="28"/>
        </w:rPr>
        <w:t xml:space="preserve"> </w:t>
      </w:r>
    </w:p>
    <w:p w:rsidR="00AD15E8" w:rsidRPr="00AD15E8" w:rsidRDefault="00AD15E8" w:rsidP="00AD15E8">
      <w:pPr>
        <w:pStyle w:val="1"/>
        <w:shd w:val="clear" w:color="auto" w:fill="FFFFFF"/>
        <w:spacing w:before="600" w:beforeAutospacing="0" w:after="150" w:afterAutospacing="0" w:line="360" w:lineRule="auto"/>
        <w:ind w:firstLine="709"/>
        <w:jc w:val="both"/>
        <w:rPr>
          <w:b w:val="0"/>
          <w:bCs w:val="0"/>
          <w:color w:val="161616"/>
          <w:sz w:val="28"/>
          <w:szCs w:val="28"/>
        </w:rPr>
      </w:pPr>
      <w:r w:rsidRPr="00AD15E8">
        <w:rPr>
          <w:b w:val="0"/>
          <w:bCs w:val="0"/>
          <w:color w:val="161616"/>
          <w:sz w:val="28"/>
          <w:szCs w:val="28"/>
        </w:rPr>
        <w:t>Описание нотации IDEF0</w:t>
      </w:r>
    </w:p>
    <w:p w:rsidR="00AD15E8" w:rsidRPr="00AD15E8" w:rsidRDefault="00AD15E8" w:rsidP="00AD15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IDEF0: нотация для описания структуры, или верхнего уровня бизнес-процесса</w:t>
      </w:r>
      <w:r w:rsidRPr="00AD15E8">
        <w:rPr>
          <w:rFonts w:ascii="Times New Roman" w:eastAsia="Times New Roman" w:hAnsi="Times New Roman" w:cs="Times New Roman"/>
          <w:noProof/>
          <w:color w:val="10101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059334A" wp14:editId="591195D8">
                <wp:extent cx="299720" cy="299720"/>
                <wp:effectExtent l="0" t="0" r="0" b="0"/>
                <wp:docPr id="19" name="Прямоугольник 19" descr="https://micro-solution.ru/bp-know/regulation/IDE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26" alt="Описание: https://micro-solution.ru/bp-know/regulation/IDEF0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AD15E8" w:rsidRPr="00AD15E8" w:rsidRDefault="00AD15E8" w:rsidP="00AD15E8">
      <w:pPr>
        <w:shd w:val="clear" w:color="auto" w:fill="F9F9F9"/>
        <w:spacing w:before="75" w:after="15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eastAsia="ru-RU"/>
        </w:rPr>
        <w:t>IDEF0, нотация для описания структуры, или верхнего уровня бизнес-процесса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Наиболее популярной нотацией, используемой для моделирования бизнес-процессов верхнего уровня, является нотация IDEF0. Правила и система обозначений IDEF0 позволяют отобразить структуру и функции любой системы. Еще раз: IDEF0 – нотация, в которой очень удобно показывать структуру системы, структуру бизнес-процесса. И удобно </w:t>
      </w: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lastRenderedPageBreak/>
        <w:t>показывать основные функции. Именно поэтому IDEF0 – идеальная нотация для моделирования верхнего уровня бизнес-процессов. По нашей статистике (проекты и клиент</w:t>
      </w:r>
      <w:proofErr w:type="gramStart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ы ООО</w:t>
      </w:r>
      <w:proofErr w:type="gramEnd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 «Микро-</w:t>
      </w:r>
      <w:proofErr w:type="spellStart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Солюшн</w:t>
      </w:r>
      <w:proofErr w:type="spellEnd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») 90% всех описаний процессов имеют </w:t>
      </w:r>
      <w:proofErr w:type="spellStart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верхнеуровневое</w:t>
      </w:r>
      <w:proofErr w:type="spellEnd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, функциональное описание в IDEF0, еще 10% - это описание верхнего уровня в BPMN.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Пример </w:t>
      </w:r>
      <w:proofErr w:type="spellStart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верхнеуровневой</w:t>
      </w:r>
      <w:proofErr w:type="spellEnd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 структуры деятельности представлен на рисунке ниже. Именно так хочется называть – «</w:t>
      </w:r>
      <w:proofErr w:type="spellStart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верхнеуровневая</w:t>
      </w:r>
      <w:proofErr w:type="spellEnd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 структура», «функциональная структура». В этом, на наш взгляд, суть нотации IDEF0.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b/>
          <w:bCs/>
          <w:color w:val="101010"/>
          <w:sz w:val="28"/>
          <w:szCs w:val="28"/>
          <w:lang w:eastAsia="ru-RU"/>
        </w:rPr>
        <w:t>Бизнес-процесс </w:t>
      </w: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в обозначениях IDEF0 – прямоугольник (блок), его связи с элементами внешней среды или другими процессами – это стрелки. Это базовый минимум, с которого можно начинать знакомиться с нотацией, пробовать фиксировать в ней какие-то первые процессы «в карандаше». Внутри прямоугольника (блока) вписывается название функции/процесса и его номер.</w:t>
      </w:r>
      <w:bookmarkStart w:id="0" w:name="_GoBack"/>
      <w:bookmarkEnd w:id="0"/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b/>
          <w:bCs/>
          <w:color w:val="101010"/>
          <w:sz w:val="28"/>
          <w:szCs w:val="28"/>
          <w:lang w:eastAsia="ru-RU"/>
        </w:rPr>
        <w:t>Стрелки </w:t>
      </w: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в IDEF0 могут быть:</w:t>
      </w:r>
    </w:p>
    <w:p w:rsidR="00AD15E8" w:rsidRPr="00AD15E8" w:rsidRDefault="00AD15E8" w:rsidP="00AD15E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60" w:lineRule="auto"/>
        <w:ind w:left="495"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Входящие – вводные, которые показывают «вход» процесса, ставят определенную задачу.</w:t>
      </w:r>
    </w:p>
    <w:p w:rsidR="00AD15E8" w:rsidRPr="00AD15E8" w:rsidRDefault="00AD15E8" w:rsidP="00AD15E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60" w:lineRule="auto"/>
        <w:ind w:left="495"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Исходящие – выводящие результат деятельности, показывающие «выход» процесса.</w:t>
      </w:r>
    </w:p>
    <w:p w:rsidR="00AD15E8" w:rsidRPr="00AD15E8" w:rsidRDefault="00AD15E8" w:rsidP="00AD15E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60" w:lineRule="auto"/>
        <w:ind w:left="495"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Управляющие (сверху вниз) – механизмы управления (положения, инструкции и пр.).</w:t>
      </w:r>
    </w:p>
    <w:p w:rsidR="00AD15E8" w:rsidRPr="00AD15E8" w:rsidRDefault="00AD15E8" w:rsidP="00AD15E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60" w:lineRule="auto"/>
        <w:ind w:left="495"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Механизмы (снизу вверх) – что используется для того, чтобы произвести необходимую работу.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noProof/>
          <w:color w:val="101010"/>
          <w:sz w:val="28"/>
          <w:szCs w:val="28"/>
          <w:lang w:eastAsia="ru-RU"/>
        </w:rPr>
        <w:lastRenderedPageBreak/>
        <w:drawing>
          <wp:inline distT="0" distB="0" distL="0" distR="0" wp14:anchorId="11F9AF22" wp14:editId="32C05443">
            <wp:extent cx="2569845" cy="2033905"/>
            <wp:effectExtent l="0" t="0" r="1905" b="4445"/>
            <wp:docPr id="17" name="Рисунок 17" descr="IDEF0 система обозначений блок стре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DEF0 система обозначений блок стрел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Как на рисунке выше, стрелки подписываются наименованием соответствующих потоков объектов, которые они перемещают: входы (документы, информацию) и выходы, механизмы и управляющие потоки.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К базовому, начальному уровню понимания нотации IDEF0, постепенно можно добавить еще несколько элементов из системы обозначений, чтобы полноценно владеть данным «языком» графического описания бизнес-процессов.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 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b/>
          <w:bCs/>
          <w:color w:val="101010"/>
          <w:sz w:val="28"/>
          <w:szCs w:val="28"/>
          <w:lang w:eastAsia="ru-RU"/>
        </w:rPr>
        <w:t>Туннелированная стрелка</w:t>
      </w: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 - означает, что данные, передаваемые с помощью такой стрелки, не рассматриваются на родительской диаграмме и/или на дочерней диаграмме (в зависимости от того, какой конец стрелки обозначен туннелем).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noProof/>
          <w:color w:val="101010"/>
          <w:sz w:val="28"/>
          <w:szCs w:val="28"/>
          <w:lang w:eastAsia="ru-RU"/>
        </w:rPr>
        <w:drawing>
          <wp:inline distT="0" distB="0" distL="0" distR="0" wp14:anchorId="176D6EED" wp14:editId="5C4532BE">
            <wp:extent cx="2223135" cy="819785"/>
            <wp:effectExtent l="0" t="0" r="5715" b="0"/>
            <wp:docPr id="16" name="Рисунок 16" descr="IDEF0 туннелированная стрелка родительск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DEF0 туннелированная стрелка родительск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   </w:t>
      </w:r>
      <w:r w:rsidRPr="00AD15E8">
        <w:rPr>
          <w:rFonts w:ascii="Times New Roman" w:eastAsia="Times New Roman" w:hAnsi="Times New Roman" w:cs="Times New Roman"/>
          <w:noProof/>
          <w:color w:val="101010"/>
          <w:sz w:val="28"/>
          <w:szCs w:val="28"/>
          <w:lang w:eastAsia="ru-RU"/>
        </w:rPr>
        <w:drawing>
          <wp:inline distT="0" distB="0" distL="0" distR="0" wp14:anchorId="65B88926" wp14:editId="737266BF">
            <wp:extent cx="1765935" cy="1276985"/>
            <wp:effectExtent l="0" t="0" r="5715" b="0"/>
            <wp:docPr id="15" name="Рисунок 15" descr="IDEF0 туннелированная стрелка дочерня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DEF0 туннелированная стрелка дочерня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 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b/>
          <w:bCs/>
          <w:color w:val="101010"/>
          <w:sz w:val="28"/>
          <w:szCs w:val="28"/>
          <w:lang w:eastAsia="ru-RU"/>
        </w:rPr>
        <w:t>Внешняя ссылка </w:t>
      </w: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– элемент нотации, который обозначает некий субъект, некую сущность, которая находится вне границ моделируемой системы, за границами описываемого процесса. Внешняя ссылка выступает </w:t>
      </w: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lastRenderedPageBreak/>
        <w:t>как приемник или как источник стрелок в IDEF0 и обозначается на моделях (диаграммах) в виде маленького квадрата.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noProof/>
          <w:color w:val="101010"/>
          <w:sz w:val="28"/>
          <w:szCs w:val="28"/>
          <w:lang w:eastAsia="ru-RU"/>
        </w:rPr>
        <w:drawing>
          <wp:inline distT="0" distB="0" distL="0" distR="0" wp14:anchorId="2200E4DC" wp14:editId="17587DC1">
            <wp:extent cx="520065" cy="346710"/>
            <wp:effectExtent l="0" t="0" r="0" b="0"/>
            <wp:docPr id="14" name="Рисунок 14" descr="IDEF0 внешняя ссы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DEF0 внешняя ссыл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proofErr w:type="spellStart"/>
      <w:r w:rsidRPr="00AD15E8">
        <w:rPr>
          <w:rFonts w:ascii="Times New Roman" w:eastAsia="Times New Roman" w:hAnsi="Times New Roman" w:cs="Times New Roman"/>
          <w:b/>
          <w:bCs/>
          <w:color w:val="101010"/>
          <w:sz w:val="28"/>
          <w:szCs w:val="28"/>
          <w:lang w:eastAsia="ru-RU"/>
        </w:rPr>
        <w:t>Междиаграммная</w:t>
      </w:r>
      <w:proofErr w:type="spellEnd"/>
      <w:r w:rsidRPr="00AD15E8">
        <w:rPr>
          <w:rFonts w:ascii="Times New Roman" w:eastAsia="Times New Roman" w:hAnsi="Times New Roman" w:cs="Times New Roman"/>
          <w:b/>
          <w:bCs/>
          <w:color w:val="101010"/>
          <w:sz w:val="28"/>
          <w:szCs w:val="28"/>
          <w:lang w:eastAsia="ru-RU"/>
        </w:rPr>
        <w:t xml:space="preserve"> ссылка </w:t>
      </w: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– элемент нотации, обозначающий другую диаграмму (модель). </w:t>
      </w:r>
      <w:proofErr w:type="gramStart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Стрелка, поступающая на </w:t>
      </w:r>
      <w:proofErr w:type="spellStart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междиаграммную</w:t>
      </w:r>
      <w:proofErr w:type="spellEnd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 ссылку переходит</w:t>
      </w:r>
      <w:proofErr w:type="gramEnd"/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 xml:space="preserve"> на соответствующую диаграмму.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noProof/>
          <w:color w:val="101010"/>
          <w:sz w:val="28"/>
          <w:szCs w:val="28"/>
          <w:lang w:eastAsia="ru-RU"/>
        </w:rPr>
        <w:drawing>
          <wp:inline distT="0" distB="0" distL="0" distR="0" wp14:anchorId="3749E472" wp14:editId="28CDC115">
            <wp:extent cx="1198245" cy="520065"/>
            <wp:effectExtent l="0" t="0" r="1905" b="0"/>
            <wp:docPr id="13" name="Рисунок 13" descr="IDEF0 междиаграммная ссы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DEF0 междиаграммная ссыл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b/>
          <w:bCs/>
          <w:color w:val="101010"/>
          <w:sz w:val="28"/>
          <w:szCs w:val="28"/>
          <w:lang w:eastAsia="ru-RU"/>
        </w:rPr>
        <w:t>Процесс-ссылка</w:t>
      </w: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 – это элемент нотации, обозначающий ссылку на типовую модель процесса, в которую «зашита»/свернута модель наиболее часто повторяющегося процесса.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noProof/>
          <w:color w:val="101010"/>
          <w:sz w:val="28"/>
          <w:szCs w:val="28"/>
          <w:lang w:eastAsia="ru-RU"/>
        </w:rPr>
        <w:drawing>
          <wp:inline distT="0" distB="0" distL="0" distR="0" wp14:anchorId="3F32B5AE" wp14:editId="1770A85C">
            <wp:extent cx="1087755" cy="725170"/>
            <wp:effectExtent l="0" t="0" r="0" b="0"/>
            <wp:docPr id="12" name="Рисунок 12" descr="IDEF0 процесс-ссы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DEF0 процесс-ссылк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b/>
          <w:bCs/>
          <w:color w:val="101010"/>
          <w:sz w:val="28"/>
          <w:szCs w:val="28"/>
          <w:lang w:eastAsia="ru-RU"/>
        </w:rPr>
        <w:t>Сноска </w:t>
      </w: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– элемент нотации, предназначенный для вынесения в сторону от основных элементов диаграммы каких-либо комментариев.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noProof/>
          <w:color w:val="101010"/>
          <w:sz w:val="28"/>
          <w:szCs w:val="28"/>
          <w:lang w:eastAsia="ru-RU"/>
        </w:rPr>
        <w:drawing>
          <wp:inline distT="0" distB="0" distL="0" distR="0" wp14:anchorId="41D68BC7" wp14:editId="5EBD2164">
            <wp:extent cx="1119505" cy="583565"/>
            <wp:effectExtent l="0" t="0" r="4445" b="6985"/>
            <wp:docPr id="11" name="Рисунок 11" descr="IDEF0 сно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DEF0 сноск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E8" w:rsidRPr="00AD15E8" w:rsidRDefault="00AD15E8" w:rsidP="00AD15E8">
      <w:pPr>
        <w:shd w:val="clear" w:color="auto" w:fill="F9F9F9"/>
        <w:spacing w:before="75" w:after="15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eastAsia="ru-RU"/>
        </w:rPr>
        <w:t>Правила нотации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Правила нотации IDEF0 также не представляют глобальной и сложной истории.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t>Функции/процессы (прямоугольники) классически располагаются по диагонали слева направо и сверху вниз – это так называемый принцип доминирования. Понимается это так, что блоки (функции/процессы), расположенные вверху слева доминируют над остальными. Доминируют – оказывают большее влияние.</w:t>
      </w:r>
    </w:p>
    <w:p w:rsidR="00AD15E8" w:rsidRPr="00AD15E8" w:rsidRDefault="00AD15E8" w:rsidP="00AD15E8">
      <w:pPr>
        <w:shd w:val="clear" w:color="auto" w:fill="F9F9F9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</w:pPr>
      <w:r w:rsidRPr="00AD15E8">
        <w:rPr>
          <w:rFonts w:ascii="Times New Roman" w:eastAsia="Times New Roman" w:hAnsi="Times New Roman" w:cs="Times New Roman"/>
          <w:color w:val="101010"/>
          <w:sz w:val="28"/>
          <w:szCs w:val="28"/>
          <w:lang w:eastAsia="ru-RU"/>
        </w:rPr>
        <w:lastRenderedPageBreak/>
        <w:t>Бизнес-процессы верхнего уровня, смоделированные в IDEF0, могут быть декомпозированы до процессов нижних уровней как в той же нотации IDEF0, так и в других: BPMN 2.0 и EPC.</w:t>
      </w:r>
    </w:p>
    <w:p w:rsidR="00EA394F" w:rsidRPr="00AD15E8" w:rsidRDefault="00EA394F" w:rsidP="00EA394F">
      <w:pPr>
        <w:pStyle w:val="a3"/>
        <w:shd w:val="clear" w:color="auto" w:fill="FFFFFF"/>
        <w:spacing w:before="0" w:beforeAutospacing="0" w:after="240" w:afterAutospacing="0" w:line="360" w:lineRule="auto"/>
        <w:ind w:firstLine="709"/>
        <w:rPr>
          <w:spacing w:val="2"/>
          <w:sz w:val="28"/>
          <w:szCs w:val="28"/>
        </w:rPr>
      </w:pPr>
    </w:p>
    <w:sectPr w:rsidR="00EA394F" w:rsidRPr="00AD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D65"/>
    <w:multiLevelType w:val="multilevel"/>
    <w:tmpl w:val="9D6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C8"/>
    <w:rsid w:val="009650C9"/>
    <w:rsid w:val="00A070C8"/>
    <w:rsid w:val="00A85BCD"/>
    <w:rsid w:val="00AD15E8"/>
    <w:rsid w:val="00B062DB"/>
    <w:rsid w:val="00E3307D"/>
    <w:rsid w:val="00EA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1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1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39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D15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15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AD15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1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1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39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D15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15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AD1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0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028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2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48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1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2022-06-21T11:59:00Z</dcterms:created>
  <dcterms:modified xsi:type="dcterms:W3CDTF">2022-06-21T15:50:00Z</dcterms:modified>
</cp:coreProperties>
</file>