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4A86"/>
          <w:sz w:val="34"/>
        </w:rPr>
        <w:t>Vertrag zur Auftragsverarbeitung (AVV)</w:t>
      </w:r>
    </w:p>
    <w:p>
      <w:pPr>
        <w:spacing w:after="200"/>
      </w:pPr>
      <w:r>
        <w:rPr>
          <w:color w:val="5A6675"/>
          <w:sz w:val="22"/>
        </w:rPr>
        <w:t>gemäß Art. 28 der Datenschutz-Grundverordnung (DSGVO)</w:t>
      </w:r>
    </w:p>
    <w:tbl>
      <w:tblPr>
        <w:tblW w:type="auto" w:w="0"/>
        <w:jc w:val="center"/>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9412"/>
      </w:tblGrid>
      <w:tr>
        <w:tc>
          <w:tcPr>
            <w:tcW w:type="dxa" w:w="9412"/>
            <w:shd w:val="clear" w:fill="FCEDEA"/>
          </w:tcPr>
          <w:p>
            <w:pPr>
              <w:spacing w:after="40"/>
            </w:pPr>
            <w:r/>
            <w:r>
              <w:rPr>
                <w:b/>
                <w:color w:val="B5391F"/>
                <w:sz w:val="20"/>
              </w:rPr>
              <w:t>Mustervorlage – keine Rechtsberatung</w:t>
            </w:r>
          </w:p>
          <w:p>
            <w:pPr>
              <w:spacing w:after="40"/>
            </w:pPr>
            <w:r>
              <w:rPr>
                <w:b w:val="0"/>
                <w:sz w:val="18"/>
              </w:rPr>
              <w:t>Dieses Dokument ist eine sorgfältig erstellte, marktübliche Vorlage. Es ersetzt keine anwaltliche Prüfung. Vor dem produktiven Einsatz mit echten Kundendaten von einem Rechtsanwalt oder Datenschutzbeauftragten prüfen und an den konkreten Einzelfall anpassen lassen.</w:t>
            </w:r>
          </w:p>
        </w:tc>
      </w:tr>
    </w:tbl>
    <w:p>
      <w:pPr>
        <w:spacing w:after="40"/>
      </w:pPr>
    </w:p>
    <w:p>
      <w:pPr>
        <w:spacing w:before="200" w:after="80"/>
      </w:pPr>
      <w:r>
        <w:rPr>
          <w:b/>
          <w:color w:val="0B4A86"/>
          <w:sz w:val="24"/>
        </w:rPr>
        <w:t>Zwischen den Vertragsparteien</w:t>
      </w:r>
    </w:p>
    <w:p>
      <w:pPr>
        <w:spacing w:after="60"/>
      </w:pPr>
      <w:r>
        <w:rPr>
          <w:b/>
          <w:i w:val="0"/>
          <w:sz w:val="20"/>
        </w:rPr>
        <w:t>Verantwortlicher (Auftraggeber / Kunde) – nachfolgend „Verantwortlicher“:</w:t>
      </w:r>
    </w:p>
    <w:tbl>
      <w:tblPr>
        <w:tblW w:type="auto" w:w="0"/>
        <w:jc w:val="center"/>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706"/>
        <w:gridCol w:w="4706"/>
      </w:tblGrid>
      <w:tr>
        <w:tc>
          <w:tcPr>
            <w:tcW w:type="dxa" w:w="3118"/>
          </w:tcPr>
          <w:p>
            <w:r>
              <w:rPr>
                <w:b/>
                <w:sz w:val="18"/>
              </w:rPr>
              <w:t>Firma / Name</w:t>
            </w:r>
          </w:p>
        </w:tc>
        <w:tc>
          <w:tcPr>
            <w:tcW w:type="dxa" w:w="6973"/>
          </w:tcPr>
          <w:p>
            <w:r>
              <w:rPr>
                <w:sz w:val="18"/>
              </w:rPr>
              <w:t>____________________________________________</w:t>
            </w:r>
          </w:p>
        </w:tc>
      </w:tr>
      <w:tr>
        <w:tc>
          <w:tcPr>
            <w:tcW w:type="dxa" w:w="3118"/>
          </w:tcPr>
          <w:p>
            <w:r>
              <w:rPr>
                <w:b/>
                <w:sz w:val="18"/>
              </w:rPr>
              <w:t>Anschrift</w:t>
            </w:r>
          </w:p>
        </w:tc>
        <w:tc>
          <w:tcPr>
            <w:tcW w:type="dxa" w:w="6973"/>
          </w:tcPr>
          <w:p>
            <w:r>
              <w:rPr>
                <w:sz w:val="18"/>
              </w:rPr>
              <w:t>____________________________________________</w:t>
            </w:r>
          </w:p>
        </w:tc>
      </w:tr>
      <w:tr>
        <w:tc>
          <w:tcPr>
            <w:tcW w:type="dxa" w:w="3118"/>
          </w:tcPr>
          <w:p>
            <w:r>
              <w:rPr>
                <w:b/>
                <w:sz w:val="18"/>
              </w:rPr>
              <w:t>Vertreten durch</w:t>
            </w:r>
          </w:p>
        </w:tc>
        <w:tc>
          <w:tcPr>
            <w:tcW w:type="dxa" w:w="6973"/>
          </w:tcPr>
          <w:p>
            <w:r>
              <w:rPr>
                <w:sz w:val="18"/>
              </w:rPr>
              <w:t>____________________________________________</w:t>
            </w:r>
          </w:p>
        </w:tc>
      </w:tr>
      <w:tr>
        <w:tc>
          <w:tcPr>
            <w:tcW w:type="dxa" w:w="3118"/>
          </w:tcPr>
          <w:p>
            <w:r>
              <w:rPr>
                <w:b/>
                <w:sz w:val="18"/>
              </w:rPr>
              <w:t>E-Mail / Telefon</w:t>
            </w:r>
          </w:p>
        </w:tc>
        <w:tc>
          <w:tcPr>
            <w:tcW w:type="dxa" w:w="6973"/>
          </w:tcPr>
          <w:p>
            <w:r>
              <w:rPr>
                <w:sz w:val="18"/>
              </w:rPr>
              <w:t>____________________________________________</w:t>
            </w:r>
          </w:p>
        </w:tc>
      </w:tr>
    </w:tbl>
    <w:p>
      <w:pPr>
        <w:spacing w:after="40"/>
      </w:pPr>
    </w:p>
    <w:p>
      <w:pPr>
        <w:spacing w:after="60"/>
      </w:pPr>
      <w:r>
        <w:rPr>
          <w:b/>
          <w:i w:val="0"/>
          <w:sz w:val="20"/>
        </w:rPr>
        <w:t>Auftragsverarbeiter (Anbieter) – nachfolgend „Auftragsverarbeiter“:</w:t>
      </w:r>
    </w:p>
    <w:tbl>
      <w:tblPr>
        <w:tblW w:type="auto" w:w="0"/>
        <w:jc w:val="center"/>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706"/>
        <w:gridCol w:w="4706"/>
      </w:tblGrid>
      <w:tr>
        <w:tc>
          <w:tcPr>
            <w:tcW w:type="dxa" w:w="3118"/>
          </w:tcPr>
          <w:p>
            <w:r>
              <w:rPr>
                <w:b/>
                <w:sz w:val="18"/>
              </w:rPr>
              <w:t>Firma / Name</w:t>
            </w:r>
          </w:p>
        </w:tc>
        <w:tc>
          <w:tcPr>
            <w:tcW w:type="dxa" w:w="6973"/>
          </w:tcPr>
          <w:p>
            <w:r>
              <w:rPr>
                <w:sz w:val="18"/>
              </w:rPr>
              <w:t>[Anbieter-Firma], Inhaber: [Vor- und Nachname]</w:t>
            </w:r>
          </w:p>
        </w:tc>
      </w:tr>
      <w:tr>
        <w:tc>
          <w:tcPr>
            <w:tcW w:type="dxa" w:w="3118"/>
          </w:tcPr>
          <w:p>
            <w:r>
              <w:rPr>
                <w:b/>
                <w:sz w:val="18"/>
              </w:rPr>
              <w:t>Anschrift</w:t>
            </w:r>
          </w:p>
        </w:tc>
        <w:tc>
          <w:tcPr>
            <w:tcW w:type="dxa" w:w="6973"/>
          </w:tcPr>
          <w:p>
            <w:r>
              <w:rPr>
                <w:sz w:val="18"/>
              </w:rPr>
              <w:t>[Straße, PLZ, Ort]</w:t>
            </w:r>
          </w:p>
        </w:tc>
      </w:tr>
      <w:tr>
        <w:tc>
          <w:tcPr>
            <w:tcW w:type="dxa" w:w="3118"/>
          </w:tcPr>
          <w:p>
            <w:r>
              <w:rPr>
                <w:b/>
                <w:sz w:val="18"/>
              </w:rPr>
              <w:t>Vertreten durch</w:t>
            </w:r>
          </w:p>
        </w:tc>
        <w:tc>
          <w:tcPr>
            <w:tcW w:type="dxa" w:w="6973"/>
          </w:tcPr>
          <w:p>
            <w:r>
              <w:rPr>
                <w:sz w:val="18"/>
              </w:rPr>
              <w:t>[Inhaber / Geschäftsführung]</w:t>
            </w:r>
          </w:p>
        </w:tc>
      </w:tr>
      <w:tr>
        <w:tc>
          <w:tcPr>
            <w:tcW w:type="dxa" w:w="3118"/>
          </w:tcPr>
          <w:p>
            <w:r>
              <w:rPr>
                <w:b/>
                <w:sz w:val="18"/>
              </w:rPr>
              <w:t>E-Mail / Telefon</w:t>
            </w:r>
          </w:p>
        </w:tc>
        <w:tc>
          <w:tcPr>
            <w:tcW w:type="dxa" w:w="6973"/>
          </w:tcPr>
          <w:p>
            <w:r>
              <w:rPr>
                <w:sz w:val="18"/>
              </w:rPr>
              <w:t>[Kontakt]</w:t>
            </w:r>
          </w:p>
        </w:tc>
      </w:tr>
    </w:tbl>
    <w:p>
      <w:pPr>
        <w:spacing w:after="40"/>
      </w:pPr>
    </w:p>
    <w:p>
      <w:pPr>
        <w:spacing w:after="160"/>
      </w:pPr>
      <w:r>
        <w:rPr>
          <w:b w:val="0"/>
          <w:i/>
          <w:color w:val="5A6675"/>
          <w:sz w:val="20"/>
        </w:rPr>
        <w:t>– nachfolgend gemeinsam die „Parteien“ –</w:t>
      </w:r>
    </w:p>
    <w:p>
      <w:pPr>
        <w:spacing w:before="240" w:after="80"/>
      </w:pPr>
      <w:r>
        <w:rPr>
          <w:b/>
          <w:color w:val="0B4A86"/>
          <w:sz w:val="24"/>
        </w:rPr>
        <w:t>Präambel</w:t>
      </w:r>
    </w:p>
    <w:p>
      <w:pPr>
        <w:spacing w:after="120"/>
      </w:pPr>
      <w:r>
        <w:rPr>
          <w:b w:val="0"/>
          <w:i w:val="0"/>
          <w:sz w:val="20"/>
        </w:rPr>
        <w:t>Der Auftragsverarbeiter stellt dem Verantwortlichen eine webbasierte Software zur Verwaltung von Mitarbeiter- und Personaldaten („Personal-Modul“) als Software-as-a-Service bereit und betreibt die hierfür erforderliche IT-Infrastruktur. Dabei verarbeitet der Auftragsverarbeiter personenbezogene Daten ausschließlich im Auftrag und nach Weisung des Verantwortlichen. Dieser Vertrag konkretisiert die datenschutzrechtlichen Pflichten der Parteien gemäß Art. 28 DSGVO. Er ist Bestandteil des zwischen den Parteien geschlossenen Hauptvertrags (Nutzungs-/Dienstleistungsvertrag).</w:t>
      </w:r>
    </w:p>
    <w:p>
      <w:pPr>
        <w:spacing w:before="240" w:after="80"/>
      </w:pPr>
      <w:r>
        <w:rPr>
          <w:b/>
          <w:color w:val="0B4A86"/>
          <w:sz w:val="24"/>
        </w:rPr>
        <w:t>§ 1 Gegenstand und Dauer des Auftrags</w:t>
      </w:r>
    </w:p>
    <w:p>
      <w:pPr>
        <w:pStyle w:val="ListNumber"/>
        <w:spacing w:after="60"/>
      </w:pPr>
      <w:r>
        <w:rPr>
          <w:sz w:val="20"/>
        </w:rPr>
        <w:t>Gegenstand des Auftrags ist die Verarbeitung personenbezogener Daten durch den Auftragsverarbeiter für den Verantwortlichen im Rahmen der Bereitstellung und des Betriebs des Personal-Moduls (Hosting, Speicherung, Wartung, Support).</w:t>
      </w:r>
    </w:p>
    <w:p>
      <w:pPr>
        <w:pStyle w:val="ListNumber"/>
        <w:spacing w:after="60"/>
      </w:pPr>
      <w:r>
        <w:rPr>
          <w:sz w:val="20"/>
        </w:rPr>
        <w:t>Die Dauer dieses Vertrags entspricht der Laufzeit des Hauptvertrags. Er endet automatisch mit dessen Beendigung, ohne dass es einer gesonderten Kündigung bedarf; die Pflichten zur Löschung/Rückgabe nach § 10 bleiben hiervon unberührt.</w:t>
      </w:r>
    </w:p>
    <w:p>
      <w:pPr>
        <w:spacing w:before="240" w:after="80"/>
      </w:pPr>
      <w:r>
        <w:rPr>
          <w:b/>
          <w:color w:val="0B4A86"/>
          <w:sz w:val="24"/>
        </w:rPr>
        <w:t>§ 2 Art, Umfang und Zweck der Verarbeitung; betroffene Personen und Datenarten</w:t>
      </w:r>
    </w:p>
    <w:p>
      <w:pPr>
        <w:spacing w:after="80"/>
      </w:pPr>
      <w:r>
        <w:rPr>
          <w:b w:val="0"/>
          <w:i w:val="0"/>
          <w:sz w:val="20"/>
        </w:rPr>
        <w:t>Der Auftragsverarbeiter verarbeitet personenbezogene Daten im folgenden Rahmen. Eine Übermittlung in ein Drittland außerhalb der EU/des EWR findet nicht statt.</w:t>
      </w:r>
    </w:p>
    <w:tbl>
      <w:tblPr>
        <w:tblW w:type="auto" w:w="0"/>
        <w:jc w:val="center"/>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706"/>
        <w:gridCol w:w="4706"/>
      </w:tblGrid>
      <w:tr>
        <w:tc>
          <w:tcPr>
            <w:tcW w:type="dxa" w:w="3118"/>
            <w:shd w:val="clear" w:fill="0B4A86"/>
          </w:tcPr>
          <w:p>
            <w:r>
              <w:rPr>
                <w:b/>
                <w:color w:val="FFFFFF"/>
                <w:sz w:val="18"/>
              </w:rPr>
              <w:t>Merkmal</w:t>
            </w:r>
          </w:p>
        </w:tc>
        <w:tc>
          <w:tcPr>
            <w:tcW w:type="dxa" w:w="6973"/>
            <w:shd w:val="clear" w:fill="0B4A86"/>
          </w:tcPr>
          <w:p>
            <w:r>
              <w:rPr>
                <w:b/>
                <w:color w:val="FFFFFF"/>
                <w:sz w:val="18"/>
              </w:rPr>
              <w:t>Beschreibung</w:t>
            </w:r>
          </w:p>
        </w:tc>
      </w:tr>
      <w:tr>
        <w:tc>
          <w:tcPr>
            <w:tcW w:type="dxa" w:w="3118"/>
          </w:tcPr>
          <w:p>
            <w:r>
              <w:rPr>
                <w:b/>
                <w:sz w:val="18"/>
              </w:rPr>
              <w:t>Zweck der Verarbeitung</w:t>
            </w:r>
          </w:p>
        </w:tc>
        <w:tc>
          <w:tcPr>
            <w:tcW w:type="dxa" w:w="6973"/>
          </w:tcPr>
          <w:p>
            <w:r>
              <w:rPr>
                <w:sz w:val="18"/>
              </w:rPr>
              <w:t>Bereitstellung, Betrieb und Wartung der Personalverwaltungs-Software im Auftrag des Verantwortlichen</w:t>
            </w:r>
          </w:p>
        </w:tc>
      </w:tr>
      <w:tr>
        <w:tc>
          <w:tcPr>
            <w:tcW w:type="dxa" w:w="3118"/>
          </w:tcPr>
          <w:p>
            <w:r>
              <w:rPr>
                <w:b/>
                <w:sz w:val="18"/>
              </w:rPr>
              <w:t>Art der Verarbeitung</w:t>
            </w:r>
          </w:p>
        </w:tc>
        <w:tc>
          <w:tcPr>
            <w:tcW w:type="dxa" w:w="6973"/>
          </w:tcPr>
          <w:p>
            <w:r>
              <w:rPr>
                <w:sz w:val="18"/>
              </w:rPr>
              <w:t>Erheben, Speichern, Anzeigen, Ändern, Löschen, Sichern (Backup), Übermitteln innerhalb der Anwendung</w:t>
            </w:r>
          </w:p>
        </w:tc>
      </w:tr>
      <w:tr>
        <w:tc>
          <w:tcPr>
            <w:tcW w:type="dxa" w:w="3118"/>
          </w:tcPr>
          <w:p>
            <w:r>
              <w:rPr>
                <w:b/>
                <w:sz w:val="18"/>
              </w:rPr>
              <w:t>Kategorien betroffener Personen</w:t>
            </w:r>
          </w:p>
        </w:tc>
        <w:tc>
          <w:tcPr>
            <w:tcW w:type="dxa" w:w="6973"/>
          </w:tcPr>
          <w:p>
            <w:r>
              <w:rPr>
                <w:sz w:val="18"/>
              </w:rPr>
              <w:t>Beschäftigte des Verantwortlichen (Mitarbeitende, ggf. Bewerber), Vorgesetzte</w:t>
            </w:r>
          </w:p>
        </w:tc>
      </w:tr>
      <w:tr>
        <w:tc>
          <w:tcPr>
            <w:tcW w:type="dxa" w:w="3118"/>
          </w:tcPr>
          <w:p>
            <w:r>
              <w:rPr>
                <w:b/>
                <w:sz w:val="18"/>
              </w:rPr>
              <w:t>Kategorien personenbezogener Daten</w:t>
            </w:r>
          </w:p>
        </w:tc>
        <w:tc>
          <w:tcPr>
            <w:tcW w:type="dxa" w:w="6973"/>
          </w:tcPr>
          <w:p>
            <w:r>
              <w:rPr>
                <w:sz w:val="18"/>
              </w:rPr>
              <w:t>Stammdaten (Name, Kontakt), Personal-/Organisationsdaten (Funktion, Vorgesetzte, Eintritt), frei definierbare Zusatzfelder; ggf. weitere vom Verantwortlichen eingegebene Daten</w:t>
            </w:r>
          </w:p>
        </w:tc>
      </w:tr>
      <w:tr>
        <w:tc>
          <w:tcPr>
            <w:tcW w:type="dxa" w:w="3118"/>
          </w:tcPr>
          <w:p>
            <w:r>
              <w:rPr>
                <w:b/>
                <w:sz w:val="18"/>
              </w:rPr>
              <w:t>Besondere Kategorien (Art. 9)</w:t>
            </w:r>
          </w:p>
        </w:tc>
        <w:tc>
          <w:tcPr>
            <w:tcW w:type="dxa" w:w="6973"/>
          </w:tcPr>
          <w:p>
            <w:r>
              <w:rPr>
                <w:sz w:val="18"/>
              </w:rPr>
              <w:t>Nur, soweit der Verantwortliche solche Daten eigenverantwortlich eingibt (z. B. Gesundheitsdaten); dann mit erhöhten Schutzmaßnahmen</w:t>
            </w:r>
          </w:p>
        </w:tc>
      </w:tr>
    </w:tbl>
    <w:p>
      <w:pPr>
        <w:spacing w:after="40"/>
      </w:pPr>
    </w:p>
    <w:p>
      <w:pPr>
        <w:spacing w:before="240" w:after="80"/>
      </w:pPr>
      <w:r>
        <w:rPr>
          <w:b/>
          <w:color w:val="0B4A86"/>
          <w:sz w:val="24"/>
        </w:rPr>
        <w:t>§ 3 Weisungsrecht des Verantwortlichen</w:t>
      </w:r>
    </w:p>
    <w:p>
      <w:pPr>
        <w:pStyle w:val="ListNumber"/>
        <w:spacing w:after="60"/>
      </w:pPr>
      <w:r>
        <w:rPr>
          <w:sz w:val="20"/>
        </w:rPr>
        <w:t>Der Auftragsverarbeiter verarbeitet die Daten ausschließlich im Rahmen der getroffenen Vereinbarungen und nach dokumentierten Weisungen des Verantwortlichen, es sei denn, er ist gesetzlich zu einer anderweitigen Verarbeitung verpflichtet (Art. 28 Abs. 3 lit. a DSGVO).</w:t>
      </w:r>
    </w:p>
    <w:p>
      <w:pPr>
        <w:pStyle w:val="ListNumber"/>
        <w:spacing w:after="60"/>
      </w:pPr>
      <w:r>
        <w:rPr>
          <w:sz w:val="20"/>
        </w:rPr>
        <w:t>Weisungen erfolgen grundsätzlich in Textform. Mündliche Weisungen sind unverzüglich in Textform zu bestätigen.</w:t>
      </w:r>
    </w:p>
    <w:p>
      <w:pPr>
        <w:pStyle w:val="ListNumber"/>
        <w:spacing w:after="60"/>
      </w:pPr>
      <w:r>
        <w:rPr>
          <w:sz w:val="20"/>
        </w:rPr>
        <w:t>Der Auftragsverarbeiter informiert den Verantwortlichen unverzüglich, wenn er der Auffassung ist, dass eine Weisung gegen geltendes Datenschutzrecht verstößt (Art. 28 Abs. 3 S. 3 DSGVO). Er ist berechtigt, die Durchführung der betreffenden Weisung auszusetzen, bis sie bestätigt oder geändert wird.</w:t>
      </w:r>
    </w:p>
    <w:p>
      <w:pPr>
        <w:spacing w:before="240" w:after="80"/>
      </w:pPr>
      <w:r>
        <w:rPr>
          <w:b/>
          <w:color w:val="0B4A86"/>
          <w:sz w:val="24"/>
        </w:rPr>
        <w:t>§ 4 Pflichten des Auftragsverarbeiters</w:t>
      </w:r>
    </w:p>
    <w:p>
      <w:pPr>
        <w:pStyle w:val="ListNumber"/>
        <w:spacing w:after="60"/>
      </w:pPr>
      <w:r>
        <w:rPr>
          <w:sz w:val="20"/>
        </w:rPr>
        <w:t>Vertraulichkeit: Der Auftragsverarbeiter setzt zur Verarbeitung nur Beschäftigte ein, die auf das Datengeheimnis verpflichtet und mit den einschlägigen Datenschutzbestimmungen vertraut gemacht wurden (Art. 28 Abs. 3 lit. b, Art. 29, Art. 32 Abs. 4 DSGVO).</w:t>
      </w:r>
    </w:p>
    <w:p>
      <w:pPr>
        <w:pStyle w:val="ListNumber"/>
        <w:spacing w:after="60"/>
      </w:pPr>
      <w:r>
        <w:rPr>
          <w:sz w:val="20"/>
        </w:rPr>
        <w:t>Datensicherheit: Der Auftragsverarbeiter trifft die technischen und organisatorischen Maßnahmen nach Art. 32 DSGVO gemäß Anlage 1 und hält diese während der Vertragslaufzeit auf dem Stand der Technik.</w:t>
      </w:r>
    </w:p>
    <w:p>
      <w:pPr>
        <w:pStyle w:val="ListNumber"/>
        <w:spacing w:after="60"/>
      </w:pPr>
      <w:r>
        <w:rPr>
          <w:sz w:val="20"/>
        </w:rPr>
        <w:t>Unterstützung: Der Auftragsverarbeiter unterstützt den Verantwortlichen im Rahmen seiner Möglichkeiten bei der Erfüllung der Betroffenenrechte (§ 7) sowie der Pflichten nach Art. 32 bis 36 DSGVO (Sicherheit, Meldepflichten, Datenschutz-Folgenabschätzung).</w:t>
      </w:r>
    </w:p>
    <w:p>
      <w:pPr>
        <w:pStyle w:val="ListNumber"/>
        <w:spacing w:after="60"/>
      </w:pPr>
      <w:r>
        <w:rPr>
          <w:sz w:val="20"/>
        </w:rPr>
        <w:t>Meldung: Der Auftragsverarbeiter meldet Verletzungen des Schutzes personenbezogener Daten gemäß § 8.</w:t>
      </w:r>
    </w:p>
    <w:p>
      <w:pPr>
        <w:pStyle w:val="ListNumber"/>
        <w:spacing w:after="60"/>
      </w:pPr>
      <w:r>
        <w:rPr>
          <w:sz w:val="20"/>
        </w:rPr>
        <w:t>Datenschutzbeauftragter: Sofern gesetzlich erforderlich, benennt der Auftragsverarbeiter einen Datenschutzbeauftragten und teilt dessen Kontaktdaten mit. Andernfalls benennt er eine für den Datenschutz zuständige Ansprechperson.</w:t>
      </w:r>
    </w:p>
    <w:p>
      <w:pPr>
        <w:pStyle w:val="ListNumber"/>
        <w:spacing w:after="60"/>
      </w:pPr>
      <w:r>
        <w:rPr>
          <w:sz w:val="20"/>
        </w:rPr>
        <w:t>Nachweis: Der Auftragsverarbeiter stellt dem Verantwortlichen alle erforderlichen Informationen zum Nachweis der Einhaltung der Pflichten aus Art. 28 DSGVO zur Verfügung und ermöglicht Überprüfungen gemäß § 9.</w:t>
      </w:r>
    </w:p>
    <w:p>
      <w:pPr>
        <w:pStyle w:val="ListNumber"/>
        <w:spacing w:after="60"/>
      </w:pPr>
      <w:r>
        <w:rPr>
          <w:sz w:val="20"/>
        </w:rPr>
        <w:t>Verzeichnis: Der Auftragsverarbeiter führt ein Verzeichnis aller Kategorien von im Auftrag durchgeführten Verarbeitungstätigkeiten nach Art. 30 Abs. 2 DSGVO.</w:t>
      </w:r>
    </w:p>
    <w:p>
      <w:pPr>
        <w:spacing w:before="240" w:after="80"/>
      </w:pPr>
      <w:r>
        <w:rPr>
          <w:b/>
          <w:color w:val="0B4A86"/>
          <w:sz w:val="24"/>
        </w:rPr>
        <w:t>§ 5 Technische und organisatorische Maßnahmen (TOM)</w:t>
      </w:r>
    </w:p>
    <w:p>
      <w:pPr>
        <w:pStyle w:val="ListNumber"/>
        <w:spacing w:after="60"/>
      </w:pPr>
      <w:r>
        <w:rPr>
          <w:sz w:val="20"/>
        </w:rPr>
        <w:t>Der Auftragsverarbeiter gewährleistet die in Anlage 1 beschriebenen technischen und organisatorischen Maßnahmen nach Art. 32 DSGVO.</w:t>
      </w:r>
    </w:p>
    <w:p>
      <w:pPr>
        <w:pStyle w:val="ListNumber"/>
        <w:spacing w:after="60"/>
      </w:pPr>
      <w:r>
        <w:rPr>
          <w:sz w:val="20"/>
        </w:rPr>
        <w:t>Die Maßnahmen können im Lauf des Vertragsverhältnisses an den technischen Fortschritt angepasst werden, dürfen das vereinbarte Schutzniveau jedoch nicht unterschreiten. Wesentliche Änderungen werden dem Verantwortlichen mitgeteilt.</w:t>
      </w:r>
    </w:p>
    <w:p>
      <w:pPr>
        <w:spacing w:before="240" w:after="80"/>
      </w:pPr>
      <w:r>
        <w:rPr>
          <w:b/>
          <w:color w:val="0B4A86"/>
          <w:sz w:val="24"/>
        </w:rPr>
        <w:t>§ 6 Unterauftragsverhältnisse</w:t>
      </w:r>
    </w:p>
    <w:p>
      <w:pPr>
        <w:pStyle w:val="ListNumber"/>
        <w:spacing w:after="60"/>
      </w:pPr>
      <w:r>
        <w:rPr>
          <w:sz w:val="20"/>
        </w:rPr>
        <w:t>Der Verantwortliche stimmt dem Einsatz der in Anlage 2 genannten Unterauftragsverarbeiter zu (allgemeine schriftliche Genehmigung gemäß Art. 28 Abs. 2 DSGVO).</w:t>
      </w:r>
    </w:p>
    <w:p>
      <w:pPr>
        <w:pStyle w:val="ListNumber"/>
        <w:spacing w:after="60"/>
      </w:pPr>
      <w:r>
        <w:rPr>
          <w:sz w:val="20"/>
        </w:rPr>
        <w:t>Ein Wechsel oder die Hinzunahme weiterer Unterauftragsverarbeiter wird dem Verantwortlichen vorab in Textform mitgeteilt. Der Verantwortliche kann einer Änderung aus wichtigem, datenschutzrechtlichem Grund innerhalb von 14 Tagen widersprechen.</w:t>
      </w:r>
    </w:p>
    <w:p>
      <w:pPr>
        <w:pStyle w:val="ListNumber"/>
        <w:spacing w:after="60"/>
      </w:pPr>
      <w:r>
        <w:rPr>
          <w:sz w:val="20"/>
        </w:rPr>
        <w:t>Der Auftragsverarbeiter verpflichtet jeden Unterauftragsverarbeiter vertraglich auf Datenschutzpflichten, die denen dieses Vertrags entsprechen (Art. 28 Abs. 4 DSGVO).</w:t>
      </w:r>
    </w:p>
    <w:p>
      <w:pPr>
        <w:pStyle w:val="ListNumber"/>
        <w:spacing w:after="60"/>
      </w:pPr>
      <w:r>
        <w:rPr>
          <w:sz w:val="20"/>
        </w:rPr>
        <w:t>Nicht als Unterauftragsverarbeitung gelten Neben-/Hilfsleistungen Dritter (z. B. Telekommunikation, Wartung). Insoweit stellt der Auftragsverarbeiter angemessene vertragliche Vereinbarungen und Kontrollmaßnahmen sicher.</w:t>
      </w:r>
    </w:p>
    <w:p>
      <w:pPr>
        <w:spacing w:before="240" w:after="80"/>
      </w:pPr>
      <w:r>
        <w:rPr>
          <w:b/>
          <w:color w:val="0B4A86"/>
          <w:sz w:val="24"/>
        </w:rPr>
        <w:t>§ 7 Wahrung der Betroffenenrechte</w:t>
      </w:r>
    </w:p>
    <w:p>
      <w:pPr>
        <w:pStyle w:val="ListNumber"/>
        <w:spacing w:after="60"/>
      </w:pPr>
      <w:r>
        <w:rPr>
          <w:sz w:val="20"/>
        </w:rPr>
        <w:t>Der Auftragsverarbeiter unterstützt den Verantwortlichen mit geeigneten technischen und organisatorischen Maßnahmen dabei, Anträge betroffener Personen auf Auskunft, Berichtigung, Löschung, Einschränkung, Datenübertragbarkeit und Widerspruch zu erfüllen (Art. 12 bis 23 DSGVO).</w:t>
      </w:r>
    </w:p>
    <w:p>
      <w:pPr>
        <w:pStyle w:val="ListNumber"/>
        <w:spacing w:after="60"/>
      </w:pPr>
      <w:r>
        <w:rPr>
          <w:sz w:val="20"/>
        </w:rPr>
        <w:t>Wendet sich eine betroffene Person unmittelbar an den Auftragsverarbeiter, leitet dieser das Anliegen unverzüglich an den Verantwortlichen weiter und beantwortet es nicht selbst.</w:t>
      </w:r>
    </w:p>
    <w:p>
      <w:pPr>
        <w:pStyle w:val="ListNumber"/>
        <w:spacing w:after="60"/>
      </w:pPr>
      <w:r>
        <w:rPr>
          <w:sz w:val="20"/>
        </w:rPr>
        <w:t>Stellt der Verantwortliche die Daten nicht selbst über die Anwendung bereit/löschen kann, führt der Auftragsverarbeiter entsprechende Maßnahmen nach Weisung aus.</w:t>
      </w:r>
    </w:p>
    <w:p>
      <w:pPr>
        <w:spacing w:before="240" w:after="80"/>
      </w:pPr>
      <w:r>
        <w:rPr>
          <w:b/>
          <w:color w:val="0B4A86"/>
          <w:sz w:val="24"/>
        </w:rPr>
        <w:t>§ 8 Meldung von Verletzungen des Schutzes personenbezogener Daten</w:t>
      </w:r>
    </w:p>
    <w:p>
      <w:pPr>
        <w:pStyle w:val="ListNumber"/>
        <w:spacing w:after="60"/>
      </w:pPr>
      <w:r>
        <w:rPr>
          <w:sz w:val="20"/>
        </w:rPr>
        <w:t>Der Auftragsverarbeiter informiert den Verantwortlichen unverzüglich, spätestens innerhalb von 24 Stunden nach Bekanntwerden, über Verletzungen des Schutzes personenbezogener Daten in seinem Verantwortungsbereich (Art. 33 Abs. 2 DSGVO).</w:t>
      </w:r>
    </w:p>
    <w:p>
      <w:pPr>
        <w:pStyle w:val="ListNumber"/>
        <w:spacing w:after="60"/>
      </w:pPr>
      <w:r>
        <w:rPr>
          <w:sz w:val="20"/>
        </w:rPr>
        <w:t>Die Meldung enthält mindestens: Art der Verletzung, betroffene Datenkategorien und ungefähre Zahl der Betroffenen, wahrscheinliche Folgen sowie ergriffene oder vorgeschlagene Gegenmaßnahmen.</w:t>
      </w:r>
    </w:p>
    <w:p>
      <w:pPr>
        <w:pStyle w:val="ListNumber"/>
        <w:spacing w:after="60"/>
      </w:pPr>
      <w:r>
        <w:rPr>
          <w:sz w:val="20"/>
        </w:rPr>
        <w:t>Der Auftragsverarbeiter unterstützt den Verantwortlichen bei dessen Melde- und Benachrichtigungspflichten gegenüber Aufsichtsbehörde und betroffenen Personen (Art. 33, 34 DSGVO).</w:t>
      </w:r>
    </w:p>
    <w:p>
      <w:pPr>
        <w:spacing w:before="240" w:after="80"/>
      </w:pPr>
      <w:r>
        <w:rPr>
          <w:b/>
          <w:color w:val="0B4A86"/>
          <w:sz w:val="24"/>
        </w:rPr>
        <w:t>§ 9 Kontrollrechte des Verantwortlichen</w:t>
      </w:r>
    </w:p>
    <w:p>
      <w:pPr>
        <w:pStyle w:val="ListNumber"/>
        <w:spacing w:after="60"/>
      </w:pPr>
      <w:r>
        <w:rPr>
          <w:sz w:val="20"/>
        </w:rPr>
        <w:t>Der Verantwortliche hat das Recht, die Einhaltung der Vorschriften über den Datenschutz und der vertraglichen Vereinbarungen im erforderlichen Umfang zu kontrollieren (Art. 28 Abs. 3 lit. h DSGVO).</w:t>
      </w:r>
    </w:p>
    <w:p>
      <w:pPr>
        <w:pStyle w:val="ListNumber"/>
        <w:spacing w:after="60"/>
      </w:pPr>
      <w:r>
        <w:rPr>
          <w:sz w:val="20"/>
        </w:rPr>
        <w:t>Der Auftragsverarbeiter weist die Einhaltung vorrangig durch geeignete Nachweise nach (Selbstauskunft, aktuelle Bescheinigungen, Zertifikate oder Prüfberichte, z. B. zur Infrastruktur des Hosting-Dienstleisters).</w:t>
      </w:r>
    </w:p>
    <w:p>
      <w:pPr>
        <w:pStyle w:val="ListNumber"/>
        <w:spacing w:after="60"/>
      </w:pPr>
      <w:r>
        <w:rPr>
          <w:sz w:val="20"/>
        </w:rPr>
        <w:t>Vor-Ort-Kontrollen werden mit angemessener Vorlaufzeit (i. d. R. 14 Tage) zu üblichen Geschäftszeiten und ohne Störung des Betriebsablaufs angekündigt und durchgeführt. Der Verantwortliche trägt die ihm hierdurch entstehenden Kosten.</w:t>
      </w:r>
    </w:p>
    <w:p>
      <w:pPr>
        <w:spacing w:before="240" w:after="80"/>
      </w:pPr>
      <w:r>
        <w:rPr>
          <w:b/>
          <w:color w:val="0B4A86"/>
          <w:sz w:val="24"/>
        </w:rPr>
        <w:t>§ 10 Löschung und Rückgabe nach Beendigung</w:t>
      </w:r>
    </w:p>
    <w:p>
      <w:pPr>
        <w:pStyle w:val="ListNumber"/>
        <w:spacing w:after="60"/>
      </w:pPr>
      <w:r>
        <w:rPr>
          <w:sz w:val="20"/>
        </w:rPr>
        <w:t>Nach Abschluss der Verarbeitungstätigkeiten löscht der Auftragsverarbeiter nach Wahl des Verantwortlichen alle personenbezogenen Daten oder gibt sie zurück und löscht vorhandene Kopien, sofern keine gesetzliche Aufbewahrungspflicht entgegensteht (Art. 28 Abs. 3 lit. g DSGVO).</w:t>
      </w:r>
    </w:p>
    <w:p>
      <w:pPr>
        <w:pStyle w:val="ListNumber"/>
        <w:spacing w:after="60"/>
      </w:pPr>
      <w:r>
        <w:rPr>
          <w:sz w:val="20"/>
        </w:rPr>
        <w:t>Auf Wunsch stellt der Auftragsverarbeiter die Daten in einem gängigen, maschinenlesbaren Format (Export) bereit.</w:t>
      </w:r>
    </w:p>
    <w:p>
      <w:pPr>
        <w:pStyle w:val="ListNumber"/>
        <w:spacing w:after="60"/>
      </w:pPr>
      <w:r>
        <w:rPr>
          <w:sz w:val="20"/>
        </w:rPr>
        <w:t>Die Löschung schließt Backups ein; diese werden im Rahmen des regulären Backup-Zyklus überschrieben. Der Auftragsverarbeiter bestätigt die Löschung auf Verlangen schriftlich.</w:t>
      </w:r>
    </w:p>
    <w:p>
      <w:pPr>
        <w:spacing w:before="240" w:after="80"/>
      </w:pPr>
      <w:r>
        <w:rPr>
          <w:b/>
          <w:color w:val="0B4A86"/>
          <w:sz w:val="24"/>
        </w:rPr>
        <w:t>§ 11 Haftung</w:t>
      </w:r>
    </w:p>
    <w:p>
      <w:pPr>
        <w:spacing w:after="120"/>
      </w:pPr>
      <w:r>
        <w:rPr>
          <w:b w:val="0"/>
          <w:i w:val="0"/>
          <w:sz w:val="20"/>
        </w:rPr>
        <w:t>Die Haftung der Parteien richtet sich nach Art. 82 DSGVO und den Regelungen des Hauptvertrags. Im Außenverhältnis gegenüber betroffenen Personen haften die Parteien nach den gesetzlichen Bestimmungen; im Innenverhältnis trägt jede Partei die Verantwortung für den von ihr zu vertretenden Anteil.</w:t>
      </w:r>
    </w:p>
    <w:p>
      <w:pPr>
        <w:spacing w:before="240" w:after="80"/>
      </w:pPr>
      <w:r>
        <w:rPr>
          <w:b/>
          <w:color w:val="0B4A86"/>
          <w:sz w:val="24"/>
        </w:rPr>
        <w:t>§ 12 Schlussbestimmungen</w:t>
      </w:r>
    </w:p>
    <w:p>
      <w:pPr>
        <w:pStyle w:val="ListNumber"/>
        <w:spacing w:after="60"/>
      </w:pPr>
      <w:r>
        <w:rPr>
          <w:sz w:val="20"/>
        </w:rPr>
        <w:t>Änderungen und Ergänzungen dieses Vertrags bedürfen der Textform. Dies gilt auch für die Aufhebung dieses Formerfordernisses.</w:t>
      </w:r>
    </w:p>
    <w:p>
      <w:pPr>
        <w:pStyle w:val="ListNumber"/>
        <w:spacing w:after="60"/>
      </w:pPr>
      <w:r>
        <w:rPr>
          <w:sz w:val="20"/>
        </w:rPr>
        <w:t>Bei Widersprüchen zwischen diesem Vertrag und dem Hauptvertrag gehen die Regelungen dieses Vertrags zum Datenschutz vor.</w:t>
      </w:r>
    </w:p>
    <w:p>
      <w:pPr>
        <w:pStyle w:val="ListNumber"/>
        <w:spacing w:after="60"/>
      </w:pPr>
      <w:r>
        <w:rPr>
          <w:sz w:val="20"/>
        </w:rPr>
        <w:t>Sollte eine Bestimmung unwirksam sein, bleibt die Wirksamkeit des übrigen Vertrags unberührt. An die Stelle der unwirksamen Bestimmung tritt eine Regelung, die dem wirtschaftlichen Zweck am nächsten kommt.</w:t>
      </w:r>
    </w:p>
    <w:p>
      <w:pPr>
        <w:pStyle w:val="ListNumber"/>
        <w:spacing w:after="60"/>
      </w:pPr>
      <w:r>
        <w:rPr>
          <w:sz w:val="20"/>
        </w:rPr>
        <w:t>Es gilt das Recht der Bundesrepublik Deutschland. Gerichtsstand ist, soweit zulässig, der Sitz des Auftragsverarbeiters.</w:t>
      </w:r>
    </w:p>
    <w:p>
      <w:pPr>
        <w:spacing w:before="240" w:after="80"/>
      </w:pPr>
      <w:r>
        <w:rPr>
          <w:b/>
          <w:color w:val="0B4A86"/>
          <w:sz w:val="24"/>
        </w:rPr>
        <w:t>Unterschriften</w:t>
      </w:r>
    </w:p>
    <w:p>
      <w:pPr>
        <w:spacing w:after="240"/>
      </w:pPr>
      <w:r>
        <w:rPr>
          <w:b w:val="0"/>
          <w:i w:val="0"/>
          <w:sz w:val="20"/>
        </w:rPr>
        <w:t>Dieser Vertrag tritt mit Unterzeichnung beider Parteien in Kraft.</w:t>
      </w:r>
    </w:p>
    <w:tbl>
      <w:tblPr>
        <w:tblW w:type="auto" w:w="0"/>
        <w:jc w:val="center"/>
        <w:tblLook w:firstColumn="1" w:firstRow="1" w:lastColumn="0" w:lastRow="0" w:noHBand="0" w:noVBand="1" w:val="04A0"/>
      </w:tblPr>
      <w:tblGrid>
        <w:gridCol w:w="4706"/>
        <w:gridCol w:w="4706"/>
      </w:tblGrid>
      <w:tr>
        <w:tc>
          <w:tcPr>
            <w:tcW w:type="dxa" w:w="5046"/>
          </w:tcPr>
          <w:p>
            <w:r>
              <w:rPr>
                <w:b/>
              </w:rPr>
              <w:t>Verantwortlicher (Kunde)</w:t>
            </w:r>
          </w:p>
        </w:tc>
        <w:tc>
          <w:tcPr>
            <w:tcW w:type="dxa" w:w="5046"/>
          </w:tcPr>
          <w:p>
            <w:r>
              <w:rPr>
                <w:b/>
              </w:rPr>
              <w:t>Auftragsverarbeiter (Anbieter)</w:t>
            </w:r>
          </w:p>
        </w:tc>
      </w:tr>
      <w:tr>
        <w:tc>
          <w:tcPr>
            <w:tcW w:type="dxa" w:w="5046"/>
          </w:tcPr>
          <w:p/>
          <w:p>
            <w:r>
              <w:br/>
              <w:br/>
              <w:t>____________________________________</w:t>
            </w:r>
          </w:p>
          <w:p>
            <w:r>
              <w:t>Ort, Datum</w:t>
            </w:r>
          </w:p>
          <w:p>
            <w:r>
              <w:br/>
              <w:br/>
              <w:t>____________________________________</w:t>
            </w:r>
          </w:p>
          <w:p>
            <w:r>
              <w:t>Unterschrift, Name in Druckbuchstaben</w:t>
            </w:r>
          </w:p>
          <w:p>
            <w:r>
              <w:t>Funktion: ___________________________</w:t>
            </w:r>
          </w:p>
        </w:tc>
        <w:tc>
          <w:tcPr>
            <w:tcW w:type="dxa" w:w="5046"/>
          </w:tcPr>
          <w:p/>
          <w:p>
            <w:r>
              <w:br/>
              <w:br/>
              <w:t>____________________________________</w:t>
            </w:r>
          </w:p>
          <w:p>
            <w:r>
              <w:t>Ort, Datum</w:t>
            </w:r>
          </w:p>
          <w:p>
            <w:r>
              <w:br/>
              <w:br/>
              <w:t>____________________________________</w:t>
            </w:r>
          </w:p>
          <w:p>
            <w:r>
              <w:t>Unterschrift, Name in Druckbuchstaben</w:t>
            </w:r>
          </w:p>
          <w:p>
            <w:r>
              <w:t>Funktion: ___________________________</w:t>
            </w:r>
          </w:p>
        </w:tc>
      </w:tr>
    </w:tbl>
    <w:p>
      <w:r>
        <w:br w:type="page"/>
      </w:r>
    </w:p>
    <w:p>
      <w:pPr>
        <w:spacing w:after="40"/>
      </w:pPr>
      <w:r>
        <w:rPr>
          <w:b/>
          <w:color w:val="0B4A86"/>
          <w:sz w:val="34"/>
        </w:rPr>
        <w:t>Anlage 1: Technische und organisatorische Maßnahmen</w:t>
      </w:r>
    </w:p>
    <w:p>
      <w:pPr>
        <w:spacing w:after="200"/>
      </w:pPr>
      <w:r>
        <w:rPr>
          <w:color w:val="5A6675"/>
          <w:sz w:val="22"/>
        </w:rPr>
        <w:t>gemäß Art. 32 DSGVO – Stand 25.06.2026</w:t>
      </w:r>
    </w:p>
    <w:p>
      <w:pPr>
        <w:spacing w:after="120"/>
      </w:pPr>
      <w:r>
        <w:rPr>
          <w:b w:val="0"/>
          <w:i w:val="0"/>
          <w:sz w:val="20"/>
        </w:rPr>
        <w:t>Die nachfolgenden Maßnahmen beschreiben das Schutzniveau des Auftragsverarbeiters für die im Auftrag verarbeiteten personenbezogenen Daten. Das Hosting erfolgt in Rechenzentren innerhalb Deutschlands/der EU.</w:t>
      </w:r>
    </w:p>
    <w:tbl>
      <w:tblPr>
        <w:tblW w:type="auto" w:w="0"/>
        <w:jc w:val="center"/>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706"/>
        <w:gridCol w:w="4706"/>
      </w:tblGrid>
      <w:tr>
        <w:tc>
          <w:tcPr>
            <w:tcW w:type="dxa" w:w="2948"/>
            <w:shd w:val="clear" w:fill="0B6E6E"/>
          </w:tcPr>
          <w:p>
            <w:r>
              <w:rPr>
                <w:b/>
                <w:color w:val="FFFFFF"/>
                <w:sz w:val="18"/>
              </w:rPr>
              <w:t>Schutzziel / Maßnahme</w:t>
            </w:r>
          </w:p>
        </w:tc>
        <w:tc>
          <w:tcPr>
            <w:tcW w:type="dxa" w:w="7143"/>
            <w:shd w:val="clear" w:fill="0B6E6E"/>
          </w:tcPr>
          <w:p>
            <w:r>
              <w:rPr>
                <w:b/>
                <w:color w:val="FFFFFF"/>
                <w:sz w:val="18"/>
              </w:rPr>
              <w:t>Umsetzung</w:t>
            </w:r>
          </w:p>
        </w:tc>
      </w:tr>
      <w:tr>
        <w:tc>
          <w:tcPr>
            <w:tcW w:type="dxa" w:w="2948"/>
          </w:tcPr>
          <w:p>
            <w:r>
              <w:rPr>
                <w:b/>
                <w:sz w:val="18"/>
              </w:rPr>
              <w:t>Vertraulichkeit – Zutrittskontrolle</w:t>
            </w:r>
          </w:p>
        </w:tc>
        <w:tc>
          <w:tcPr>
            <w:tcW w:type="dxa" w:w="7143"/>
          </w:tcPr>
          <w:p>
            <w:r>
              <w:rPr>
                <w:sz w:val="18"/>
              </w:rPr>
              <w:t>Hosting in zertifizierten Rechenzentren des Infrastruktur-Dienstleisters (Deutschland/EU) mit Zutrittssicherung (Zaun, Vereinzelung, Videoüberwachung, Zutrittsprotokollierung). Kein physischer Serverzugang durch den Auftragsverarbeiter selbst.</w:t>
            </w:r>
          </w:p>
        </w:tc>
      </w:tr>
      <w:tr>
        <w:tc>
          <w:tcPr>
            <w:tcW w:type="dxa" w:w="2948"/>
          </w:tcPr>
          <w:p>
            <w:r>
              <w:rPr>
                <w:b/>
                <w:sz w:val="18"/>
              </w:rPr>
              <w:t>Vertraulichkeit – Zugangskontrolle</w:t>
            </w:r>
          </w:p>
        </w:tc>
        <w:tc>
          <w:tcPr>
            <w:tcW w:type="dxa" w:w="7143"/>
          </w:tcPr>
          <w:p>
            <w:r>
              <w:rPr>
                <w:sz w:val="18"/>
              </w:rPr>
              <w:t>Persönliche Benutzerkonten mit starken Passwörtern; Administrationszugänge nur über gesicherte Verbindungen (SSH-Key / 2-Faktor). Anwendungszugang über Lizenz-Gate und Benutzer-Login je Mandant; automatische Sperrung nach Inaktivität.</w:t>
            </w:r>
          </w:p>
        </w:tc>
      </w:tr>
      <w:tr>
        <w:tc>
          <w:tcPr>
            <w:tcW w:type="dxa" w:w="2948"/>
          </w:tcPr>
          <w:p>
            <w:r>
              <w:rPr>
                <w:b/>
                <w:sz w:val="18"/>
              </w:rPr>
              <w:t>Vertraulichkeit – Zugriffskontrolle</w:t>
            </w:r>
          </w:p>
        </w:tc>
        <w:tc>
          <w:tcPr>
            <w:tcW w:type="dxa" w:w="7143"/>
          </w:tcPr>
          <w:p>
            <w:r>
              <w:rPr>
                <w:sz w:val="18"/>
              </w:rPr>
              <w:t>Rollen-/Rechtekonzept innerhalb der Anwendung (wer darf was). Strikte Mandantentrennung: jede Kundenfirma erhält eine eigene, getrennte Datenbank. Zugriff nur auf die jeweils eigenen Daten.</w:t>
            </w:r>
          </w:p>
        </w:tc>
      </w:tr>
      <w:tr>
        <w:tc>
          <w:tcPr>
            <w:tcW w:type="dxa" w:w="2948"/>
          </w:tcPr>
          <w:p>
            <w:r>
              <w:rPr>
                <w:b/>
                <w:sz w:val="18"/>
              </w:rPr>
              <w:t>Vertraulichkeit – Trennungskontrolle</w:t>
            </w:r>
          </w:p>
        </w:tc>
        <w:tc>
          <w:tcPr>
            <w:tcW w:type="dxa" w:w="7143"/>
          </w:tcPr>
          <w:p>
            <w:r>
              <w:rPr>
                <w:sz w:val="18"/>
              </w:rPr>
              <w:t>Logische und physische Trennung der Mandantendaten (eine Datenbankdatei pro Firma). Trennung von Test-/Demo- und Produktivdaten.</w:t>
            </w:r>
          </w:p>
        </w:tc>
      </w:tr>
      <w:tr>
        <w:tc>
          <w:tcPr>
            <w:tcW w:type="dxa" w:w="2948"/>
          </w:tcPr>
          <w:p>
            <w:r>
              <w:rPr>
                <w:b/>
                <w:sz w:val="18"/>
              </w:rPr>
              <w:t>Vertraulichkeit – Pseudonymisierung / Verschlüsselung</w:t>
            </w:r>
          </w:p>
        </w:tc>
        <w:tc>
          <w:tcPr>
            <w:tcW w:type="dxa" w:w="7143"/>
          </w:tcPr>
          <w:p>
            <w:r>
              <w:rPr>
                <w:sz w:val="18"/>
              </w:rPr>
              <w:t>Transportverschlüsselung aller Verbindungen per TLS/HTTPS (Zertifikate via Let's Encrypt). Verschlüsselung der Datenträger/Backups im Ruhezustand. Passwörter werden nur als Hash gespeichert.</w:t>
            </w:r>
          </w:p>
        </w:tc>
      </w:tr>
      <w:tr>
        <w:tc>
          <w:tcPr>
            <w:tcW w:type="dxa" w:w="2948"/>
          </w:tcPr>
          <w:p>
            <w:r>
              <w:rPr>
                <w:b/>
                <w:sz w:val="18"/>
              </w:rPr>
              <w:t>Integrität – Weitergabekontrolle</w:t>
            </w:r>
          </w:p>
        </w:tc>
        <w:tc>
          <w:tcPr>
            <w:tcW w:type="dxa" w:w="7143"/>
          </w:tcPr>
          <w:p>
            <w:r>
              <w:rPr>
                <w:sz w:val="18"/>
              </w:rPr>
              <w:t>Keine Übermittlung an Dritte außerhalb der genehmigten Unterauftragsverarbeiter. Datentransfers ausschließlich verschlüsselt. Keine Datenübermittlung in Drittländer.</w:t>
            </w:r>
          </w:p>
        </w:tc>
      </w:tr>
      <w:tr>
        <w:tc>
          <w:tcPr>
            <w:tcW w:type="dxa" w:w="2948"/>
          </w:tcPr>
          <w:p>
            <w:r>
              <w:rPr>
                <w:b/>
                <w:sz w:val="18"/>
              </w:rPr>
              <w:t>Integrität – Eingabekontrolle</w:t>
            </w:r>
          </w:p>
        </w:tc>
        <w:tc>
          <w:tcPr>
            <w:tcW w:type="dxa" w:w="7143"/>
          </w:tcPr>
          <w:p>
            <w:r>
              <w:rPr>
                <w:sz w:val="18"/>
              </w:rPr>
              <w:t>Protokollierung sicherheitsrelevanter Vorgänge (Anmeldungen, Änderungen, Exporte) mit Benutzer- und Zeitstempel, soweit fachlich vorgesehen (Audit-Log).</w:t>
            </w:r>
          </w:p>
        </w:tc>
      </w:tr>
      <w:tr>
        <w:tc>
          <w:tcPr>
            <w:tcW w:type="dxa" w:w="2948"/>
          </w:tcPr>
          <w:p>
            <w:r>
              <w:rPr>
                <w:b/>
                <w:sz w:val="18"/>
              </w:rPr>
              <w:t>Verfügbarkeit / Belastbarkeit</w:t>
            </w:r>
          </w:p>
        </w:tc>
        <w:tc>
          <w:tcPr>
            <w:tcW w:type="dxa" w:w="7143"/>
          </w:tcPr>
          <w:p>
            <w:r>
              <w:rPr>
                <w:sz w:val="18"/>
              </w:rPr>
              <w:t>Regelmäßige, automatisierte Backups; getestete Wiederherstellung. Überwachung der Erreichbarkeit (Uptime-Monitoring). Aktuelle Sicherheitsupdates des Betriebssystems und der Anwendung.</w:t>
            </w:r>
          </w:p>
        </w:tc>
      </w:tr>
      <w:tr>
        <w:tc>
          <w:tcPr>
            <w:tcW w:type="dxa" w:w="2948"/>
          </w:tcPr>
          <w:p>
            <w:r>
              <w:rPr>
                <w:b/>
                <w:sz w:val="18"/>
              </w:rPr>
              <w:t>Wiederherstellbarkeit</w:t>
            </w:r>
          </w:p>
        </w:tc>
        <w:tc>
          <w:tcPr>
            <w:tcW w:type="dxa" w:w="7143"/>
          </w:tcPr>
          <w:p>
            <w:r>
              <w:rPr>
                <w:sz w:val="18"/>
              </w:rPr>
              <w:t>Definierter Wiederherstellungsprozess aus Backups; Backup-Aufbewahrung mehrerer Generationen. Ziel-Wiederherstellzeit und -punkt nach Stand der Technik für ein Produkt dieser Größe.</w:t>
            </w:r>
          </w:p>
        </w:tc>
      </w:tr>
      <w:tr>
        <w:tc>
          <w:tcPr>
            <w:tcW w:type="dxa" w:w="2948"/>
          </w:tcPr>
          <w:p>
            <w:r>
              <w:rPr>
                <w:b/>
                <w:sz w:val="18"/>
              </w:rPr>
              <w:t>Verfahren zur regelmäßigen Überprüfung (Art. 32 Abs. 1 lit. d)</w:t>
            </w:r>
          </w:p>
        </w:tc>
        <w:tc>
          <w:tcPr>
            <w:tcW w:type="dxa" w:w="7143"/>
          </w:tcPr>
          <w:p>
            <w:r>
              <w:rPr>
                <w:sz w:val="18"/>
              </w:rPr>
              <w:t>Regelmäßige Überprüfung und Aktualisierung der Maßnahmen. Auftrags-/Weisungskontrolle durch dokumentierte Weisungen. Verpflichtung der Beschäftigten auf die Vertraulichkeit.</w:t>
            </w:r>
          </w:p>
        </w:tc>
      </w:tr>
    </w:tbl>
    <w:p/>
    <w:p>
      <w:pPr>
        <w:spacing w:after="120"/>
      </w:pPr>
      <w:r>
        <w:rPr>
          <w:b w:val="0"/>
          <w:i/>
          <w:color w:val="5A6675"/>
          <w:sz w:val="18"/>
        </w:rPr>
        <w:t>Hinweis: Die konkrete Ausprägung einzelner Maßnahmen (z. B. Backup-Intervalle, Aufbewahrungsdauer, 2-Faktor) ist vor Vertragsschluss an den tatsächlichen Betriebsstand anzupassen.</w:t>
      </w:r>
    </w:p>
    <w:p>
      <w:r>
        <w:br w:type="page"/>
      </w:r>
    </w:p>
    <w:p>
      <w:pPr>
        <w:spacing w:after="40"/>
      </w:pPr>
      <w:r>
        <w:rPr>
          <w:b/>
          <w:color w:val="0B4A86"/>
          <w:sz w:val="34"/>
        </w:rPr>
        <w:t>Anlage 2: Genehmigte Unterauftragsverarbeiter</w:t>
      </w:r>
    </w:p>
    <w:p>
      <w:pPr>
        <w:spacing w:after="200"/>
      </w:pPr>
      <w:r>
        <w:rPr>
          <w:color w:val="5A6675"/>
          <w:sz w:val="22"/>
        </w:rPr>
        <w:t>Stand 25.06.2026</w:t>
      </w:r>
    </w:p>
    <w:p>
      <w:pPr>
        <w:spacing w:after="120"/>
      </w:pPr>
      <w:r>
        <w:rPr>
          <w:b w:val="0"/>
          <w:i w:val="0"/>
          <w:sz w:val="20"/>
        </w:rPr>
        <w:t>Der Verantwortliche genehmigt den Einsatz der folgenden Unterauftragsverarbeiter (Art. 28 Abs. 2 DSGVO). Alle Anbieter verarbeiten innerhalb der EU/des EWR.</w:t>
      </w:r>
    </w:p>
    <w:tbl>
      <w:tblPr>
        <w:tblW w:type="auto" w:w="0"/>
        <w:jc w:val="center"/>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353"/>
        <w:gridCol w:w="2353"/>
        <w:gridCol w:w="2353"/>
        <w:gridCol w:w="2353"/>
      </w:tblGrid>
      <w:tr>
        <w:tc>
          <w:tcPr>
            <w:tcW w:type="dxa" w:w="2154"/>
            <w:shd w:val="clear" w:fill="0B4A86"/>
          </w:tcPr>
          <w:p>
            <w:r>
              <w:rPr>
                <w:b/>
                <w:color w:val="FFFFFF"/>
                <w:sz w:val="17"/>
              </w:rPr>
              <w:t>Anbieter</w:t>
            </w:r>
          </w:p>
        </w:tc>
        <w:tc>
          <w:tcPr>
            <w:tcW w:type="dxa" w:w="2835"/>
            <w:shd w:val="clear" w:fill="0B4A86"/>
          </w:tcPr>
          <w:p>
            <w:r>
              <w:rPr>
                <w:b/>
                <w:color w:val="FFFFFF"/>
                <w:sz w:val="17"/>
              </w:rPr>
              <w:t>Sitz / Anschrift</w:t>
            </w:r>
          </w:p>
        </w:tc>
        <w:tc>
          <w:tcPr>
            <w:tcW w:type="dxa" w:w="3402"/>
            <w:shd w:val="clear" w:fill="0B4A86"/>
          </w:tcPr>
          <w:p>
            <w:r>
              <w:rPr>
                <w:b/>
                <w:color w:val="FFFFFF"/>
                <w:sz w:val="17"/>
              </w:rPr>
              <w:t>Leistung</w:t>
            </w:r>
          </w:p>
        </w:tc>
        <w:tc>
          <w:tcPr>
            <w:tcW w:type="dxa" w:w="1701"/>
            <w:shd w:val="clear" w:fill="0B4A86"/>
          </w:tcPr>
          <w:p>
            <w:r>
              <w:rPr>
                <w:b/>
                <w:color w:val="FFFFFF"/>
                <w:sz w:val="17"/>
              </w:rPr>
              <w:t>Ort der Verarbeitung</w:t>
            </w:r>
          </w:p>
        </w:tc>
      </w:tr>
      <w:tr>
        <w:tc>
          <w:tcPr>
            <w:tcW w:type="dxa" w:w="2154"/>
          </w:tcPr>
          <w:p>
            <w:r>
              <w:rPr>
                <w:b/>
                <w:sz w:val="17"/>
              </w:rPr>
              <w:t>Hetzner Online GmbH</w:t>
            </w:r>
          </w:p>
        </w:tc>
        <w:tc>
          <w:tcPr>
            <w:tcW w:type="dxa" w:w="2835"/>
          </w:tcPr>
          <w:p>
            <w:r>
              <w:rPr>
                <w:sz w:val="17"/>
              </w:rPr>
              <w:t>Industriestr. 25, 91710 Gunzenhausen, DE</w:t>
            </w:r>
          </w:p>
        </w:tc>
        <w:tc>
          <w:tcPr>
            <w:tcW w:type="dxa" w:w="3402"/>
          </w:tcPr>
          <w:p>
            <w:r>
              <w:rPr>
                <w:sz w:val="17"/>
              </w:rPr>
              <w:t>Hosting / Rechenzentrum (Server, Speicher, Backups)</w:t>
            </w:r>
          </w:p>
        </w:tc>
        <w:tc>
          <w:tcPr>
            <w:tcW w:type="dxa" w:w="1701"/>
          </w:tcPr>
          <w:p>
            <w:r>
              <w:rPr>
                <w:sz w:val="17"/>
              </w:rPr>
              <w:t>Deutschland</w:t>
            </w:r>
          </w:p>
        </w:tc>
      </w:tr>
      <w:tr>
        <w:tc>
          <w:tcPr>
            <w:tcW w:type="dxa" w:w="2154"/>
          </w:tcPr>
          <w:p>
            <w:r>
              <w:rPr>
                <w:b/>
                <w:sz w:val="17"/>
              </w:rPr>
              <w:t>Brevo (Sendinblue GmbH)</w:t>
            </w:r>
          </w:p>
        </w:tc>
        <w:tc>
          <w:tcPr>
            <w:tcW w:type="dxa" w:w="2835"/>
          </w:tcPr>
          <w:p>
            <w:r>
              <w:rPr>
                <w:sz w:val="17"/>
              </w:rPr>
              <w:t>Köpenicker Str. 126, 10179 Berlin, DE / FR</w:t>
            </w:r>
          </w:p>
        </w:tc>
        <w:tc>
          <w:tcPr>
            <w:tcW w:type="dxa" w:w="3402"/>
          </w:tcPr>
          <w:p>
            <w:r>
              <w:rPr>
                <w:sz w:val="17"/>
              </w:rPr>
              <w:t>Versand von Transaktions-E-Mails (Einladung, Passwort-Reset)</w:t>
            </w:r>
          </w:p>
        </w:tc>
        <w:tc>
          <w:tcPr>
            <w:tcW w:type="dxa" w:w="1701"/>
          </w:tcPr>
          <w:p>
            <w:r>
              <w:rPr>
                <w:sz w:val="17"/>
              </w:rPr>
              <w:t>EU</w:t>
            </w:r>
          </w:p>
        </w:tc>
      </w:tr>
    </w:tbl>
    <w:p/>
    <w:tbl>
      <w:tblPr>
        <w:tblW w:type="auto" w:w="0"/>
        <w:jc w:val="center"/>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9412"/>
      </w:tblGrid>
      <w:tr>
        <w:tc>
          <w:tcPr>
            <w:tcW w:type="dxa" w:w="9412"/>
            <w:shd w:val="clear" w:fill="EAF2FB"/>
          </w:tcPr>
          <w:p>
            <w:pPr>
              <w:spacing w:after="40"/>
            </w:pPr>
            <w:r/>
            <w:r>
              <w:rPr>
                <w:b/>
                <w:color w:val="0B4A86"/>
                <w:sz w:val="18"/>
              </w:rPr>
              <w:t>Zahlungsdienstleister (gesonderte Rolle)</w:t>
            </w:r>
          </w:p>
          <w:p>
            <w:pPr>
              <w:spacing w:after="40"/>
            </w:pPr>
            <w:r>
              <w:rPr>
                <w:b w:val="0"/>
                <w:sz w:val="18"/>
              </w:rPr>
              <w:t>Wird für die Abrechnung ein Zahlungsdienstleister (z. B. Stripe) eingesetzt, verarbeitet dieser Zahlungsdaten regelmäßig als eigenständig Verantwortlicher, nicht als Unterauftragsverarbeiter. Personalstammdaten werden an den Zahlungsdienstleister nicht übermittelt. Dies ist im Hauptvertrag/der Datenschutzerklärung gesondert darzustellen.</w:t>
            </w:r>
          </w:p>
        </w:tc>
      </w:tr>
    </w:tbl>
    <w:p>
      <w:pPr>
        <w:spacing w:after="40"/>
      </w:pPr>
    </w:p>
    <w:p>
      <w:pPr>
        <w:spacing w:after="40"/>
      </w:pPr>
      <w:r>
        <w:rPr>
          <w:b w:val="0"/>
          <w:i w:val="0"/>
          <w:sz w:val="20"/>
        </w:rPr>
        <w:br/>
      </w:r>
    </w:p>
    <w:p>
      <w:pPr>
        <w:spacing w:after="120"/>
      </w:pPr>
      <w:r>
        <w:rPr>
          <w:b w:val="0"/>
          <w:i/>
          <w:color w:val="5A6675"/>
          <w:sz w:val="16"/>
        </w:rPr>
        <w:t>Vorbehalt: Mustervorlage ohne Gewähr. Vor produktivem Einsatz anwaltlich prüfen lassen und die Platzhalter ([Anbieter-Firma], [Inhaber] usw.) ausfüllen. Stand: 25.06.2026.</w:t>
      </w: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