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Exercícios Biomoléculas – Água e Sais Minerais</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(PUCRS 2016)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substâncias indicadas no gráfico acima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constituem os componentes não-minerais dos tecidos vivos. A maioria dos tecidos vivos tem ao menos 70% de I, cerca de 2% de II e, no restante, III</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09140" cy="1640205"/>
            <wp:effectExtent b="0" l="0" r="0" t="0"/>
            <wp:docPr id="5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09140" cy="164020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Considerando a correta composição dos tecidos vivos, os números I, II e III devem ser, respectivamente, assim substituídos:</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I – água; II - íons, pequenas moléculas e proteínas; III - carboidratos, ácidos nucléicos e lipídeos</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I – água; II - íons e pequenas moléculas; III - proteínas, carboidratos, ácidos nucléicos e lipídeos</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I - proteínas, carboidratos, ácidos nucléicos e lipídeos;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II - pequenas moléculas; III - água e íons</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I - carboidratos, ácidos nucléicos e lipídeos; II – água; III - íons, pequenas moléculas e proteínas</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I - carboidratos, ácidos nucléicos e lipídeos; II – proteínas; III - água, íons e pequenas moléculas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(PUCRS 2004)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Recentes descobertas sobre Marte, feitas pela NASA, sugerem que o Planeta Vermelho pode ter tido vida no passado. Esta hipótese está baseada em indícios: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da existência de esporos no subsolo marciano.</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da presença de uma grande quantidade de oxigênio em sua atmosfera.</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de marcas deixadas na areia por seres vivos.</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da existência de água líquida no passado.</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de sinais de rádio oriundos do planeta.</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(ENEM 2005)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água é um dos componentes mais importantes das células. A tabela a seguir mostra como a quantidade de água varia em seres humanos, dependendo do tipo de célula. Em média, a água corresponde a 70% da composição química de um indivíduo normal.</w:t>
      </w:r>
    </w:p>
    <w:tbl>
      <w:tblPr>
        <w:tblStyle w:val="Table1"/>
        <w:tblW w:w="4800.0" w:type="dxa"/>
        <w:jc w:val="left"/>
        <w:tblInd w:w="10.0" w:type="dxa"/>
        <w:tblLayout w:type="fixed"/>
        <w:tblLook w:val="0000"/>
      </w:tblPr>
      <w:tblGrid>
        <w:gridCol w:w="900"/>
        <w:gridCol w:w="1020"/>
        <w:gridCol w:w="220"/>
        <w:gridCol w:w="817"/>
        <w:gridCol w:w="1843"/>
        <w:tblGridChange w:id="0">
          <w:tblGrid>
            <w:gridCol w:w="900"/>
            <w:gridCol w:w="1020"/>
            <w:gridCol w:w="220"/>
            <w:gridCol w:w="817"/>
            <w:gridCol w:w="1843"/>
          </w:tblGrid>
        </w:tblGridChange>
      </w:tblGrid>
      <w:tr>
        <w:trPr>
          <w:trHeight w:val="270" w:hRule="atLeast"/>
        </w:trPr>
        <w:tc>
          <w:tcPr>
            <w:gridSpan w:val="2"/>
            <w:tcBorders>
              <w:top w:color="000000" w:space="0" w:sz="8" w:val="single"/>
              <w:left w:color="000000" w:space="0" w:sz="8" w:val="single"/>
            </w:tcBorders>
            <w:shd w:fill="auto" w:val="clear"/>
            <w:vAlign w:val="bottom"/>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Tipo de Célula</w:t>
            </w:r>
          </w:p>
        </w:tc>
        <w:tc>
          <w:tcPr>
            <w:tcBorders>
              <w:top w:color="000000" w:space="0" w:sz="8" w:val="single"/>
            </w:tcBorders>
            <w:shd w:fill="auto" w:val="clear"/>
            <w:vAlign w:val="bottom"/>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c>
          <w:tcPr>
            <w:tcBorders>
              <w:top w:color="000000" w:space="0" w:sz="8" w:val="single"/>
              <w:right w:color="000000" w:space="0" w:sz="8" w:val="single"/>
            </w:tcBorders>
            <w:shd w:fill="auto" w:val="clear"/>
            <w:vAlign w:val="bottom"/>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c>
          <w:tcPr>
            <w:vMerge w:val="restart"/>
            <w:tcBorders>
              <w:top w:color="000000" w:space="0" w:sz="8" w:val="single"/>
              <w:right w:color="000000" w:space="0" w:sz="8" w:val="single"/>
            </w:tcBorders>
            <w:shd w:fill="auto" w:val="clear"/>
            <w:vAlign w:val="bottom"/>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Qnt.   de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água</w:t>
            </w:r>
          </w:p>
        </w:tc>
      </w:tr>
      <w:tr>
        <w:trPr>
          <w:trHeight w:val="202" w:hRule="atLeast"/>
        </w:trPr>
        <w:tc>
          <w:tcPr>
            <w:tcBorders>
              <w:left w:color="000000" w:space="0" w:sz="8" w:val="single"/>
              <w:bottom w:color="000000" w:space="0" w:sz="8" w:val="single"/>
            </w:tcBorders>
            <w:shd w:fill="auto" w:val="clear"/>
            <w:vAlign w:val="bottom"/>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c>
          <w:tcPr>
            <w:tcBorders>
              <w:bottom w:color="000000" w:space="0" w:sz="8" w:val="single"/>
            </w:tcBorders>
            <w:shd w:fill="auto" w:val="clear"/>
            <w:vAlign w:val="bottom"/>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c>
          <w:tcPr>
            <w:tcBorders>
              <w:bottom w:color="000000" w:space="0" w:sz="8" w:val="single"/>
            </w:tcBorders>
            <w:shd w:fill="auto" w:val="clear"/>
            <w:vAlign w:val="bottom"/>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c>
          <w:tcPr>
            <w:tcBorders>
              <w:bottom w:color="000000" w:space="0" w:sz="8" w:val="single"/>
              <w:right w:color="000000" w:space="0" w:sz="8" w:val="single"/>
            </w:tcBorders>
            <w:shd w:fill="auto" w:val="clear"/>
            <w:vAlign w:val="bottom"/>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c>
          <w:tcPr>
            <w:vMerge w:val="continue"/>
            <w:tcBorders>
              <w:top w:color="000000" w:space="0" w:sz="8" w:val="single"/>
              <w:right w:color="000000" w:space="0" w:sz="8" w:val="single"/>
            </w:tcBorders>
            <w:shd w:fill="auto" w:val="clear"/>
            <w:vAlign w:val="bottom"/>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r>
      <w:tr>
        <w:trPr>
          <w:trHeight w:val="254" w:hRule="atLeast"/>
        </w:trPr>
        <w:tc>
          <w:tcPr>
            <w:gridSpan w:val="4"/>
            <w:vMerge w:val="restart"/>
            <w:tcBorders>
              <w:left w:color="000000" w:space="0" w:sz="8" w:val="single"/>
              <w:right w:color="000000" w:space="0" w:sz="8" w:val="single"/>
            </w:tcBorders>
            <w:shd w:fill="auto" w:val="clea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Tecido nervoso – substância cinzenta</w:t>
            </w:r>
          </w:p>
        </w:tc>
        <w:tc>
          <w:tcPr>
            <w:tcBorders>
              <w:left w:color="000000" w:space="0" w:sz="8" w:val="single"/>
              <w:right w:color="000000" w:space="0" w:sz="8" w:val="single"/>
            </w:tcBorders>
            <w:shd w:fill="auto" w:val="clear"/>
            <w:vAlign w:val="bottom"/>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85%</w:t>
            </w:r>
          </w:p>
        </w:tc>
      </w:tr>
      <w:tr>
        <w:trPr>
          <w:trHeight w:val="263" w:hRule="atLeast"/>
        </w:trPr>
        <w:tc>
          <w:tcPr>
            <w:gridSpan w:val="4"/>
            <w:vMerge w:val="continue"/>
            <w:tcBorders>
              <w:left w:color="000000" w:space="0" w:sz="8" w:val="single"/>
              <w:right w:color="000000" w:space="0" w:sz="8"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r>
      <w:tr>
        <w:trPr>
          <w:trHeight w:val="254" w:hRule="atLeast"/>
        </w:trPr>
        <w:tc>
          <w:tcPr>
            <w:gridSpan w:val="4"/>
            <w:vMerge w:val="restart"/>
            <w:tcBorders>
              <w:left w:color="000000" w:space="0" w:sz="8" w:val="single"/>
              <w:right w:color="000000" w:space="0" w:sz="8" w:val="single"/>
            </w:tcBorders>
            <w:shd w:fill="auto" w:val="clear"/>
            <w:vAlign w:val="bottom"/>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Tecido nervoso – substância branca</w:t>
            </w:r>
          </w:p>
        </w:tc>
        <w:tc>
          <w:tcPr>
            <w:tcBorders>
              <w:left w:color="000000" w:space="0" w:sz="8" w:val="single"/>
              <w:right w:color="000000" w:space="0" w:sz="8" w:val="single"/>
            </w:tcBorders>
            <w:shd w:fill="auto" w:val="clear"/>
            <w:vAlign w:val="bottom"/>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70%</w:t>
            </w:r>
          </w:p>
        </w:tc>
      </w:tr>
      <w:tr>
        <w:trPr>
          <w:trHeight w:val="273" w:hRule="atLeast"/>
        </w:trPr>
        <w:tc>
          <w:tcPr>
            <w:gridSpan w:val="4"/>
            <w:vMerge w:val="continue"/>
            <w:tcBorders>
              <w:left w:color="000000" w:space="0" w:sz="8" w:val="single"/>
              <w:right w:color="000000" w:space="0" w:sz="8" w:val="single"/>
            </w:tcBorders>
            <w:shd w:fill="auto" w:val="clear"/>
            <w:vAlign w:val="bottom"/>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c>
      </w:tr>
      <w:tr>
        <w:trPr>
          <w:trHeight w:val="258" w:hRule="atLeast"/>
        </w:trPr>
        <w:tc>
          <w:tcPr>
            <w:gridSpan w:val="4"/>
            <w:tcBorders>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Medula óssea</w:t>
            </w:r>
            <w:r w:rsidDel="00000000" w:rsidR="00000000" w:rsidRPr="00000000">
              <w:rPr>
                <w:rtl w:val="0"/>
              </w:rPr>
            </w:r>
          </w:p>
        </w:tc>
        <w:tc>
          <w:tcPr>
            <w:tcBorders>
              <w:bottom w:color="000000" w:space="0" w:sz="8" w:val="single"/>
              <w:right w:color="000000" w:space="0" w:sz="8" w:val="single"/>
            </w:tcBorders>
            <w:shd w:fill="auto" w:val="clear"/>
            <w:vAlign w:val="bottom"/>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w:t>
            </w:r>
          </w:p>
        </w:tc>
      </w:tr>
      <w:tr>
        <w:trPr>
          <w:trHeight w:val="258" w:hRule="atLeast"/>
        </w:trPr>
        <w:tc>
          <w:tcPr>
            <w:gridSpan w:val="4"/>
            <w:tcBorders>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Tecido conjuntivo</w:t>
            </w:r>
            <w:r w:rsidDel="00000000" w:rsidR="00000000" w:rsidRPr="00000000">
              <w:rPr>
                <w:rtl w:val="0"/>
              </w:rPr>
            </w:r>
          </w:p>
        </w:tc>
        <w:tc>
          <w:tcPr>
            <w:tcBorders>
              <w:bottom w:color="000000" w:space="0" w:sz="8" w:val="single"/>
              <w:right w:color="000000" w:space="0" w:sz="8" w:val="single"/>
            </w:tcBorders>
            <w:shd w:fill="auto" w:val="clear"/>
            <w:vAlign w:val="bottom"/>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w:t>
            </w:r>
          </w:p>
        </w:tc>
      </w:tr>
      <w:tr>
        <w:trPr>
          <w:trHeight w:val="258" w:hRule="atLeast"/>
        </w:trPr>
        <w:tc>
          <w:tcPr>
            <w:gridSpan w:val="4"/>
            <w:tcBorders>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Tecido adiposo</w:t>
            </w:r>
            <w:r w:rsidDel="00000000" w:rsidR="00000000" w:rsidRPr="00000000">
              <w:rPr>
                <w:rtl w:val="0"/>
              </w:rPr>
            </w:r>
          </w:p>
        </w:tc>
        <w:tc>
          <w:tcPr>
            <w:tcBorders>
              <w:bottom w:color="000000" w:space="0" w:sz="8" w:val="single"/>
              <w:right w:color="000000" w:space="0" w:sz="8" w:val="single"/>
            </w:tcBorders>
            <w:shd w:fill="auto" w:val="clear"/>
            <w:vAlign w:val="bottom"/>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r>
      <w:tr>
        <w:trPr>
          <w:trHeight w:val="259" w:hRule="atLeast"/>
        </w:trPr>
        <w:tc>
          <w:tcPr>
            <w:gridSpan w:val="4"/>
            <w:tcBorders>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Hemácias</w:t>
            </w:r>
            <w:r w:rsidDel="00000000" w:rsidR="00000000" w:rsidRPr="00000000">
              <w:rPr>
                <w:rtl w:val="0"/>
              </w:rPr>
            </w:r>
          </w:p>
        </w:tc>
        <w:tc>
          <w:tcPr>
            <w:tcBorders>
              <w:bottom w:color="000000" w:space="0" w:sz="8" w:val="single"/>
              <w:right w:color="000000" w:space="0" w:sz="8" w:val="single"/>
            </w:tcBorders>
            <w:shd w:fill="auto" w:val="clear"/>
            <w:vAlign w:val="bottom"/>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w:t>
            </w:r>
          </w:p>
        </w:tc>
      </w:tr>
      <w:tr>
        <w:trPr>
          <w:trHeight w:val="258" w:hRule="atLeast"/>
        </w:trPr>
        <w:tc>
          <w:tcPr>
            <w:gridSpan w:val="4"/>
            <w:tcBorders>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Ossos (sem medula)</w:t>
            </w:r>
            <w:r w:rsidDel="00000000" w:rsidR="00000000" w:rsidRPr="00000000">
              <w:rPr>
                <w:rtl w:val="0"/>
              </w:rPr>
            </w:r>
          </w:p>
        </w:tc>
        <w:tc>
          <w:tcPr>
            <w:tcBorders>
              <w:bottom w:color="000000" w:space="0" w:sz="8" w:val="single"/>
              <w:right w:color="000000" w:space="0" w:sz="8" w:val="single"/>
            </w:tcBorders>
            <w:shd w:fill="auto" w:val="clear"/>
            <w:vAlign w:val="bottom"/>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w:t>
            </w:r>
          </w:p>
        </w:tc>
      </w:tr>
    </w:tb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Enquanto intacta, essa amostra pesava 200 mg. Após secagem em estufa, quando se retirou toda a água do tecido, a amostra passou a pesar 80 mg. Baseado na tabela, pode-se afirmar que essa é uma amostra de</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tecido nervoso - substância cinzenta.</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tecido nervoso - substância branca.</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hemácias.</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tecido conjuntivo.</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tecido adiposo.</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(ENEM 2009)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água apresenta propriedades físico-químicas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a coloca em posição de destaque como substância essencial à vida. Dentre essas, destacam-se as propriedades térmicas biologicamente muito importantes, por exemplo, o elevado valor de calor latente de vaporização. Esse calor latente refere-se à quantidade de calor que deve ser adicionada a um líquido em seu ponto de ebulição, por unidade de massa, para convertê-lo em vapor na mesma temperatura, que no caso da água é igual a 540 calorias por grama.</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 propriedade físico-química mencionada no texto confere à água a capacidade de servir como doador de elétrons no processo de fotossíntese.</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funcionar como regulador térmico para os organismos vivos.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agir como solvente universal nos tecidos animais e vegetais.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transportar os íons de ferro e magnésio nos tecidos vegetais.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funcionar como mantenedora do metabolismo nos organismos vivos.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(UCS 2015)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Uma criança passeando com seus pais na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beira da lagoa reparou que havia vários insetos caminhando sobre a superfície da água. Eles não afundavam, porque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as patas dos insetos estabelecem uma reação hidrofóbica.</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a água é uma substância apolar e forma uma reação química com a superfície das patas dos insetos.</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as pontes de hidrogênio são extremamente instáveis, tornando-se uma superfície sólida para os insetos.</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as patas dos insetos estabelecem uma reação hidrofílica</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a tensão superficial da água consegue suportar o peso do inseto.</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(UFRGS/2016)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Assinale a alternativa que preenche corretamente as lacunas do enunciado abaixo, na ordem em que aparecem.</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plantas necessitam de nutrientes minerais, constituídos de diferentes elementos químicos, os quais são retirados do solo através das raízes. Macroelementos como o ………. são necessários em maiores quantidades. Já elementos como o ……… são necessários em menores quantidades.</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nitrogênio    –    cobre</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boro             –    manganês</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fósforo         –    potássio</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potássio       –    nitrogênio</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cobre            –    fósforo</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(UCS RS/2012)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sódio, componente que aparece descrito nos rótulos dos alimentos, é considerado um dos vilões da boa alimentação. O seu consumo excessivo pode causar __________, mas ele é um __________ útil para o metabolismo humano, pois participa na fisiologia __________.</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Assinale a alternativa que completa, correta e respectivamente, as lacunas acima.</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hipotensão; metal; renal.</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hipertensão; cátion; nervosa.</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hipotensão; mineral; pulmonar.</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hipertensão; ânion; digestiva.</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hipotensão; cátion; hepática.</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(CEFET PR/2009)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Muitos sais minerais são importantes para os seres vivos, atuando na forma de íons ou participando da composição de moléculas orgânicas. Assinale a alternativa correta sobre esta atuação.</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tab/>
        <w:t xml:space="preserve">Os íons cálcio e potássio são importantes na formação da hemoglobina.</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tab/>
        <w:t xml:space="preserve">Os íons sódio e potássio são importantes nos impulsos nervosos.</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tab/>
        <w:t xml:space="preserve">O magnésio participa na formação de um hormônio produzido pela tireóide. </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O iodo participa na formação da clorofila.</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Os íons de ferro são importantes no transporte ativo através da membrana plasmática.</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(UNIPAR PR/2007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conhecimento médico e a sabedoria popular coincidem na defesa de que o cozimento em panelas de ferro faz bem à saúde. Segundo pesquisas, o simples fato de cozinhar alimentos nessas panelas reduz drasticamente a taxa de anemia mesmo em populações que sofrem de algum déficit nutricional. Essa redução pode ser explicada pelo fato de que o ferro:</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ao se desprender das paredes da panela modifica o sabor dos alimentos e aumentando o apetite das pessoas.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quando aquecido libera vitaminas do complexo B presente nos alimentos prevenindo a anemia.</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quando aquecido se desprende mais facilmente dos alimentos facilitando a sua absorção.</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ao se desprender das paredes da panela libera vitaminas que aceleram a digestão das pessoas.</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proveniente das panelas se mistura aos alimentos e é facilmente absorvido pelo organismo.</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(ACAFE SC/2003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Identifique os diferentes sais minerais com suas funções no organismo, apresentadas abaixo. </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Participa da molécula dos ácidos nucléicos.</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Forma a hemoglobina dos glóbulos vermelhos.</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Importante para o equilíbrio dos íons do corpo.</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Forma ossos e dentes. Age na contração muscular.</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alternativa correta, de cima para baixo, é:</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Cálcio  -  Ferro  -  Sódio  -  Fosfato</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Ferro  -  Sódio  -  Cálcio  -  Fosfato </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Sódio  -  Fosfato  -  Ferro  -  Cálcio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Fosfato  -  Ferro  -  Sódio  -  Cálcio</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Fosfato  -  Cálcio  -  Ferro  -  Sódio</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(PUC RS/2001)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citoplasma celular é composto por organelas dispersas numa solução aquosa denominada citosol. A água, portanto, tem um papel fundamental na célula. Das funções que a água desempenha no citosol, qual não está correta?</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Participa no equilíbrio osmótico.</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Catalisa reações químicas.</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Atua como solvente universal.</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Participa de reações de hidrólise.</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Participa no transporte de moléculas.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12 - (UFRGS/2000)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Associe os elementos químicos da coluna superior com as funções orgânicas na coluna inferior:</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tab/>
        <w:t xml:space="preserve">Magnésio</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tab/>
        <w:t xml:space="preserve">Potássio</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tab/>
        <w:t xml:space="preserve">Iodo</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w:t>
        <w:tab/>
        <w:t xml:space="preserve">Cálcio</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w:t>
        <w:tab/>
        <w:t xml:space="preserve">Sódio</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w:t>
        <w:tab/>
        <w:t xml:space="preserve">Ferro</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tab/>
        <w:t xml:space="preserve">formação do tecido ósseo</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tab/>
        <w:t xml:space="preserve">transporte de oxigênio</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tab/>
        <w:t xml:space="preserve">assimilação de energia luminosa</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tab/>
        <w:t xml:space="preserve">equilíbrio de água no corpo</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tab/>
        <w:t xml:space="preserve">transmissão de impulso nervoso</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seqüência numérica correta, de cima para baixo, na coluna da direita é:</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tab/>
        <w:t xml:space="preserve">4 – 3 – 1 – 5 – 2</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w:t>
        <w:tab/>
        <w:t xml:space="preserve">5 – 6 – 3 – 4 – 1</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w:t>
        <w:tab/>
        <w:t xml:space="preserve">4 – 6 – 1 – 5 – 2</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w:t>
        <w:tab/>
        <w:t xml:space="preserve">5 – 4 – 3 – 6 – 1</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w:t>
        <w:tab/>
        <w:t xml:space="preserve">6 – 4 – 2 – 3 – 1</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 (UPF 2012)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alimentação é uma preocupação constante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rotina das pessoas, tanto para obter uma vida saudável, como para perder peso, melhorar a saúde ou, ainda, para satisfazer uma necessidade fisiológica. Comer é sempre bom! Para isso é necessário que a alimentação contemple todos os grupos de alimentos orgânicos e inorgânicos. Com relação ao grupo “sais minerais”, numere a coluna II de acordo com a I.</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970530" cy="1375410"/>
            <wp:effectExtent b="0" l="0" r="0" t="0"/>
            <wp:docPr id="5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970530" cy="137541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relação correta da 2ª coluna, de cima para baixo, é:</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III, II, IV e 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II, III, IV e I</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II, III, I e IV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 III, II. I e IV</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34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IV, I, III e II</w:t>
      </w:r>
    </w:p>
    <w:p w:rsidR="00000000" w:rsidDel="00000000" w:rsidP="00000000" w:rsidRDefault="00000000" w:rsidRPr="00000000" w14:paraId="000000A2">
      <w:pPr>
        <w:jc w:val="both"/>
        <w:rPr>
          <w:sz w:val="24"/>
          <w:szCs w:val="24"/>
        </w:rPr>
      </w:pPr>
      <w:r w:rsidDel="00000000" w:rsidR="00000000" w:rsidRPr="00000000">
        <w:rPr>
          <w:b w:val="1"/>
          <w:sz w:val="24"/>
          <w:szCs w:val="24"/>
          <w:rtl w:val="0"/>
        </w:rPr>
        <w:t xml:space="preserve">14. (</w:t>
      </w:r>
      <w:r w:rsidDel="00000000" w:rsidR="00000000" w:rsidRPr="00000000">
        <w:rPr>
          <w:sz w:val="24"/>
          <w:szCs w:val="24"/>
          <w:rtl w:val="0"/>
        </w:rPr>
        <w:t xml:space="preserve">IFCE 2014) Os seres vivos são formados, quimicamente, por dois grandes grupos de compostos: orgânicos e inorgânicos. Os minerais, inorgânicos, desempenham funções importantíssimas para o ser vivo e a deficiência de alguns deles, no corpo humano, pode causar diversas doenças e prejuízos à saúde. O mineral, que é responsável pela constituição da hemoglobina e está relacionado ao transporte do O2 pelo sangue, cuja deficiência pode causar a doença conhecida como anemia, é o</w:t>
      </w:r>
    </w:p>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(A)  fósforo.</w:t>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 (B) iodo.</w:t>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 (C) sódio.</w:t>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 (D) potássio.</w:t>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 (E) ferro.</w:t>
      </w:r>
    </w:p>
    <w:p w:rsidR="00000000" w:rsidDel="00000000" w:rsidP="00000000" w:rsidRDefault="00000000" w:rsidRPr="00000000" w14:paraId="000000A8">
      <w:pPr>
        <w:jc w:val="both"/>
        <w:rPr>
          <w:sz w:val="24"/>
          <w:szCs w:val="24"/>
        </w:rPr>
      </w:pPr>
      <w:r w:rsidDel="00000000" w:rsidR="00000000" w:rsidRPr="00000000">
        <w:rPr>
          <w:b w:val="1"/>
          <w:sz w:val="24"/>
          <w:szCs w:val="24"/>
          <w:rtl w:val="0"/>
        </w:rPr>
        <w:t xml:space="preserve">15. </w:t>
      </w:r>
      <w:r w:rsidDel="00000000" w:rsidR="00000000" w:rsidRPr="00000000">
        <w:rPr>
          <w:sz w:val="24"/>
          <w:szCs w:val="24"/>
          <w:rtl w:val="0"/>
        </w:rPr>
        <w:t xml:space="preserve">A água é o componente celular mais abundante, corresponde a cerca de 75 a 85% e está presente em todas as células. Essa abundância e universalidade nos seres vivos ocorre em função de diversas propriedades biológicas dessa molécula.</w:t>
      </w:r>
    </w:p>
    <w:p w:rsidR="00000000" w:rsidDel="00000000" w:rsidP="00000000" w:rsidRDefault="00000000" w:rsidRPr="00000000" w14:paraId="000000A9">
      <w:pPr>
        <w:jc w:val="both"/>
        <w:rPr>
          <w:sz w:val="24"/>
          <w:szCs w:val="24"/>
        </w:rPr>
      </w:pPr>
      <w:r w:rsidDel="00000000" w:rsidR="00000000" w:rsidRPr="00000000">
        <w:rPr>
          <w:sz w:val="24"/>
          <w:szCs w:val="24"/>
          <w:rtl w:val="0"/>
        </w:rPr>
        <w:t xml:space="preserve">Sobre essas propriedades, analise as afirmativas a seguir:</w:t>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I. É um excelente solvente de várias substâncias orgânicas e inorgânicas, sendo por isso denominada como solvente universal, por causa das características elétricas de suas moléculas.</w:t>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II. Permite a ocorrência das reações bioquímicas no citoplasma, além de contribuir para o equilíbrio térmico das células, evitando as variações bruscas de temperatura.</w:t>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III. É uma molécula dotada da propriedade de catalisar determinadas reações bioquímicas, tanto no sentido de síntese como no de degradação de moléculas.</w:t>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Marque a alternativa CORRETA:</w:t>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(A)</w:t>
        <w:tab/>
        <w:t xml:space="preserve">Apenas a proposição I é verdadeira.</w:t>
      </w:r>
    </w:p>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(B)</w:t>
        <w:tab/>
        <w:t xml:space="preserve">Apenas as proposições I e II são verdadeiras.</w:t>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(C)</w:t>
        <w:tab/>
        <w:t xml:space="preserve">Apenas a proposição II é verdadeira.</w:t>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(D)</w:t>
        <w:tab/>
        <w:t xml:space="preserve">Apenas as proposições II e III são verdadeiras.</w:t>
      </w:r>
    </w:p>
    <w:p w:rsidR="00000000" w:rsidDel="00000000" w:rsidP="00000000" w:rsidRDefault="00000000" w:rsidRPr="00000000" w14:paraId="000000B2">
      <w:pPr>
        <w:jc w:val="both"/>
        <w:rPr>
          <w:sz w:val="24"/>
          <w:szCs w:val="24"/>
        </w:rPr>
      </w:pPr>
      <w:r w:rsidDel="00000000" w:rsidR="00000000" w:rsidRPr="00000000">
        <w:rPr>
          <w:b w:val="1"/>
          <w:sz w:val="24"/>
          <w:szCs w:val="24"/>
          <w:rtl w:val="0"/>
        </w:rPr>
        <w:t xml:space="preserve">16.</w:t>
      </w:r>
      <w:r w:rsidDel="00000000" w:rsidR="00000000" w:rsidRPr="00000000">
        <w:rPr>
          <w:sz w:val="24"/>
          <w:szCs w:val="24"/>
          <w:rtl w:val="0"/>
        </w:rPr>
        <w:t xml:space="preserve"> A água, substância essencial para todos os seres vivos,</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(A)</w:t>
        <w:tab/>
        <w:t xml:space="preserve">apresenta-se em quantidade invariável de espécie para espécie.</w:t>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(B)</w:t>
        <w:tab/>
        <w:t xml:space="preserve">tende a aumentar seu percentual nos tecidos humanos com o passar da idade.</w:t>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(C)</w:t>
        <w:tab/>
        <w:t xml:space="preserve">em geral é mais abundante em células com elevado metabolismo.</w:t>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(D)</w:t>
        <w:tab/>
        <w:t xml:space="preserve">é considerada como um solvente universal por ser uma substância apolar.</w:t>
      </w:r>
    </w:p>
    <w:p w:rsidR="00000000" w:rsidDel="00000000" w:rsidP="00000000" w:rsidRDefault="00000000" w:rsidRPr="00000000" w14:paraId="000000B7">
      <w:pPr>
        <w:jc w:val="both"/>
        <w:rPr>
          <w:sz w:val="24"/>
          <w:szCs w:val="24"/>
        </w:rPr>
      </w:pPr>
      <w:r w:rsidDel="00000000" w:rsidR="00000000" w:rsidRPr="00000000">
        <w:rPr>
          <w:b w:val="1"/>
          <w:sz w:val="24"/>
          <w:szCs w:val="24"/>
          <w:rtl w:val="0"/>
        </w:rPr>
        <w:t xml:space="preserve">17.</w:t>
      </w:r>
      <w:r w:rsidDel="00000000" w:rsidR="00000000" w:rsidRPr="00000000">
        <w:rPr>
          <w:sz w:val="24"/>
          <w:szCs w:val="24"/>
          <w:rtl w:val="0"/>
        </w:rPr>
        <w:t xml:space="preserve"> QUAIS SÃO AS FUNÇÕES DA ÁGUA NO CORPO HUMANO?</w:t>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     A água não é apenas importante, mas indispensável para a vida humana, representando cerca de 60% do peso de um adulto. Nos bebês, a proporção é ainda maior: 70%. Ela é o elemento mais importante do corpo, o principal componente das células e um solvente biológico universal, por isso todas as nossas reações químicas internas dependem dela. A água também é essencial para transportar alimentos, oxigênio e sais minerais, além de estar presente em todas as secreções (como o suor e a lágrima), no plasma sanguíneo, nas articulações, nos sistemas respiratório, digestivo e nervoso, na urina e na pele. [...]</w:t>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PINSKY, Luciana. Quais são as funções da água no corpo humano? Mundo Estranho, 20 mar. 2018. Disponível em: &lt;https://mundoestranho.abril.com.br/saude/quais-sao-as-funcoes-da-agua-no-corpo-humano/&gt;. Acesso em: 20 mar. 2018.</w:t>
      </w:r>
    </w:p>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Considerando as funções citadas no texto, pode-se dizer que a água</w:t>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(A)</w:t>
        <w:tab/>
        <w:t xml:space="preserve">compõe o material genético.</w:t>
      </w:r>
    </w:p>
    <w:p w:rsidR="00000000" w:rsidDel="00000000" w:rsidP="00000000" w:rsidRDefault="00000000" w:rsidRPr="00000000" w14:paraId="000000BD">
      <w:pPr>
        <w:jc w:val="both"/>
        <w:rPr>
          <w:sz w:val="24"/>
          <w:szCs w:val="24"/>
        </w:rPr>
      </w:pPr>
      <w:r w:rsidDel="00000000" w:rsidR="00000000" w:rsidRPr="00000000">
        <w:rPr>
          <w:sz w:val="24"/>
          <w:szCs w:val="24"/>
          <w:rtl w:val="0"/>
        </w:rPr>
        <w:t xml:space="preserve">(B)</w:t>
        <w:tab/>
        <w:t xml:space="preserve">ativa as enzimas do corpo.</w:t>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(C)</w:t>
        <w:tab/>
        <w:t xml:space="preserve">fornece energia às células.</w:t>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(D)</w:t>
        <w:tab/>
        <w:t xml:space="preserve">dissolve várias substâncias.</w:t>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(E)</w:t>
        <w:tab/>
        <w:t xml:space="preserve">catalisa reações químicas.</w:t>
      </w:r>
    </w:p>
    <w:p w:rsidR="00000000" w:rsidDel="00000000" w:rsidP="00000000" w:rsidRDefault="00000000" w:rsidRPr="00000000" w14:paraId="000000C1">
      <w:pPr>
        <w:jc w:val="both"/>
        <w:rPr>
          <w:sz w:val="24"/>
          <w:szCs w:val="24"/>
        </w:rPr>
      </w:pPr>
      <w:r w:rsidDel="00000000" w:rsidR="00000000" w:rsidRPr="00000000">
        <w:rPr>
          <w:b w:val="1"/>
          <w:sz w:val="24"/>
          <w:szCs w:val="24"/>
          <w:rtl w:val="0"/>
        </w:rPr>
        <w:t xml:space="preserve">18.</w:t>
      </w:r>
      <w:r w:rsidDel="00000000" w:rsidR="00000000" w:rsidRPr="00000000">
        <w:rPr>
          <w:sz w:val="24"/>
          <w:szCs w:val="24"/>
          <w:rtl w:val="0"/>
        </w:rPr>
        <w:t xml:space="preserve"> HIDRATANTE E POUCO CALÓRICA, A ÁGUA DE COCO FUNCIONA COMO ISOTÔNICO NATURAL</w:t>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    Há maior quantidade de líquido quando o coco está verde. Conforme aumenta o tempo de maturação (maior tempo de vida), há redução do líquido e de açúcares, e aumenta a quantidade de gorduras e proteínas. O mineral em maior abundância é o potássio, seguido de cálcio e magnésio. Possui menores concentrações de sódio e fósforo.</w:t>
      </w:r>
    </w:p>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PERRONI, Cristiane. Hidratante e pouco calórica, a água de coco funciona como isotônico natural. Globo Esporte, 29 abr. 2016. Disponível em: &lt;http://globoesporte.globo.com/eu-atleta/nutricao/noticia/2016/04/hidratante-e-pouco-calorica-agua-de-coco-funciona-como-isotonico-natural.html&gt;. Acesso em: 7 mar. 2018.</w:t>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A água de coco pode ser considerada um isotônico natural, pois</w:t>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(A)</w:t>
        <w:tab/>
        <w:t xml:space="preserve">promove o equilíbrio osmótico.</w:t>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(B)</w:t>
        <w:tab/>
        <w:t xml:space="preserve">repõe água e sais minerais.</w:t>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(C)</w:t>
        <w:tab/>
        <w:t xml:space="preserve">aumenta a taxa glicêmica.</w:t>
      </w:r>
    </w:p>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(D)</w:t>
        <w:tab/>
        <w:t xml:space="preserve">fornece energia ao organismo.</w:t>
      </w:r>
    </w:p>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(E)</w:t>
        <w:tab/>
        <w:t xml:space="preserve">regula a pressão arterial.</w:t>
      </w:r>
    </w:p>
    <w:p w:rsidR="00000000" w:rsidDel="00000000" w:rsidP="00000000" w:rsidRDefault="00000000" w:rsidRPr="00000000" w14:paraId="000000CC">
      <w:pPr>
        <w:jc w:val="both"/>
        <w:rPr>
          <w:sz w:val="24"/>
          <w:szCs w:val="24"/>
        </w:rPr>
      </w:pPr>
      <w:r w:rsidDel="00000000" w:rsidR="00000000" w:rsidRPr="00000000">
        <w:rPr>
          <w:b w:val="1"/>
          <w:sz w:val="24"/>
          <w:szCs w:val="24"/>
          <w:rtl w:val="0"/>
        </w:rPr>
        <w:t xml:space="preserve">19.</w:t>
      </w:r>
      <w:r w:rsidDel="00000000" w:rsidR="00000000" w:rsidRPr="00000000">
        <w:rPr>
          <w:sz w:val="24"/>
          <w:szCs w:val="24"/>
          <w:rtl w:val="0"/>
        </w:rPr>
        <w:t xml:space="preserve"> MARTE PODE ABRIGAR VIDA ABAIXO DE SUA SUPERFÍCIE, AFIRMA ESTUDO</w:t>
      </w:r>
    </w:p>
    <w:p w:rsidR="00000000" w:rsidDel="00000000" w:rsidP="00000000" w:rsidRDefault="00000000" w:rsidRPr="00000000" w14:paraId="000000CD">
      <w:pPr>
        <w:jc w:val="both"/>
        <w:rPr>
          <w:sz w:val="24"/>
          <w:szCs w:val="24"/>
        </w:rPr>
      </w:pPr>
      <w:r w:rsidDel="00000000" w:rsidR="00000000" w:rsidRPr="00000000">
        <w:rPr>
          <w:sz w:val="24"/>
          <w:szCs w:val="24"/>
          <w:rtl w:val="0"/>
        </w:rPr>
        <w:t xml:space="preserve">     Um estudo publicado na revista científica Nature Geoscience revela que a água salgada abaixo da superfície de Marte pode estar originando a vida no Planeta Vermelho. Cientistas descobriram que isso só é possível graças a uma quantidade significativa de oxigênio encontrada no local, que seria suficiente para a emergência de micróbios e até de animais mais complexos como a esponja-do-mar, algo semelhante ao que aconteceu no planeta Terra há milhões de anos atrás.</w:t>
      </w:r>
    </w:p>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      A descoberta derrubaria a crença de que o planeta não seria capaz de proporcionar condições adequadas para que novas vidas surgissem. [...]</w:t>
      </w:r>
    </w:p>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     Ainda que tenha sido uma grande descoberta para a ciência, o fato de Marte ter oxigênio não quer dizer que o planeta seria capaz de sustentar e manter essas vidas. Existem muitas incógnitas para serem solucionadas como, por exemplo, de onde surgiu toda a água salgada presente no planeta.</w:t>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“Marte pode abrigar vida abaixo de sua superfície, afirma estudo”. Galileu, 23 out. 2018. Disponível em: &lt;https://revistagalileu.globo.com/Ciencia/Espaco/noticia/2018/10/marte-pode-abrigar-vida-abaixo-de-sua-superficie-afirma-estudo.html&gt;. Acesso em: 28 nov. 2018.</w:t>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Existem diversos estudos sobre a eventual presença de água em outros planetas e corpos celestes associados à possibilidade de vida extraterrestre. A importância da água nesse contexto pode ser explicada pelo fato de</w:t>
      </w:r>
    </w:p>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(A)</w:t>
        <w:tab/>
        <w:t xml:space="preserve">a água líquida ser essencial para a manutenção dos seres vivos terrestres e, por essa razão, parte-se do pressuposto razoável de que os seres extraterrestres também necessitem de água nesse estado.</w:t>
      </w:r>
    </w:p>
    <w:p w:rsidR="00000000" w:rsidDel="00000000" w:rsidP="00000000" w:rsidRDefault="00000000" w:rsidRPr="00000000" w14:paraId="000000D3">
      <w:pPr>
        <w:jc w:val="both"/>
        <w:rPr>
          <w:sz w:val="24"/>
          <w:szCs w:val="24"/>
        </w:rPr>
      </w:pPr>
      <w:r w:rsidDel="00000000" w:rsidR="00000000" w:rsidRPr="00000000">
        <w:rPr>
          <w:sz w:val="24"/>
          <w:szCs w:val="24"/>
          <w:rtl w:val="0"/>
        </w:rPr>
        <w:t xml:space="preserve">(B)</w:t>
        <w:tab/>
        <w:t xml:space="preserve">a água líquida ser importante para algumas formas de vida terrestres parecidas com as formas de vida que se pretende encontrar no espaço, embora não seja essencial para diversos seres vivos da Terra.</w:t>
      </w:r>
    </w:p>
    <w:p w:rsidR="00000000" w:rsidDel="00000000" w:rsidP="00000000" w:rsidRDefault="00000000" w:rsidRPr="00000000" w14:paraId="000000D4">
      <w:pPr>
        <w:jc w:val="both"/>
        <w:rPr>
          <w:sz w:val="24"/>
          <w:szCs w:val="24"/>
        </w:rPr>
      </w:pPr>
      <w:r w:rsidDel="00000000" w:rsidR="00000000" w:rsidRPr="00000000">
        <w:rPr>
          <w:sz w:val="24"/>
          <w:szCs w:val="24"/>
          <w:rtl w:val="0"/>
        </w:rPr>
        <w:t xml:space="preserve">(C)</w:t>
        <w:tab/>
        <w:t xml:space="preserve">tanto a água líquida quanto a sólida abrigar inúmeras espécies de seres vivos, e o foco da busca por vida extraterrestre envolver apenas planetas com dimensões semelhantes às da Terra.</w:t>
      </w:r>
    </w:p>
    <w:p w:rsidR="00000000" w:rsidDel="00000000" w:rsidP="00000000" w:rsidRDefault="00000000" w:rsidRPr="00000000" w14:paraId="000000D5">
      <w:pPr>
        <w:jc w:val="both"/>
        <w:rPr>
          <w:sz w:val="24"/>
          <w:szCs w:val="24"/>
        </w:rPr>
      </w:pPr>
      <w:r w:rsidDel="00000000" w:rsidR="00000000" w:rsidRPr="00000000">
        <w:rPr>
          <w:sz w:val="24"/>
          <w:szCs w:val="24"/>
          <w:rtl w:val="0"/>
        </w:rPr>
        <w:t xml:space="preserve">(D)</w:t>
        <w:tab/>
        <w:t xml:space="preserve">a água líquida ser vital para a manutenção dos seres vivos da Terra e, por esse motivo, também ser obrigatoriamente essencial para a ocorrência de vida em ambiente extraterrestre.</w:t>
      </w:r>
    </w:p>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(E)</w:t>
        <w:tab/>
        <w:t xml:space="preserve">a água líquida não ser vital para a vida na Terra, mas provavelmente haveria vida extraterrestre debaixo d’água por causa da proteção fornecida pelo ambiente aquático, se comparado à atmosfera ou à superfície dos planetas.</w:t>
      </w:r>
    </w:p>
    <w:p w:rsidR="00000000" w:rsidDel="00000000" w:rsidP="00000000" w:rsidRDefault="00000000" w:rsidRPr="00000000" w14:paraId="000000D7">
      <w:pPr>
        <w:jc w:val="both"/>
        <w:rPr>
          <w:b w:val="1"/>
          <w:sz w:val="24"/>
          <w:szCs w:val="24"/>
        </w:rPr>
      </w:pPr>
      <w:r w:rsidDel="00000000" w:rsidR="00000000" w:rsidRPr="00000000">
        <w:rPr>
          <w:b w:val="1"/>
          <w:sz w:val="24"/>
          <w:szCs w:val="24"/>
          <w:rtl w:val="0"/>
        </w:rPr>
        <w:t xml:space="preserve">GABARITO:</w:t>
      </w:r>
    </w:p>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1 – B; 2 – D; 3 – D; 4 – B; 5 – E; 6 – A; 7 – B; 8 – B; 9 – E; 10 – D; 11 – B; 12 – C; 13 – A; 14 – E; 15 – B; 16 – C; 17 – D; 18 – B; 19 – A.</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1" w:customStyle="1">
    <w:name w:val="C1"/>
    <w:basedOn w:val="Normal"/>
    <w:link w:val="C1Char"/>
    <w:qFormat w:val="1"/>
    <w:rsid w:val="0083578F"/>
    <w:pPr>
      <w:ind w:right="343"/>
      <w:jc w:val="both"/>
    </w:pPr>
  </w:style>
  <w:style w:type="character" w:styleId="C1Char" w:customStyle="1">
    <w:name w:val="C1 Char"/>
    <w:basedOn w:val="Fontepargpadro"/>
    <w:link w:val="C1"/>
    <w:rsid w:val="0083578F"/>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tPrwvabO5vhiGMdIhkZpzPNytw==">AMUW2mV1xxlGszu3rPvVpuyJb1/Y1yoErG07ce77v8LJyVrv3/FiIkPBWgA+5IUGUHzn2QvVxLMzgsMGDCzACy6eDzOUCkCT+xpekBbqfmuUKeu6UNHmnqk=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2021-05-16T13:40:00Z</dcterms:created>
  <dc:creator>Bruno Barbosa</dc:creator>
</cp:coreProperties>
</file>