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225E3" w14:textId="6D24DA26" w:rsidR="00DE2DB5" w:rsidRPr="003F0F6C" w:rsidRDefault="003F0F6C" w:rsidP="003F0F6C">
      <w:pPr>
        <w:jc w:val="center"/>
        <w:rPr>
          <w:rFonts w:cstheme="minorHAnsi"/>
          <w:b/>
          <w:bCs/>
          <w:noProof w:val="0"/>
          <w:sz w:val="32"/>
          <w:szCs w:val="32"/>
        </w:rPr>
      </w:pPr>
      <w:r w:rsidRPr="003F0F6C">
        <w:rPr>
          <w:rFonts w:cstheme="minorHAnsi"/>
          <w:b/>
          <w:bCs/>
          <w:noProof w:val="0"/>
          <w:sz w:val="32"/>
          <w:szCs w:val="32"/>
        </w:rPr>
        <w:t>T</w:t>
      </w:r>
      <w:r w:rsidR="0051342E">
        <w:rPr>
          <w:rFonts w:cstheme="minorHAnsi"/>
          <w:b/>
          <w:bCs/>
          <w:noProof w:val="0"/>
          <w:sz w:val="32"/>
          <w:szCs w:val="32"/>
        </w:rPr>
        <w:t>EMPLA</w:t>
      </w:r>
      <w:r w:rsidRPr="003F0F6C">
        <w:rPr>
          <w:rFonts w:cstheme="minorHAnsi"/>
          <w:b/>
          <w:bCs/>
          <w:noProof w:val="0"/>
          <w:sz w:val="32"/>
          <w:szCs w:val="32"/>
        </w:rPr>
        <w:t>TE-DATA</w:t>
      </w:r>
    </w:p>
    <w:p w14:paraId="0CEE3F29" w14:textId="77777777" w:rsidR="003F0F6C" w:rsidRPr="003F0F6C" w:rsidRDefault="003F0F6C" w:rsidP="003F0F6C">
      <w:pPr>
        <w:jc w:val="center"/>
        <w:rPr>
          <w:rFonts w:cstheme="minorHAnsi"/>
          <w:b/>
          <w:bCs/>
          <w:noProof w:val="0"/>
          <w:sz w:val="28"/>
          <w:szCs w:val="28"/>
          <w:u w:val="single"/>
        </w:rPr>
      </w:pPr>
    </w:p>
    <w:p w14:paraId="49268D01" w14:textId="77777777" w:rsidR="00DE2DB5" w:rsidRDefault="00DE2DB5" w:rsidP="002B5833">
      <w:pPr>
        <w:rPr>
          <w:rFonts w:cstheme="minorHAnsi"/>
          <w:b/>
          <w:bCs/>
          <w:noProof w:val="0"/>
          <w:u w:val="single"/>
        </w:rPr>
      </w:pPr>
    </w:p>
    <w:p w14:paraId="78BBEBFE" w14:textId="2A242EDD" w:rsidR="002B5833" w:rsidRPr="00661869" w:rsidRDefault="00DE2DB5" w:rsidP="002B5833">
      <w:pPr>
        <w:rPr>
          <w:rFonts w:cstheme="minorHAnsi"/>
          <w:b/>
          <w:bCs/>
          <w:noProof w:val="0"/>
          <w:u w:val="single"/>
        </w:rPr>
      </w:pPr>
      <w:r>
        <w:rPr>
          <w:rFonts w:cstheme="minorHAnsi"/>
          <w:b/>
          <w:bCs/>
          <w:noProof w:val="0"/>
          <w:u w:val="single"/>
        </w:rPr>
        <w:t>Dataset:</w:t>
      </w:r>
    </w:p>
    <w:p w14:paraId="5C596D87" w14:textId="1B9A566D" w:rsidR="002B5833" w:rsidRDefault="00DE2DB5" w:rsidP="002B5833">
      <w:pPr>
        <w:rPr>
          <w:rFonts w:cstheme="minorHAnsi"/>
          <w:noProof w:val="0"/>
        </w:rPr>
      </w:pPr>
      <w:r>
        <w:rPr>
          <w:rFonts w:cstheme="minorHAnsi"/>
          <w:noProof w:val="0"/>
        </w:rPr>
        <w:t>T</w:t>
      </w:r>
      <w:r w:rsidR="002B5833" w:rsidRPr="00661869">
        <w:rPr>
          <w:rFonts w:cstheme="minorHAnsi"/>
          <w:noProof w:val="0"/>
        </w:rPr>
        <w:t xml:space="preserve">he biological dataset of </w:t>
      </w:r>
      <w:sdt>
        <w:sdtPr>
          <w:rPr>
            <w:rFonts w:cstheme="minorHAnsi"/>
            <w:noProof w:val="0"/>
            <w:color w:val="000000"/>
          </w:rPr>
          <w:tag w:val="MENDELEY_CITATION_v3_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"/>
          <w:id w:val="-476681564"/>
          <w:placeholder>
            <w:docPart w:val="DefaultPlaceholder_-1854013440"/>
          </w:placeholder>
        </w:sdtPr>
        <w:sdtEndPr/>
        <w:sdtContent>
          <w:r w:rsidR="003F0F6C" w:rsidRPr="003F0F6C">
            <w:rPr>
              <w:rFonts w:cstheme="minorHAnsi"/>
              <w:noProof w:val="0"/>
              <w:color w:val="000000"/>
            </w:rPr>
            <w:t xml:space="preserve">Lee et al., </w:t>
          </w:r>
          <w:r w:rsidR="003F0F6C">
            <w:rPr>
              <w:rFonts w:cstheme="minorHAnsi"/>
              <w:noProof w:val="0"/>
              <w:color w:val="000000"/>
            </w:rPr>
            <w:t>(</w:t>
          </w:r>
          <w:r w:rsidR="003F0F6C" w:rsidRPr="003F0F6C">
            <w:rPr>
              <w:rFonts w:cstheme="minorHAnsi"/>
              <w:noProof w:val="0"/>
              <w:color w:val="000000"/>
            </w:rPr>
            <w:t>2016)</w:t>
          </w:r>
        </w:sdtContent>
      </w:sdt>
      <w:r w:rsidR="003F0F6C">
        <w:rPr>
          <w:rFonts w:cstheme="minorHAnsi"/>
          <w:noProof w:val="0"/>
          <w:color w:val="000000"/>
        </w:rPr>
        <w:t xml:space="preserve"> </w:t>
      </w:r>
      <w:r>
        <w:rPr>
          <w:rFonts w:cstheme="minorHAnsi"/>
          <w:noProof w:val="0"/>
        </w:rPr>
        <w:t xml:space="preserve">study </w:t>
      </w:r>
      <w:r w:rsidR="003F0F6C">
        <w:rPr>
          <w:rFonts w:cstheme="minorHAnsi"/>
          <w:noProof w:val="0"/>
        </w:rPr>
        <w:t>is</w:t>
      </w:r>
      <w:r w:rsidR="002B5833" w:rsidRPr="00661869">
        <w:rPr>
          <w:rFonts w:cstheme="minorHAnsi"/>
          <w:noProof w:val="0"/>
        </w:rPr>
        <w:t xml:space="preserve"> used</w:t>
      </w:r>
      <w:r>
        <w:rPr>
          <w:rFonts w:cstheme="minorHAnsi"/>
          <w:noProof w:val="0"/>
        </w:rPr>
        <w:t xml:space="preserve"> as the template data of the </w:t>
      </w:r>
      <w:proofErr w:type="spellStart"/>
      <w:r>
        <w:rPr>
          <w:rFonts w:cstheme="minorHAnsi"/>
          <w:noProof w:val="0"/>
        </w:rPr>
        <w:t>DivCom</w:t>
      </w:r>
      <w:proofErr w:type="spellEnd"/>
      <w:r w:rsidR="002B5833" w:rsidRPr="00661869">
        <w:rPr>
          <w:rFonts w:cstheme="minorHAnsi"/>
          <w:noProof w:val="0"/>
        </w:rPr>
        <w:t xml:space="preserve">. This dataset is publicly available </w:t>
      </w:r>
      <w:r w:rsidR="00532563">
        <w:rPr>
          <w:rFonts w:cstheme="minorHAnsi"/>
          <w:noProof w:val="0"/>
        </w:rPr>
        <w:t xml:space="preserve">at </w:t>
      </w:r>
      <w:r w:rsidR="00532563" w:rsidRPr="007C501E">
        <w:rPr>
          <w:rFonts w:cs="Times New Roman"/>
          <w:szCs w:val="24"/>
        </w:rPr>
        <w:t xml:space="preserve">the European Nucleotide Archive </w:t>
      </w:r>
      <w:r w:rsidR="00532563">
        <w:rPr>
          <w:rFonts w:cs="Times New Roman"/>
          <w:szCs w:val="24"/>
        </w:rPr>
        <w:t xml:space="preserve">database </w:t>
      </w:r>
      <w:r w:rsidR="00532563" w:rsidRPr="007C501E">
        <w:rPr>
          <w:rFonts w:cs="Times New Roman"/>
          <w:szCs w:val="24"/>
        </w:rPr>
        <w:t>(</w:t>
      </w:r>
      <w:hyperlink r:id="rId5" w:history="1">
        <w:r w:rsidR="00532563" w:rsidRPr="00F00F8E">
          <w:rPr>
            <w:rStyle w:val="Hyperlink"/>
            <w:rFonts w:cs="Times New Roman"/>
            <w:szCs w:val="24"/>
          </w:rPr>
          <w:t>https://www.ebi.ac.uk/ena/browser/</w:t>
        </w:r>
      </w:hyperlink>
      <w:r w:rsidR="00532563" w:rsidRPr="007C501E">
        <w:rPr>
          <w:rFonts w:cs="Times New Roman"/>
          <w:szCs w:val="24"/>
        </w:rPr>
        <w:t>) with accession</w:t>
      </w:r>
      <w:r w:rsidR="00532563">
        <w:rPr>
          <w:rFonts w:cs="Times New Roman"/>
          <w:szCs w:val="24"/>
        </w:rPr>
        <w:t xml:space="preserve"> number:</w:t>
      </w:r>
      <w:r w:rsidR="00532563" w:rsidRPr="007C501E">
        <w:rPr>
          <w:rFonts w:cs="Times New Roman"/>
          <w:szCs w:val="24"/>
        </w:rPr>
        <w:t xml:space="preserve"> PRJEB48168</w:t>
      </w:r>
      <w:r w:rsidR="002B5833" w:rsidRPr="00661869">
        <w:rPr>
          <w:rFonts w:cstheme="minorHAnsi"/>
          <w:noProof w:val="0"/>
        </w:rPr>
        <w:t xml:space="preserve">. </w:t>
      </w:r>
    </w:p>
    <w:p w14:paraId="768B15D5" w14:textId="6C992432" w:rsidR="00DE2DB5" w:rsidRPr="00DE2DB5" w:rsidRDefault="00DE2DB5" w:rsidP="002B5833">
      <w:pPr>
        <w:rPr>
          <w:rFonts w:cstheme="minorHAnsi"/>
          <w:b/>
          <w:bCs/>
          <w:noProof w:val="0"/>
          <w:u w:val="single"/>
        </w:rPr>
      </w:pPr>
      <w:r w:rsidRPr="00DE2DB5">
        <w:rPr>
          <w:rFonts w:cstheme="minorHAnsi"/>
          <w:b/>
          <w:bCs/>
          <w:noProof w:val="0"/>
          <w:u w:val="single"/>
        </w:rPr>
        <w:t>Objective:</w:t>
      </w:r>
    </w:p>
    <w:p w14:paraId="6DCBB06D" w14:textId="4A0E8DDF" w:rsidR="002B5833" w:rsidRDefault="002B5833" w:rsidP="002B5833">
      <w:pPr>
        <w:rPr>
          <w:rFonts w:cstheme="minorHAnsi"/>
          <w:noProof w:val="0"/>
        </w:rPr>
      </w:pPr>
      <w:r w:rsidRPr="00661869">
        <w:rPr>
          <w:rFonts w:cstheme="minorHAnsi"/>
          <w:noProof w:val="0"/>
        </w:rPr>
        <w:t xml:space="preserve">This </w:t>
      </w:r>
      <w:proofErr w:type="gramStart"/>
      <w:r w:rsidRPr="00661869">
        <w:rPr>
          <w:rFonts w:cstheme="minorHAnsi"/>
          <w:noProof w:val="0"/>
        </w:rPr>
        <w:t>particular dataset</w:t>
      </w:r>
      <w:proofErr w:type="gramEnd"/>
      <w:r w:rsidRPr="00661869">
        <w:rPr>
          <w:rFonts w:cstheme="minorHAnsi"/>
          <w:noProof w:val="0"/>
        </w:rPr>
        <w:t xml:space="preserve"> was selected as the study's objective was in line with the requirements of </w:t>
      </w:r>
      <w:proofErr w:type="spellStart"/>
      <w:r w:rsidRPr="00661869">
        <w:rPr>
          <w:rFonts w:cstheme="minorHAnsi"/>
          <w:noProof w:val="0"/>
        </w:rPr>
        <w:t>DivCom</w:t>
      </w:r>
      <w:proofErr w:type="spellEnd"/>
      <w:r w:rsidRPr="00661869">
        <w:rPr>
          <w:rFonts w:cstheme="minorHAnsi"/>
          <w:noProof w:val="0"/>
        </w:rPr>
        <w:t xml:space="preserve">. This research aimed to assess the effects of Per Oral (PO) and Intravenous (IV) iron replacement therapy (IRT) in patients with two types of Inflammatory bowel disease (IBD) and a group of </w:t>
      </w:r>
      <w:proofErr w:type="gramStart"/>
      <w:r w:rsidRPr="00661869">
        <w:rPr>
          <w:rFonts w:cstheme="minorHAnsi"/>
          <w:noProof w:val="0"/>
        </w:rPr>
        <w:t>Non-Inflamed</w:t>
      </w:r>
      <w:proofErr w:type="gramEnd"/>
      <w:r w:rsidRPr="00661869">
        <w:rPr>
          <w:rFonts w:cstheme="minorHAnsi"/>
          <w:noProof w:val="0"/>
        </w:rPr>
        <w:t xml:space="preserve"> individuals with iron deficiency. The cohort consisted of Crohn's Disease patients (CD, N=31), Ulcerative colitis patients (UC, N=22), and </w:t>
      </w:r>
      <w:proofErr w:type="gramStart"/>
      <w:r w:rsidRPr="00661869">
        <w:rPr>
          <w:rFonts w:cstheme="minorHAnsi"/>
          <w:noProof w:val="0"/>
        </w:rPr>
        <w:t>Non-Inflamed</w:t>
      </w:r>
      <w:proofErr w:type="gramEnd"/>
      <w:r w:rsidRPr="00661869">
        <w:rPr>
          <w:rFonts w:cstheme="minorHAnsi"/>
          <w:noProof w:val="0"/>
        </w:rPr>
        <w:t xml:space="preserve"> individuals (NI, N=19); in total, 62 subjects were involved in this study. The NI individuals were used as the control group, while the CD and UC patients as the test groups. All the subjects were randomly separated into PO or IV groups and followed the corresponding therapy for three months.</w:t>
      </w:r>
    </w:p>
    <w:p w14:paraId="2B6579A8" w14:textId="255DB85E" w:rsidR="00DE2DB5" w:rsidRPr="00DE2DB5" w:rsidRDefault="00DE2DB5" w:rsidP="002B5833">
      <w:pPr>
        <w:rPr>
          <w:rFonts w:cstheme="minorHAnsi"/>
          <w:b/>
          <w:bCs/>
          <w:noProof w:val="0"/>
          <w:u w:val="single"/>
        </w:rPr>
      </w:pPr>
      <w:r w:rsidRPr="00DE2DB5">
        <w:rPr>
          <w:rFonts w:cstheme="minorHAnsi"/>
          <w:b/>
          <w:bCs/>
          <w:noProof w:val="0"/>
          <w:u w:val="single"/>
        </w:rPr>
        <w:t>Preprocessing:</w:t>
      </w:r>
    </w:p>
    <w:p w14:paraId="3A3C4461" w14:textId="1DA67E7F" w:rsidR="002B5833" w:rsidRPr="00661869" w:rsidRDefault="002B5833" w:rsidP="002B5833">
      <w:pPr>
        <w:rPr>
          <w:rFonts w:cstheme="minorHAnsi"/>
          <w:noProof w:val="0"/>
        </w:rPr>
      </w:pPr>
      <w:r w:rsidRPr="00661869">
        <w:rPr>
          <w:rFonts w:cstheme="minorHAnsi"/>
          <w:noProof w:val="0"/>
        </w:rPr>
        <w:t xml:space="preserve"> The raw sequences were downloaded and processed through the IMNGS platform</w:t>
      </w:r>
      <w:r>
        <w:rPr>
          <w:rFonts w:cstheme="minorHAnsi"/>
          <w:noProof w:val="0"/>
        </w:rPr>
        <w:t xml:space="preserve"> </w:t>
      </w:r>
      <w:sdt>
        <w:sdtPr>
          <w:rPr>
            <w:rFonts w:cstheme="minorHAnsi"/>
            <w:noProof w:val="0"/>
            <w:color w:val="000000"/>
          </w:rPr>
          <w:tag w:val="MENDELEY_CITATION_v3_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"/>
          <w:id w:val="1964616867"/>
          <w:placeholder>
            <w:docPart w:val="C03429D0813C4A06B3D472C7426CC2B0"/>
          </w:placeholder>
        </w:sdtPr>
        <w:sdtEndPr/>
        <w:sdtContent>
          <w:r w:rsidR="003F0F6C" w:rsidRPr="003F0F6C">
            <w:rPr>
              <w:rFonts w:cstheme="minorHAnsi"/>
              <w:noProof w:val="0"/>
              <w:color w:val="000000"/>
            </w:rPr>
            <w:t>(</w:t>
          </w:r>
          <w:proofErr w:type="spellStart"/>
          <w:r w:rsidR="003F0F6C" w:rsidRPr="003F0F6C">
            <w:rPr>
              <w:rFonts w:cstheme="minorHAnsi"/>
              <w:noProof w:val="0"/>
              <w:color w:val="000000"/>
            </w:rPr>
            <w:t>Lagkouvardos</w:t>
          </w:r>
          <w:proofErr w:type="spellEnd"/>
          <w:r w:rsidR="003F0F6C" w:rsidRPr="003F0F6C">
            <w:rPr>
              <w:rFonts w:cstheme="minorHAnsi"/>
              <w:noProof w:val="0"/>
              <w:color w:val="000000"/>
            </w:rPr>
            <w:t xml:space="preserve"> et al., 2016)</w:t>
          </w:r>
        </w:sdtContent>
      </w:sdt>
      <w:r w:rsidRPr="00661869">
        <w:rPr>
          <w:rFonts w:cstheme="minorHAnsi"/>
          <w:noProof w:val="0"/>
        </w:rPr>
        <w:t xml:space="preserve">. The produced OTUs table, the mapping file, and the phylogenetic tree are </w:t>
      </w:r>
      <w:r w:rsidR="00532563">
        <w:rPr>
          <w:rFonts w:cstheme="minorHAnsi"/>
          <w:noProof w:val="0"/>
        </w:rPr>
        <w:t xml:space="preserve">used as the </w:t>
      </w:r>
      <w:r w:rsidR="00357DB5">
        <w:rPr>
          <w:rFonts w:cstheme="minorHAnsi"/>
          <w:noProof w:val="0"/>
        </w:rPr>
        <w:t xml:space="preserve">template </w:t>
      </w:r>
      <w:r w:rsidR="00532563">
        <w:rPr>
          <w:rFonts w:cstheme="minorHAnsi"/>
          <w:noProof w:val="0"/>
        </w:rPr>
        <w:t>data</w:t>
      </w:r>
      <w:r w:rsidRPr="00661869">
        <w:rPr>
          <w:rFonts w:cstheme="minorHAnsi"/>
          <w:noProof w:val="0"/>
        </w:rPr>
        <w:t xml:space="preserve"> of the </w:t>
      </w:r>
      <w:proofErr w:type="spellStart"/>
      <w:r w:rsidRPr="00661869">
        <w:rPr>
          <w:rFonts w:cstheme="minorHAnsi"/>
          <w:noProof w:val="0"/>
        </w:rPr>
        <w:t>D</w:t>
      </w:r>
      <w:r>
        <w:rPr>
          <w:rFonts w:cstheme="minorHAnsi"/>
          <w:noProof w:val="0"/>
        </w:rPr>
        <w:t>iv</w:t>
      </w:r>
      <w:r w:rsidRPr="00661869">
        <w:rPr>
          <w:rFonts w:cstheme="minorHAnsi"/>
          <w:noProof w:val="0"/>
        </w:rPr>
        <w:t>C</w:t>
      </w:r>
      <w:r>
        <w:rPr>
          <w:rFonts w:cstheme="minorHAnsi"/>
          <w:noProof w:val="0"/>
        </w:rPr>
        <w:t>om</w:t>
      </w:r>
      <w:proofErr w:type="spellEnd"/>
      <w:r w:rsidRPr="00661869">
        <w:rPr>
          <w:rFonts w:cstheme="minorHAnsi"/>
          <w:noProof w:val="0"/>
        </w:rPr>
        <w:t xml:space="preserve">. The number of samples of each category that fulfilled the quality assessment </w:t>
      </w:r>
      <w:r w:rsidR="00357DB5">
        <w:rPr>
          <w:rFonts w:cstheme="minorHAnsi"/>
          <w:noProof w:val="0"/>
        </w:rPr>
        <w:t>are</w:t>
      </w:r>
      <w:r w:rsidRPr="00661869">
        <w:rPr>
          <w:rFonts w:cstheme="minorHAnsi"/>
          <w:noProof w:val="0"/>
        </w:rPr>
        <w:t xml:space="preserve"> summarized in </w:t>
      </w:r>
      <w:r w:rsidR="00DE2DB5">
        <w:rPr>
          <w:rFonts w:cstheme="minorHAnsi"/>
          <w:noProof w:val="0"/>
        </w:rPr>
        <w:t>the following table</w:t>
      </w:r>
      <w:r w:rsidRPr="00661869">
        <w:rPr>
          <w:rFonts w:cstheme="minorHAnsi"/>
          <w:noProof w:val="0"/>
        </w:rPr>
        <w:t xml:space="preserve">. </w:t>
      </w:r>
    </w:p>
    <w:p w14:paraId="3517FD9A" w14:textId="316B1A89" w:rsidR="002B5833" w:rsidRPr="00661869" w:rsidRDefault="002B5833" w:rsidP="002B5833">
      <w:pPr>
        <w:rPr>
          <w:rFonts w:cstheme="minorHAnsi"/>
          <w:noProof w:val="0"/>
        </w:rPr>
      </w:pPr>
    </w:p>
    <w:tbl>
      <w:tblPr>
        <w:tblStyle w:val="TableGrid"/>
        <w:tblW w:w="0" w:type="auto"/>
        <w:jc w:val="center"/>
        <w:tblLook w:val="04A0" w:firstRow="1" w:lastRow="0" w:firstColumn="1" w:lastColumn="0" w:noHBand="0" w:noVBand="1"/>
      </w:tblPr>
      <w:tblGrid>
        <w:gridCol w:w="2061"/>
        <w:gridCol w:w="2078"/>
        <w:gridCol w:w="2073"/>
        <w:gridCol w:w="2084"/>
      </w:tblGrid>
      <w:tr w:rsidR="002B5833" w:rsidRPr="00661869" w14:paraId="373EF508" w14:textId="77777777" w:rsidTr="004C6377">
        <w:trPr>
          <w:jc w:val="center"/>
        </w:trPr>
        <w:tc>
          <w:tcPr>
            <w:tcW w:w="2061" w:type="dxa"/>
          </w:tcPr>
          <w:p w14:paraId="752FCCC0" w14:textId="77777777" w:rsidR="002B5833" w:rsidRPr="00661869" w:rsidRDefault="002B5833" w:rsidP="004C6377">
            <w:pPr>
              <w:jc w:val="center"/>
              <w:rPr>
                <w:rFonts w:cstheme="minorHAnsi"/>
                <w:noProof w:val="0"/>
              </w:rPr>
            </w:pPr>
          </w:p>
          <w:p w14:paraId="45CECA20" w14:textId="77777777" w:rsidR="002B5833" w:rsidRPr="00661869" w:rsidRDefault="002B5833" w:rsidP="004C6377">
            <w:pPr>
              <w:jc w:val="center"/>
              <w:rPr>
                <w:rFonts w:cstheme="minorHAnsi"/>
                <w:noProof w:val="0"/>
              </w:rPr>
            </w:pPr>
            <w:r w:rsidRPr="00661869">
              <w:rPr>
                <w:rFonts w:cstheme="minorHAnsi"/>
                <w:noProof w:val="0"/>
              </w:rPr>
              <w:t>Iron intake</w:t>
            </w:r>
          </w:p>
        </w:tc>
        <w:tc>
          <w:tcPr>
            <w:tcW w:w="2078" w:type="dxa"/>
          </w:tcPr>
          <w:p w14:paraId="292D0884" w14:textId="77777777" w:rsidR="002B5833" w:rsidRPr="00661869" w:rsidRDefault="002B5833" w:rsidP="004C6377">
            <w:pPr>
              <w:jc w:val="center"/>
              <w:rPr>
                <w:rFonts w:cstheme="minorHAnsi"/>
                <w:b/>
                <w:bCs/>
                <w:noProof w:val="0"/>
              </w:rPr>
            </w:pPr>
            <w:r w:rsidRPr="00661869">
              <w:rPr>
                <w:rFonts w:cstheme="minorHAnsi"/>
                <w:b/>
                <w:bCs/>
                <w:noProof w:val="0"/>
              </w:rPr>
              <w:t>NI</w:t>
            </w:r>
          </w:p>
          <w:p w14:paraId="3FAC7018" w14:textId="77777777" w:rsidR="002B5833" w:rsidRPr="00661869" w:rsidRDefault="002B5833" w:rsidP="004C6377">
            <w:pPr>
              <w:jc w:val="center"/>
              <w:rPr>
                <w:rFonts w:cstheme="minorHAnsi"/>
                <w:noProof w:val="0"/>
              </w:rPr>
            </w:pPr>
            <w:r w:rsidRPr="00661869">
              <w:rPr>
                <w:rFonts w:cstheme="minorHAnsi"/>
                <w:noProof w:val="0"/>
              </w:rPr>
              <w:t>(Non-</w:t>
            </w:r>
            <w:r w:rsidRPr="00661869">
              <w:rPr>
                <w:rFonts w:cstheme="minorHAnsi"/>
                <w:noProof w:val="0"/>
                <w:sz w:val="19"/>
                <w:szCs w:val="19"/>
              </w:rPr>
              <w:t xml:space="preserve"> </w:t>
            </w:r>
            <w:r w:rsidRPr="00661869">
              <w:rPr>
                <w:rFonts w:cstheme="minorHAnsi"/>
                <w:noProof w:val="0"/>
              </w:rPr>
              <w:t>inflamed-reference group)</w:t>
            </w:r>
          </w:p>
        </w:tc>
        <w:tc>
          <w:tcPr>
            <w:tcW w:w="2073" w:type="dxa"/>
          </w:tcPr>
          <w:p w14:paraId="55550EC7" w14:textId="77777777" w:rsidR="002B5833" w:rsidRPr="00661869" w:rsidRDefault="002B5833" w:rsidP="004C6377">
            <w:pPr>
              <w:jc w:val="center"/>
              <w:rPr>
                <w:rFonts w:cstheme="minorHAnsi"/>
                <w:b/>
                <w:bCs/>
                <w:noProof w:val="0"/>
              </w:rPr>
            </w:pPr>
            <w:r w:rsidRPr="00661869">
              <w:rPr>
                <w:rFonts w:cstheme="minorHAnsi"/>
                <w:b/>
                <w:bCs/>
                <w:noProof w:val="0"/>
              </w:rPr>
              <w:t>CD</w:t>
            </w:r>
          </w:p>
          <w:p w14:paraId="3B24BBC4" w14:textId="77777777" w:rsidR="002B5833" w:rsidRPr="00661869" w:rsidRDefault="002B5833" w:rsidP="004C6377">
            <w:pPr>
              <w:jc w:val="center"/>
              <w:rPr>
                <w:rFonts w:cstheme="minorHAnsi"/>
                <w:noProof w:val="0"/>
              </w:rPr>
            </w:pPr>
            <w:r w:rsidRPr="00661869">
              <w:rPr>
                <w:rFonts w:cstheme="minorHAnsi"/>
                <w:noProof w:val="0"/>
              </w:rPr>
              <w:t>(Chron's Disease- test group)</w:t>
            </w:r>
          </w:p>
        </w:tc>
        <w:tc>
          <w:tcPr>
            <w:tcW w:w="2084" w:type="dxa"/>
          </w:tcPr>
          <w:p w14:paraId="0B440F05" w14:textId="01C869D2" w:rsidR="002B5833" w:rsidRPr="00661869" w:rsidRDefault="002B5833" w:rsidP="004C6377">
            <w:pPr>
              <w:jc w:val="center"/>
              <w:rPr>
                <w:rFonts w:cstheme="minorHAnsi"/>
                <w:b/>
                <w:bCs/>
                <w:noProof w:val="0"/>
              </w:rPr>
            </w:pPr>
            <w:r w:rsidRPr="00661869">
              <w:rPr>
                <w:rFonts w:cstheme="minorHAnsi"/>
                <w:b/>
                <w:bCs/>
                <w:noProof w:val="0"/>
              </w:rPr>
              <w:t>UC</w:t>
            </w:r>
          </w:p>
          <w:p w14:paraId="4D00EADD" w14:textId="77777777" w:rsidR="002B5833" w:rsidRPr="00661869" w:rsidRDefault="002B5833" w:rsidP="004C6377">
            <w:pPr>
              <w:jc w:val="center"/>
              <w:rPr>
                <w:rFonts w:cstheme="minorHAnsi"/>
                <w:noProof w:val="0"/>
              </w:rPr>
            </w:pPr>
            <w:r w:rsidRPr="00661869">
              <w:rPr>
                <w:rFonts w:cstheme="minorHAnsi"/>
                <w:noProof w:val="0"/>
              </w:rPr>
              <w:t>(Ulcerative colitis – test group)</w:t>
            </w:r>
          </w:p>
        </w:tc>
      </w:tr>
      <w:tr w:rsidR="002B5833" w:rsidRPr="00661869" w14:paraId="28EF3EFE" w14:textId="77777777" w:rsidTr="004C6377">
        <w:trPr>
          <w:jc w:val="center"/>
        </w:trPr>
        <w:tc>
          <w:tcPr>
            <w:tcW w:w="2061" w:type="dxa"/>
          </w:tcPr>
          <w:p w14:paraId="054AF818" w14:textId="77777777" w:rsidR="002B5833" w:rsidRPr="00661869" w:rsidRDefault="002B5833" w:rsidP="004C6377">
            <w:pPr>
              <w:jc w:val="center"/>
              <w:rPr>
                <w:rFonts w:cstheme="minorHAnsi"/>
                <w:noProof w:val="0"/>
              </w:rPr>
            </w:pPr>
            <w:r w:rsidRPr="00661869">
              <w:rPr>
                <w:rFonts w:cstheme="minorHAnsi"/>
                <w:noProof w:val="0"/>
              </w:rPr>
              <w:t>PO</w:t>
            </w:r>
          </w:p>
        </w:tc>
        <w:tc>
          <w:tcPr>
            <w:tcW w:w="2078" w:type="dxa"/>
          </w:tcPr>
          <w:p w14:paraId="281C6F6F" w14:textId="77777777" w:rsidR="002B5833" w:rsidRPr="00661869" w:rsidRDefault="002B5833" w:rsidP="004C6377">
            <w:pPr>
              <w:jc w:val="center"/>
              <w:rPr>
                <w:rFonts w:cstheme="minorHAnsi"/>
                <w:noProof w:val="0"/>
              </w:rPr>
            </w:pPr>
            <w:r w:rsidRPr="00661869">
              <w:rPr>
                <w:rFonts w:cstheme="minorHAnsi"/>
                <w:noProof w:val="0"/>
              </w:rPr>
              <w:t>9</w:t>
            </w:r>
          </w:p>
        </w:tc>
        <w:tc>
          <w:tcPr>
            <w:tcW w:w="2073" w:type="dxa"/>
          </w:tcPr>
          <w:p w14:paraId="65EBD06F" w14:textId="77777777" w:rsidR="002B5833" w:rsidRPr="00661869" w:rsidRDefault="002B5833" w:rsidP="004C6377">
            <w:pPr>
              <w:jc w:val="center"/>
              <w:rPr>
                <w:rFonts w:cstheme="minorHAnsi"/>
                <w:noProof w:val="0"/>
              </w:rPr>
            </w:pPr>
            <w:r w:rsidRPr="00661869">
              <w:rPr>
                <w:rFonts w:cstheme="minorHAnsi"/>
                <w:noProof w:val="0"/>
              </w:rPr>
              <w:t>12</w:t>
            </w:r>
          </w:p>
        </w:tc>
        <w:tc>
          <w:tcPr>
            <w:tcW w:w="2084" w:type="dxa"/>
          </w:tcPr>
          <w:p w14:paraId="22A82DBC" w14:textId="64EDC774" w:rsidR="002B5833" w:rsidRPr="00661869" w:rsidRDefault="002B5833" w:rsidP="004C6377">
            <w:pPr>
              <w:jc w:val="center"/>
              <w:rPr>
                <w:rFonts w:cstheme="minorHAnsi"/>
                <w:noProof w:val="0"/>
              </w:rPr>
            </w:pPr>
            <w:r w:rsidRPr="00661869">
              <w:rPr>
                <w:rFonts w:cstheme="minorHAnsi"/>
                <w:noProof w:val="0"/>
              </w:rPr>
              <w:t>10</w:t>
            </w:r>
          </w:p>
        </w:tc>
      </w:tr>
      <w:tr w:rsidR="002B5833" w:rsidRPr="00661869" w14:paraId="46409D8B" w14:textId="77777777" w:rsidTr="004C6377">
        <w:trPr>
          <w:jc w:val="center"/>
        </w:trPr>
        <w:tc>
          <w:tcPr>
            <w:tcW w:w="2061" w:type="dxa"/>
          </w:tcPr>
          <w:p w14:paraId="7D506ADD" w14:textId="77777777" w:rsidR="002B5833" w:rsidRPr="00661869" w:rsidRDefault="002B5833" w:rsidP="004C6377">
            <w:pPr>
              <w:jc w:val="center"/>
              <w:rPr>
                <w:rFonts w:cstheme="minorHAnsi"/>
                <w:noProof w:val="0"/>
              </w:rPr>
            </w:pPr>
            <w:r w:rsidRPr="00661869">
              <w:rPr>
                <w:rFonts w:cstheme="minorHAnsi"/>
                <w:noProof w:val="0"/>
              </w:rPr>
              <w:t>IV</w:t>
            </w:r>
          </w:p>
        </w:tc>
        <w:tc>
          <w:tcPr>
            <w:tcW w:w="2078" w:type="dxa"/>
          </w:tcPr>
          <w:p w14:paraId="1120A343" w14:textId="77777777" w:rsidR="002B5833" w:rsidRPr="00661869" w:rsidRDefault="002B5833" w:rsidP="004C6377">
            <w:pPr>
              <w:jc w:val="center"/>
              <w:rPr>
                <w:rFonts w:cstheme="minorHAnsi"/>
                <w:noProof w:val="0"/>
              </w:rPr>
            </w:pPr>
            <w:r w:rsidRPr="00661869">
              <w:rPr>
                <w:rFonts w:cstheme="minorHAnsi"/>
                <w:noProof w:val="0"/>
              </w:rPr>
              <w:t>10</w:t>
            </w:r>
          </w:p>
        </w:tc>
        <w:tc>
          <w:tcPr>
            <w:tcW w:w="2073" w:type="dxa"/>
          </w:tcPr>
          <w:p w14:paraId="2C24084C" w14:textId="77777777" w:rsidR="002B5833" w:rsidRPr="00661869" w:rsidRDefault="002B5833" w:rsidP="004C6377">
            <w:pPr>
              <w:jc w:val="center"/>
              <w:rPr>
                <w:rFonts w:cstheme="minorHAnsi"/>
                <w:noProof w:val="0"/>
              </w:rPr>
            </w:pPr>
            <w:r w:rsidRPr="00661869">
              <w:rPr>
                <w:rFonts w:cstheme="minorHAnsi"/>
                <w:noProof w:val="0"/>
              </w:rPr>
              <w:t>14</w:t>
            </w:r>
          </w:p>
        </w:tc>
        <w:tc>
          <w:tcPr>
            <w:tcW w:w="2084" w:type="dxa"/>
          </w:tcPr>
          <w:p w14:paraId="7D5F25F8" w14:textId="77777777" w:rsidR="002B5833" w:rsidRPr="00661869" w:rsidRDefault="002B5833" w:rsidP="004C6377">
            <w:pPr>
              <w:jc w:val="center"/>
              <w:rPr>
                <w:rFonts w:cstheme="minorHAnsi"/>
                <w:noProof w:val="0"/>
              </w:rPr>
            </w:pPr>
            <w:r w:rsidRPr="00661869">
              <w:rPr>
                <w:rFonts w:cstheme="minorHAnsi"/>
                <w:noProof w:val="0"/>
              </w:rPr>
              <w:t>7</w:t>
            </w:r>
          </w:p>
        </w:tc>
      </w:tr>
      <w:tr w:rsidR="002B5833" w:rsidRPr="00661869" w14:paraId="357F18CC" w14:textId="77777777" w:rsidTr="004C6377">
        <w:trPr>
          <w:jc w:val="center"/>
        </w:trPr>
        <w:tc>
          <w:tcPr>
            <w:tcW w:w="2061" w:type="dxa"/>
          </w:tcPr>
          <w:p w14:paraId="37E8C07A" w14:textId="77777777" w:rsidR="002B5833" w:rsidRPr="00661869" w:rsidRDefault="002B5833" w:rsidP="004C6377">
            <w:pPr>
              <w:jc w:val="center"/>
              <w:rPr>
                <w:rFonts w:cstheme="minorHAnsi"/>
                <w:noProof w:val="0"/>
              </w:rPr>
            </w:pPr>
            <w:r w:rsidRPr="00661869">
              <w:rPr>
                <w:rFonts w:cstheme="minorHAnsi"/>
                <w:noProof w:val="0"/>
              </w:rPr>
              <w:t>Total</w:t>
            </w:r>
          </w:p>
        </w:tc>
        <w:tc>
          <w:tcPr>
            <w:tcW w:w="2078" w:type="dxa"/>
          </w:tcPr>
          <w:p w14:paraId="772CE022" w14:textId="77777777" w:rsidR="002B5833" w:rsidRPr="00661869" w:rsidRDefault="002B5833" w:rsidP="004C6377">
            <w:pPr>
              <w:jc w:val="center"/>
              <w:rPr>
                <w:rFonts w:cstheme="minorHAnsi"/>
                <w:noProof w:val="0"/>
              </w:rPr>
            </w:pPr>
            <w:r w:rsidRPr="00661869">
              <w:rPr>
                <w:rFonts w:cstheme="minorHAnsi"/>
                <w:noProof w:val="0"/>
              </w:rPr>
              <w:t>19</w:t>
            </w:r>
          </w:p>
        </w:tc>
        <w:tc>
          <w:tcPr>
            <w:tcW w:w="2073" w:type="dxa"/>
          </w:tcPr>
          <w:p w14:paraId="0F9F7410" w14:textId="77777777" w:rsidR="002B5833" w:rsidRPr="00661869" w:rsidRDefault="002B5833" w:rsidP="004C6377">
            <w:pPr>
              <w:jc w:val="center"/>
              <w:rPr>
                <w:rFonts w:cstheme="minorHAnsi"/>
                <w:noProof w:val="0"/>
              </w:rPr>
            </w:pPr>
            <w:r w:rsidRPr="00661869">
              <w:rPr>
                <w:rFonts w:cstheme="minorHAnsi"/>
                <w:noProof w:val="0"/>
              </w:rPr>
              <w:t>26</w:t>
            </w:r>
          </w:p>
        </w:tc>
        <w:tc>
          <w:tcPr>
            <w:tcW w:w="2084" w:type="dxa"/>
          </w:tcPr>
          <w:p w14:paraId="73343917" w14:textId="77777777" w:rsidR="002B5833" w:rsidRPr="00661869" w:rsidRDefault="002B5833" w:rsidP="004C6377">
            <w:pPr>
              <w:jc w:val="center"/>
              <w:rPr>
                <w:rFonts w:cstheme="minorHAnsi"/>
                <w:noProof w:val="0"/>
              </w:rPr>
            </w:pPr>
            <w:r w:rsidRPr="00661869">
              <w:rPr>
                <w:rFonts w:cstheme="minorHAnsi"/>
                <w:noProof w:val="0"/>
              </w:rPr>
              <w:t>17</w:t>
            </w:r>
          </w:p>
        </w:tc>
      </w:tr>
    </w:tbl>
    <w:p w14:paraId="05420D31" w14:textId="6CC704CB" w:rsidR="00020CA7" w:rsidRDefault="00020CA7"/>
    <w:p w14:paraId="2A0FC3DA" w14:textId="77777777" w:rsidR="003F0F6C" w:rsidRDefault="003F0F6C"/>
    <w:p w14:paraId="3F3CBF29" w14:textId="4EEFB11C" w:rsidR="003061A6" w:rsidRPr="003F0F6C" w:rsidRDefault="003F0F6C">
      <w:pPr>
        <w:rPr>
          <w:b/>
          <w:bCs/>
          <w:u w:val="single"/>
        </w:rPr>
      </w:pPr>
      <w:r w:rsidRPr="003F0F6C">
        <w:rPr>
          <w:b/>
          <w:bCs/>
          <w:u w:val="single"/>
        </w:rPr>
        <w:t>References:</w:t>
      </w:r>
    </w:p>
    <w:sdt>
      <w:sdtPr>
        <w:tag w:val="MENDELEY_BIBLIOGRAPHY"/>
        <w:id w:val="-961111672"/>
        <w:placeholder>
          <w:docPart w:val="DefaultPlaceholder_-1854013440"/>
        </w:placeholder>
      </w:sdtPr>
      <w:sdtEndPr/>
      <w:sdtContent>
        <w:p w14:paraId="7CEEF115" w14:textId="77777777" w:rsidR="003F0F6C" w:rsidRDefault="003F0F6C">
          <w:pPr>
            <w:autoSpaceDE w:val="0"/>
            <w:autoSpaceDN w:val="0"/>
            <w:ind w:hanging="480"/>
            <w:divId w:val="1399096"/>
            <w:rPr>
              <w:rFonts w:eastAsia="Times New Roman"/>
              <w:sz w:val="24"/>
              <w:szCs w:val="24"/>
            </w:rPr>
          </w:pPr>
          <w:r>
            <w:rPr>
              <w:rFonts w:eastAsia="Times New Roman"/>
            </w:rPr>
            <w:t xml:space="preserve">Lagkouvardos, I., Joseph, D., Kapfhammer, M., Giritli, S., Horn, M., Haller, D., et al. (2016). IMNGS: A comprehensive open resource of processed 16S rRNA microbial profiles for ecology and diversity studies. </w:t>
          </w:r>
          <w:r>
            <w:rPr>
              <w:rFonts w:eastAsia="Times New Roman"/>
              <w:i/>
              <w:iCs/>
            </w:rPr>
            <w:t>Scientific Reports</w:t>
          </w:r>
          <w:r>
            <w:rPr>
              <w:rFonts w:eastAsia="Times New Roman"/>
            </w:rPr>
            <w:t xml:space="preserve"> 6. doi:10.1038/srep33721.</w:t>
          </w:r>
        </w:p>
        <w:p w14:paraId="75A3B66D" w14:textId="77777777" w:rsidR="003F0F6C" w:rsidRDefault="003F0F6C">
          <w:pPr>
            <w:autoSpaceDE w:val="0"/>
            <w:autoSpaceDN w:val="0"/>
            <w:ind w:hanging="480"/>
            <w:divId w:val="1399673910"/>
            <w:rPr>
              <w:rFonts w:eastAsia="Times New Roman"/>
            </w:rPr>
          </w:pPr>
          <w:r>
            <w:rPr>
              <w:rFonts w:eastAsia="Times New Roman"/>
            </w:rPr>
            <w:t xml:space="preserve">Lee, T., Clavel, T., Smirnov, K., Schmidt, A., Lagkouvardos, I., Walker, A., et al. (2016). Oral versus intravenous iron replacement therapy distinctly alters the gut microbiota and metabolome in patients with IBD. </w:t>
          </w:r>
          <w:r>
            <w:rPr>
              <w:rFonts w:eastAsia="Times New Roman"/>
              <w:i/>
              <w:iCs/>
            </w:rPr>
            <w:t>Gut</w:t>
          </w:r>
          <w:r>
            <w:rPr>
              <w:rFonts w:eastAsia="Times New Roman"/>
            </w:rPr>
            <w:t xml:space="preserve"> 66, 863–871. doi:10.1136/gutjnl-2015-309940.</w:t>
          </w:r>
        </w:p>
        <w:p w14:paraId="43C5D77A" w14:textId="249A60EC" w:rsidR="003061A6" w:rsidRDefault="003F0F6C">
          <w:r>
            <w:rPr>
              <w:rFonts w:eastAsia="Times New Roman"/>
            </w:rPr>
            <w:t> </w:t>
          </w:r>
        </w:p>
      </w:sdtContent>
    </w:sdt>
    <w:sectPr w:rsidR="003061A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3MDOxsDSxNLA0NjNS0lEKTi0uzszPAykwrAUA0NimuSwAAAA="/>
  </w:docVars>
  <w:rsids>
    <w:rsidRoot w:val="002B5833"/>
    <w:rsid w:val="00020CA7"/>
    <w:rsid w:val="002A5297"/>
    <w:rsid w:val="002B5833"/>
    <w:rsid w:val="003061A6"/>
    <w:rsid w:val="003075B9"/>
    <w:rsid w:val="00357DB5"/>
    <w:rsid w:val="003F0F6C"/>
    <w:rsid w:val="0051342E"/>
    <w:rsid w:val="00532563"/>
    <w:rsid w:val="005F2C15"/>
    <w:rsid w:val="00DE2DB5"/>
    <w:rsid w:val="00F00F8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862C"/>
  <w15:chartTrackingRefBased/>
  <w15:docId w15:val="{7C483956-F1F0-4335-97D4-61B096111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833"/>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5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583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F0F6C"/>
    <w:rPr>
      <w:color w:val="808080"/>
    </w:rPr>
  </w:style>
  <w:style w:type="character" w:styleId="Hyperlink">
    <w:name w:val="Hyperlink"/>
    <w:basedOn w:val="DefaultParagraphFont"/>
    <w:uiPriority w:val="99"/>
    <w:unhideWhenUsed/>
    <w:rsid w:val="00F00F8E"/>
    <w:rPr>
      <w:color w:val="0563C1" w:themeColor="hyperlink"/>
      <w:u w:val="single"/>
    </w:rPr>
  </w:style>
  <w:style w:type="character" w:styleId="UnresolvedMention">
    <w:name w:val="Unresolved Mention"/>
    <w:basedOn w:val="DefaultParagraphFont"/>
    <w:uiPriority w:val="99"/>
    <w:semiHidden/>
    <w:unhideWhenUsed/>
    <w:rsid w:val="00F00F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96090">
      <w:bodyDiv w:val="1"/>
      <w:marLeft w:val="0"/>
      <w:marRight w:val="0"/>
      <w:marTop w:val="0"/>
      <w:marBottom w:val="0"/>
      <w:divBdr>
        <w:top w:val="none" w:sz="0" w:space="0" w:color="auto"/>
        <w:left w:val="none" w:sz="0" w:space="0" w:color="auto"/>
        <w:bottom w:val="none" w:sz="0" w:space="0" w:color="auto"/>
        <w:right w:val="none" w:sz="0" w:space="0" w:color="auto"/>
      </w:divBdr>
      <w:divsChild>
        <w:div w:id="1399096">
          <w:marLeft w:val="480"/>
          <w:marRight w:val="0"/>
          <w:marTop w:val="0"/>
          <w:marBottom w:val="0"/>
          <w:divBdr>
            <w:top w:val="none" w:sz="0" w:space="0" w:color="auto"/>
            <w:left w:val="none" w:sz="0" w:space="0" w:color="auto"/>
            <w:bottom w:val="none" w:sz="0" w:space="0" w:color="auto"/>
            <w:right w:val="none" w:sz="0" w:space="0" w:color="auto"/>
          </w:divBdr>
        </w:div>
        <w:div w:id="139967391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ebi.ac.uk/ena/browser/home"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3429D0813C4A06B3D472C7426CC2B0"/>
        <w:category>
          <w:name w:val="General"/>
          <w:gallery w:val="placeholder"/>
        </w:category>
        <w:types>
          <w:type w:val="bbPlcHdr"/>
        </w:types>
        <w:behaviors>
          <w:behavior w:val="content"/>
        </w:behaviors>
        <w:guid w:val="{FE88D045-77CA-456F-9A8C-E6EE59CF6A41}"/>
      </w:docPartPr>
      <w:docPartBody>
        <w:p w:rsidR="005950A1" w:rsidRDefault="00815C2C" w:rsidP="00815C2C">
          <w:pPr>
            <w:pStyle w:val="C03429D0813C4A06B3D472C7426CC2B0"/>
          </w:pPr>
          <w:r w:rsidRPr="008A2B5E">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A1AAFF1-0F9A-44B0-8822-9BCA0A867D43}"/>
      </w:docPartPr>
      <w:docPartBody>
        <w:p w:rsidR="005950A1" w:rsidRDefault="00815C2C">
          <w:r w:rsidRPr="0017426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C2C"/>
    <w:rsid w:val="005950A1"/>
    <w:rsid w:val="00810699"/>
    <w:rsid w:val="00815C2C"/>
    <w:rsid w:val="00A4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5C2C"/>
    <w:rPr>
      <w:color w:val="808080"/>
    </w:rPr>
  </w:style>
  <w:style w:type="paragraph" w:customStyle="1" w:styleId="C03429D0813C4A06B3D472C7426CC2B0">
    <w:name w:val="C03429D0813C4A06B3D472C7426CC2B0"/>
    <w:rsid w:val="00815C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11EA1B-56D8-4F72-82A6-76DE9DFB7694}">
  <we:reference id="wa104382081" version="1.21.0.0" store="en-001" storeType="OMEX"/>
  <we:alternateReferences>
    <we:reference id="WA104382081" version="1.21.0.0" store="" storeType="OMEX"/>
  </we:alternateReferences>
  <we:properties>
    <we:property name="MENDELEY_CITATIONS" value="[{&quot;citationID&quot;:&quot;MENDELEY_CITATION_9784bdd5-d4bf-4443-aaa8-e7710106e3e0&quot;,&quot;citationItems&quot;:[{&quot;id&quot;:&quot;52a852ad-d69d-3eb1-9d27-a23226309d68&quot;,&quot;itemData&quot;:{&quot;type&quot;:&quot;article-journal&quot;,&quot;id&quot;:&quot;52a852ad-d69d-3eb1-9d27-a23226309d68&quot;,&quot;title&quot;:&quot;Oral versus intravenous iron replacement therapy distinctly alters the gut microbiota and metabolome in patients with IBD&quot;,&quot;author&quot;:[{&quot;family&quot;:&quot;Lee&quot;,&quot;given&quot;:&quot;Thomas&quot;,&quot;parse-names&quot;:false,&quot;dropping-particle&quot;:&quot;&quot;,&quot;non-dropping-particle&quot;:&quot;&quot;},{&quot;family&quot;:&quot;Clavel&quot;,&quot;given&quot;:&quot;Thomas&quot;,&quot;parse-names&quot;:false,&quot;dropping-particle&quot;:&quot;&quot;,&quot;non-dropping-particle&quot;:&quot;&quot;},{&quot;family&quot;:&quot;Smirnov&quot;,&quot;given&quot;:&quot;Kirill&quot;,&quot;parse-names&quot;:false,&quot;dropping-particle&quot;:&quot;&quot;,&quot;non-dropping-particle&quot;:&quot;&quot;},{&quot;family&quot;:&quot;Schmidt&quot;,&quot;given&quot;:&quot;Annemarie&quot;,&quot;parse-names&quot;:false,&quot;dropping-particle&quot;:&quot;&quot;,&quot;non-dropping-particle&quot;:&quot;&quot;},{&quot;family&quot;:&quot;Lagkouvardos&quot;,&quot;given&quot;:&quot;Ilias&quot;,&quot;parse-names&quot;:false,&quot;dropping-particle&quot;:&quot;&quot;,&quot;non-dropping-particle&quot;:&quot;&quot;},{&quot;family&quot;:&quot;Walker&quot;,&quot;given&quot;:&quot;Alesia&quot;,&quot;parse-names&quot;:false,&quot;dropping-particle&quot;:&quot;&quot;,&quot;non-dropping-particle&quot;:&quot;&quot;},{&quot;family&quot;:&quot;Lucio&quot;,&quot;given&quot;:&quot;Marianna&quot;,&quot;parse-names&quot;:false,&quot;dropping-particle&quot;:&quot;&quot;,&quot;non-dropping-particle&quot;:&quot;&quot;},{&quot;family&quot;:&quot;Michalke&quot;,&quot;given&quot;:&quot;Bernhard&quot;,&quot;parse-names&quot;:false,&quot;dropping-particle&quot;:&quot;&quot;,&quot;non-dropping-particle&quot;:&quot;&quot;},{&quot;family&quot;:&quot;Schmitt-Kopplin&quot;,&quot;given&quot;:&quot;Philippe&quot;,&quot;parse-names&quot;:false,&quot;dropping-particle&quot;:&quot;&quot;,&quot;non-dropping-particle&quot;:&quot;&quot;},{&quot;family&quot;:&quot;Fedorak&quot;,&quot;given&quot;:&quot;Richard&quot;,&quot;parse-names&quot;:false,&quot;dropping-particle&quot;:&quot;&quot;,&quot;non-dropping-particle&quot;:&quot;&quot;},{&quot;family&quot;:&quot;Haller&quot;,&quot;given&quot;:&quot;Dirk&quot;,&quot;parse-names&quot;:false,&quot;dropping-particle&quot;:&quot;&quot;,&quot;non-dropping-particle&quot;:&quot;&quot;}],&quot;container-title&quot;:&quot;Gut&quot;,&quot;DOI&quot;:&quot;10.1136/gutjnl-2015-309940&quot;,&quot;ISSN&quot;:&quot;14683288&quot;,&quot;PMID&quot;:&quot;26848182&quot;,&quot;issued&quot;:{&quot;date-parts&quot;:[[2016,2,4]]},&quot;page&quot;:&quot;863-871&quot;,&quot;abstract&quot;:&quot;Objective Iron deficiency is a common complication in patients with IBD and oral iron therapy is suggested to exacerbate IBD symptoms. We performed an openlabelled clinical trial to compare the effects of per oral (PO) versus intravenous (IV) iron replacement therapy (IRT). Design The study population included patients with Crohn's disease (CD; N=31), UC (N=22) and control subjects with iron deficiency (non-inflamed, NI=19). After randomisation, participants received iron sulfate (PO) or iron sucrose (IV) over 3 months. Clinical parameters, faecal bacterial communities and metabolomes were assessed before and after intervention. Results Both PO and IV treatments ameliorated iron deficiency, but higher ferritin levels were observed with IV. Changes in disease activity were independent of iron treatment types. Faecal samples in IBD were characterised by marked interindividual differences, lower phylotype richness and proportions of Clostridiales. Metabolite analysis also showed separation of both UC and CD from control anaemic participants. Major shifts in bacterial diversity occurred in approximately half of all participants after IRT, but patients with CD were most susceptible. Despite individual-specific changes in phylotypes due to IRT, PO treatment was associated with decreased abundances of operational taxonomic units assigned to the species Faecalibacterium prausnitzii, Ruminococcus bromii, Dorea sp. and Collinsella aerofaciens. Clear IV-specific and PO-specific fingerprints were evident at the level of metabolomes, with changes affecting cholesterol-derived host substrates. Conclusions Shifts in gut bacterial diversity and composition associated with iron treatment are pronounced in IBD participants. Despite similar clinical outcome, oral administration differentially affects bacterial phylotypes and faecal metabolites compared with IV therapy.&quot;,&quot;publisher&quot;:&quot;BMJ Publishing Group&quot;,&quot;issue&quot;:&quot;5&quot;,&quot;volume&quot;:&quot;66&quot;},&quot;isTemporary&quot;:false}],&quot;properties&quot;:{&quot;noteIndex&quot;:0},&quot;isEdited&quot;:false,&quot;manualOverride&quot;:{&quot;isManuallyOverridden&quot;:true,&quot;citeprocText&quot;:&quot;(Lee et al., 2016)&quot;,&quot;manualOverrideText&quot;:&quot;Lee et al., (2016)&quot;},&quot;citationTag&quot;:&quot;MENDELEY_CITATION_v3_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&quot;},{&quot;citationID&quot;:&quot;MENDELEY_CITATION_ed9e5ce5-526e-402b-be47-7fb3e698bba3&quot;,&quot;citationItems&quot;:[{&quot;id&quot;:&quot;54aa4a99-d9ae-32a2-94ec-eb575d428d77&quot;,&quot;itemData&quot;:{&quot;type&quot;:&quot;article-journal&quot;,&quot;id&quot;:&quot;54aa4a99-d9ae-32a2-94ec-eb575d428d77&quot;,&quot;title&quot;:&quot;IMNGS: A comprehensive open resource of processed 16S rRNA microbial profiles for ecology and diversity studies&quot;,&quot;author&quot;:[{&quot;family&quot;:&quot;Lagkouvardos&quot;,&quot;given&quot;:&quot;Ilias&quot;,&quot;parse-names&quot;:false,&quot;dropping-particle&quot;:&quot;&quot;,&quot;non-dropping-particle&quot;:&quot;&quot;},{&quot;family&quot;:&quot;Joseph&quot;,&quot;given&quot;:&quot;Divya&quot;,&quot;parse-names&quot;:false,&quot;dropping-particle&quot;:&quot;&quot;,&quot;non-dropping-particle&quot;:&quot;&quot;},{&quot;family&quot;:&quot;Kapfhammer&quot;,&quot;given&quot;:&quot;Martin&quot;,&quot;parse-names&quot;:false,&quot;dropping-particle&quot;:&quot;&quot;,&quot;non-dropping-particle&quot;:&quot;&quot;},{&quot;family&quot;:&quot;Giritli&quot;,&quot;given&quot;:&quot;Sabahattin&quot;,&quot;parse-names&quot;:false,&quot;dropping-particle&quot;:&quot;&quot;,&quot;non-dropping-particle&quot;:&quot;&quot;},{&quot;family&quot;:&quot;Horn&quot;,&quot;given&quot;:&quot;Matthias&quot;,&quot;parse-names&quot;:false,&quot;dropping-particle&quot;:&quot;&quot;,&quot;non-dropping-particle&quot;:&quot;&quot;},{&quot;family&quot;:&quot;Haller&quot;,&quot;given&quot;:&quot;Dirk&quot;,&quot;parse-names&quot;:false,&quot;dropping-particle&quot;:&quot;&quot;,&quot;non-dropping-particle&quot;:&quot;&quot;},{&quot;family&quot;:&quot;Clavel&quot;,&quot;given&quot;:&quot;Thomas&quot;,&quot;parse-names&quot;:false,&quot;dropping-particle&quot;:&quot;&quot;,&quot;non-dropping-particle&quot;:&quot;&quot;}],&quot;container-title&quot;:&quot;Scientific Reports&quot;,&quot;DOI&quot;:&quot;10.1038/srep33721&quot;,&quot;ISSN&quot;:&quot;20452322&quot;,&quot;issued&quot;:{&quot;date-parts&quot;:[[2016,9,23]]},&quot;abstract&quot;:&quot;The SRA (Sequence Read Archive) serves as primary depository for massive amounts of Next Generation Sequencing data, and currently host over 100,000 16S rRNA gene amplicon-based microbial profiles from various host habitats and environments. This number is increasing rapidly and there is a dire need for approaches to utilize this pool of knowledge. Here we created IMNGS (Integrated Microbial Next Generation Sequencing), an innovative platform that uniformly and systematically screens for and processes all prokaryotic 16S rRNA gene amplicon datasets available in SRA and uses them to build sample-specific sequence databases and OTU-based profiles. Via a web interface, this integrative sequence resource can easily be queried by users. We show examples of how the approach allows testing the ecological importance of specific microorganisms in different hosts or ecosystems, and performing targeted diversity studies for selected taxonomic groups. The platform also offers a complete workflow for de novo analysis of users' own raw 16S rRNA gene amplicon datasets for the sake of comparison with existing data. IMNGS can be accessed at www.imngs.org.&quot;,&quot;publisher&quot;:&quot;Nature Publishing Group&quot;,&quot;volume&quot;:&quot;6&quot;},&quot;isTemporary&quot;:false}],&quot;properties&quot;:{&quot;noteIndex&quot;:0},&quot;isEdited&quot;:false,&quot;manualOverride&quot;:{&quot;isManuallyOverridden&quot;:false,&quot;citeprocText&quot;:&quot;(Lagkouvardos et al., 2016)&quot;,&quot;manualOverrideText&quot;:&quot;&quot;},&quot;citationTag&quot;:&quot;MENDELEY_CITATION_v3_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&quot;}]"/>
    <we:property name="MENDELEY_CITATIONS_STYLE" value="&quot;https://www.zotero.org/styles/frontier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3D011-A2C2-4DD7-8D01-307A87915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Evangelia Intze</dc:creator>
  <cp:keywords/>
  <dc:description/>
  <cp:lastModifiedBy>Evangelia Intze</cp:lastModifiedBy>
  <cp:revision>5</cp:revision>
  <cp:lastPrinted>2021-11-19T00:49:00Z</cp:lastPrinted>
  <dcterms:created xsi:type="dcterms:W3CDTF">2021-11-18T23:43:00Z</dcterms:created>
  <dcterms:modified xsi:type="dcterms:W3CDTF">2021-11-19T09:22:00Z</dcterms:modified>
</cp:coreProperties>
</file>