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11FAB" w14:textId="7BD61CA6" w:rsidR="009B68EA" w:rsidRDefault="009B1B9B">
      <w:pPr>
        <w:spacing w:after="0"/>
        <w:ind w:left="0" w:right="0" w:firstLine="0"/>
        <w:jc w:val="left"/>
      </w:pPr>
      <w:r>
        <w:tab/>
      </w:r>
      <w:r>
        <w:rPr>
          <w:b/>
          <w:sz w:val="36"/>
        </w:rPr>
        <w:t xml:space="preserve"> </w:t>
      </w:r>
    </w:p>
    <w:p w14:paraId="16719DE3" w14:textId="77777777" w:rsidR="002C149D" w:rsidRDefault="002C149D">
      <w:pPr>
        <w:spacing w:after="0" w:line="240" w:lineRule="auto"/>
        <w:ind w:left="0" w:right="0" w:firstLine="0"/>
        <w:jc w:val="left"/>
        <w:rPr>
          <w:b/>
          <w:sz w:val="26"/>
        </w:rPr>
      </w:pPr>
      <w:r>
        <w:rPr>
          <w:b/>
          <w:sz w:val="26"/>
        </w:rPr>
        <w:br w:type="page"/>
      </w:r>
    </w:p>
    <w:sdt>
      <w:sdtPr>
        <w:rPr>
          <w:rFonts w:ascii="Times New Roman" w:eastAsia="Times New Roman" w:hAnsi="Times New Roman" w:cs="Times New Roman"/>
          <w:color w:val="000000"/>
          <w:sz w:val="24"/>
          <w:szCs w:val="20"/>
          <w:lang w:bidi="en-US"/>
        </w:rPr>
        <w:id w:val="1689022827"/>
        <w:docPartObj>
          <w:docPartGallery w:val="Table of Contents"/>
          <w:docPartUnique/>
        </w:docPartObj>
      </w:sdtPr>
      <w:sdtEndPr>
        <w:rPr>
          <w:b/>
          <w:bCs/>
          <w:noProof/>
        </w:rPr>
      </w:sdtEndPr>
      <w:sdtContent>
        <w:p w14:paraId="40A0796F" w14:textId="5836332F" w:rsidR="00542BA7" w:rsidRPr="00542BA7" w:rsidRDefault="00542BA7" w:rsidP="00542BA7">
          <w:pPr>
            <w:pStyle w:val="TOCHeading"/>
            <w:jc w:val="center"/>
            <w:rPr>
              <w:rStyle w:val="Heading2Char"/>
              <w:rFonts w:eastAsiaTheme="majorEastAsia"/>
              <w:u w:val="single"/>
            </w:rPr>
          </w:pPr>
          <w:r w:rsidRPr="00542BA7">
            <w:rPr>
              <w:rStyle w:val="Heading2Char"/>
              <w:rFonts w:eastAsiaTheme="majorEastAsia"/>
              <w:u w:val="single"/>
            </w:rPr>
            <w:t>Table of Contents</w:t>
          </w:r>
        </w:p>
        <w:p w14:paraId="2E3BACF4" w14:textId="14517799" w:rsidR="00542BA7" w:rsidRDefault="00542BA7">
          <w:pPr>
            <w:pStyle w:val="TOC1"/>
            <w:tabs>
              <w:tab w:val="right" w:leader="dot" w:pos="9443"/>
            </w:tabs>
            <w:rPr>
              <w:rFonts w:asciiTheme="minorHAnsi" w:eastAsiaTheme="minorEastAsia" w:hAnsiTheme="minorHAnsi" w:cstheme="minorBidi"/>
              <w:noProof/>
              <w:color w:val="auto"/>
              <w:kern w:val="2"/>
              <w:sz w:val="22"/>
              <w:szCs w:val="22"/>
              <w:lang w:bidi="ar-SA"/>
              <w14:ligatures w14:val="standardContextual"/>
            </w:rPr>
          </w:pPr>
          <w:r>
            <w:fldChar w:fldCharType="begin"/>
          </w:r>
          <w:r>
            <w:instrText xml:space="preserve"> TOC \o "1-3" \h \z \u </w:instrText>
          </w:r>
          <w:r>
            <w:fldChar w:fldCharType="separate"/>
          </w:r>
          <w:hyperlink w:anchor="_Toc138448100" w:history="1">
            <w:r w:rsidRPr="00530D6C">
              <w:rPr>
                <w:rStyle w:val="Hyperlink"/>
                <w:noProof/>
                <w:lang w:bidi="hi-IN"/>
              </w:rPr>
              <w:t>DECLARATION</w:t>
            </w:r>
            <w:r>
              <w:rPr>
                <w:noProof/>
                <w:webHidden/>
              </w:rPr>
              <w:tab/>
            </w:r>
            <w:r>
              <w:rPr>
                <w:noProof/>
                <w:webHidden/>
              </w:rPr>
              <w:fldChar w:fldCharType="begin"/>
            </w:r>
            <w:r>
              <w:rPr>
                <w:noProof/>
                <w:webHidden/>
              </w:rPr>
              <w:instrText xml:space="preserve"> PAGEREF _Toc138448100 \h </w:instrText>
            </w:r>
            <w:r>
              <w:rPr>
                <w:noProof/>
                <w:webHidden/>
              </w:rPr>
            </w:r>
            <w:r>
              <w:rPr>
                <w:noProof/>
                <w:webHidden/>
              </w:rPr>
              <w:fldChar w:fldCharType="separate"/>
            </w:r>
            <w:r>
              <w:rPr>
                <w:noProof/>
                <w:webHidden/>
              </w:rPr>
              <w:t>ii</w:t>
            </w:r>
            <w:r>
              <w:rPr>
                <w:noProof/>
                <w:webHidden/>
              </w:rPr>
              <w:fldChar w:fldCharType="end"/>
            </w:r>
          </w:hyperlink>
        </w:p>
        <w:p w14:paraId="4266E116" w14:textId="4A31A0A4" w:rsidR="00542BA7" w:rsidRDefault="00000000">
          <w:pPr>
            <w:pStyle w:val="TOC2"/>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01" w:history="1">
            <w:r w:rsidR="00542BA7" w:rsidRPr="00530D6C">
              <w:rPr>
                <w:rStyle w:val="Hyperlink"/>
                <w:noProof/>
                <w:lang w:bidi="hi-IN"/>
              </w:rPr>
              <w:t>List of Tables</w:t>
            </w:r>
            <w:r w:rsidR="00542BA7">
              <w:rPr>
                <w:noProof/>
                <w:webHidden/>
              </w:rPr>
              <w:tab/>
            </w:r>
            <w:r w:rsidR="00542BA7">
              <w:rPr>
                <w:noProof/>
                <w:webHidden/>
              </w:rPr>
              <w:fldChar w:fldCharType="begin"/>
            </w:r>
            <w:r w:rsidR="00542BA7">
              <w:rPr>
                <w:noProof/>
                <w:webHidden/>
              </w:rPr>
              <w:instrText xml:space="preserve"> PAGEREF _Toc138448101 \h </w:instrText>
            </w:r>
            <w:r w:rsidR="00542BA7">
              <w:rPr>
                <w:noProof/>
                <w:webHidden/>
              </w:rPr>
            </w:r>
            <w:r w:rsidR="00542BA7">
              <w:rPr>
                <w:noProof/>
                <w:webHidden/>
              </w:rPr>
              <w:fldChar w:fldCharType="separate"/>
            </w:r>
            <w:r w:rsidR="00542BA7">
              <w:rPr>
                <w:noProof/>
                <w:webHidden/>
              </w:rPr>
              <w:t>iv</w:t>
            </w:r>
            <w:r w:rsidR="00542BA7">
              <w:rPr>
                <w:noProof/>
                <w:webHidden/>
              </w:rPr>
              <w:fldChar w:fldCharType="end"/>
            </w:r>
          </w:hyperlink>
        </w:p>
        <w:p w14:paraId="7FD5D7AA" w14:textId="15FECCE9" w:rsidR="00542BA7" w:rsidRDefault="00000000">
          <w:pPr>
            <w:pStyle w:val="TOC2"/>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02" w:history="1">
            <w:r w:rsidR="00542BA7" w:rsidRPr="00530D6C">
              <w:rPr>
                <w:rStyle w:val="Hyperlink"/>
                <w:noProof/>
                <w:lang w:bidi="hi-IN"/>
              </w:rPr>
              <w:t>List of Figures</w:t>
            </w:r>
            <w:r w:rsidR="00542BA7">
              <w:rPr>
                <w:noProof/>
                <w:webHidden/>
              </w:rPr>
              <w:tab/>
            </w:r>
            <w:r w:rsidR="00542BA7">
              <w:rPr>
                <w:noProof/>
                <w:webHidden/>
              </w:rPr>
              <w:fldChar w:fldCharType="begin"/>
            </w:r>
            <w:r w:rsidR="00542BA7">
              <w:rPr>
                <w:noProof/>
                <w:webHidden/>
              </w:rPr>
              <w:instrText xml:space="preserve"> PAGEREF _Toc138448102 \h </w:instrText>
            </w:r>
            <w:r w:rsidR="00542BA7">
              <w:rPr>
                <w:noProof/>
                <w:webHidden/>
              </w:rPr>
            </w:r>
            <w:r w:rsidR="00542BA7">
              <w:rPr>
                <w:noProof/>
                <w:webHidden/>
              </w:rPr>
              <w:fldChar w:fldCharType="separate"/>
            </w:r>
            <w:r w:rsidR="00542BA7">
              <w:rPr>
                <w:noProof/>
                <w:webHidden/>
              </w:rPr>
              <w:t>iv</w:t>
            </w:r>
            <w:r w:rsidR="00542BA7">
              <w:rPr>
                <w:noProof/>
                <w:webHidden/>
              </w:rPr>
              <w:fldChar w:fldCharType="end"/>
            </w:r>
          </w:hyperlink>
        </w:p>
        <w:p w14:paraId="49BF8A52" w14:textId="5FC54447" w:rsidR="00542BA7" w:rsidRDefault="00000000">
          <w:pPr>
            <w:pStyle w:val="TOC2"/>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03" w:history="1">
            <w:r w:rsidR="00542BA7" w:rsidRPr="00530D6C">
              <w:rPr>
                <w:rStyle w:val="Hyperlink"/>
                <w:noProof/>
                <w:lang w:bidi="hi-IN"/>
              </w:rPr>
              <w:t>CHAPTER ONE: INTRODUCTION</w:t>
            </w:r>
            <w:r w:rsidR="00542BA7">
              <w:rPr>
                <w:noProof/>
                <w:webHidden/>
              </w:rPr>
              <w:tab/>
            </w:r>
            <w:r w:rsidR="00542BA7">
              <w:rPr>
                <w:noProof/>
                <w:webHidden/>
              </w:rPr>
              <w:fldChar w:fldCharType="begin"/>
            </w:r>
            <w:r w:rsidR="00542BA7">
              <w:rPr>
                <w:noProof/>
                <w:webHidden/>
              </w:rPr>
              <w:instrText xml:space="preserve"> PAGEREF _Toc138448103 \h </w:instrText>
            </w:r>
            <w:r w:rsidR="00542BA7">
              <w:rPr>
                <w:noProof/>
                <w:webHidden/>
              </w:rPr>
            </w:r>
            <w:r w:rsidR="00542BA7">
              <w:rPr>
                <w:noProof/>
                <w:webHidden/>
              </w:rPr>
              <w:fldChar w:fldCharType="separate"/>
            </w:r>
            <w:r w:rsidR="00542BA7">
              <w:rPr>
                <w:noProof/>
                <w:webHidden/>
              </w:rPr>
              <w:t>1</w:t>
            </w:r>
            <w:r w:rsidR="00542BA7">
              <w:rPr>
                <w:noProof/>
                <w:webHidden/>
              </w:rPr>
              <w:fldChar w:fldCharType="end"/>
            </w:r>
          </w:hyperlink>
        </w:p>
        <w:p w14:paraId="542A457A" w14:textId="44AA2BC9"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04" w:history="1">
            <w:r w:rsidR="00542BA7" w:rsidRPr="00530D6C">
              <w:rPr>
                <w:rStyle w:val="Hyperlink"/>
                <w:noProof/>
                <w:lang w:bidi="hi-IN"/>
              </w:rPr>
              <w:t>1.1.</w:t>
            </w:r>
            <w:r w:rsidR="00542BA7" w:rsidRPr="00530D6C">
              <w:rPr>
                <w:rStyle w:val="Hyperlink"/>
                <w:rFonts w:ascii="Arial" w:eastAsia="Arial" w:hAnsi="Arial" w:cs="Arial"/>
                <w:noProof/>
                <w:lang w:bidi="hi-IN"/>
              </w:rPr>
              <w:t xml:space="preserve"> </w:t>
            </w:r>
            <w:r w:rsidR="00542BA7" w:rsidRPr="00530D6C">
              <w:rPr>
                <w:rStyle w:val="Hyperlink"/>
                <w:noProof/>
                <w:lang w:bidi="hi-IN"/>
              </w:rPr>
              <w:t>BACKGROUND TO THE STUDY</w:t>
            </w:r>
            <w:r w:rsidR="00542BA7">
              <w:rPr>
                <w:noProof/>
                <w:webHidden/>
              </w:rPr>
              <w:tab/>
            </w:r>
            <w:r w:rsidR="00542BA7">
              <w:rPr>
                <w:noProof/>
                <w:webHidden/>
              </w:rPr>
              <w:fldChar w:fldCharType="begin"/>
            </w:r>
            <w:r w:rsidR="00542BA7">
              <w:rPr>
                <w:noProof/>
                <w:webHidden/>
              </w:rPr>
              <w:instrText xml:space="preserve"> PAGEREF _Toc138448104 \h </w:instrText>
            </w:r>
            <w:r w:rsidR="00542BA7">
              <w:rPr>
                <w:noProof/>
                <w:webHidden/>
              </w:rPr>
            </w:r>
            <w:r w:rsidR="00542BA7">
              <w:rPr>
                <w:noProof/>
                <w:webHidden/>
              </w:rPr>
              <w:fldChar w:fldCharType="separate"/>
            </w:r>
            <w:r w:rsidR="00542BA7">
              <w:rPr>
                <w:noProof/>
                <w:webHidden/>
              </w:rPr>
              <w:t>1</w:t>
            </w:r>
            <w:r w:rsidR="00542BA7">
              <w:rPr>
                <w:noProof/>
                <w:webHidden/>
              </w:rPr>
              <w:fldChar w:fldCharType="end"/>
            </w:r>
          </w:hyperlink>
        </w:p>
        <w:p w14:paraId="74B8436A" w14:textId="1E34FF14"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05" w:history="1">
            <w:r w:rsidR="00542BA7" w:rsidRPr="00530D6C">
              <w:rPr>
                <w:rStyle w:val="Hyperlink"/>
                <w:noProof/>
                <w:lang w:bidi="hi-IN"/>
              </w:rPr>
              <w:t>1.2.</w:t>
            </w:r>
            <w:r w:rsidR="00542BA7" w:rsidRPr="00530D6C">
              <w:rPr>
                <w:rStyle w:val="Hyperlink"/>
                <w:rFonts w:ascii="Arial" w:eastAsia="Arial" w:hAnsi="Arial" w:cs="Arial"/>
                <w:noProof/>
                <w:lang w:bidi="hi-IN"/>
              </w:rPr>
              <w:t xml:space="preserve"> </w:t>
            </w:r>
            <w:r w:rsidR="00542BA7" w:rsidRPr="00530D6C">
              <w:rPr>
                <w:rStyle w:val="Hyperlink"/>
                <w:noProof/>
                <w:lang w:bidi="hi-IN"/>
              </w:rPr>
              <w:t>PROBLEM STATEMENT</w:t>
            </w:r>
            <w:r w:rsidR="00542BA7">
              <w:rPr>
                <w:noProof/>
                <w:webHidden/>
              </w:rPr>
              <w:tab/>
            </w:r>
            <w:r w:rsidR="00542BA7">
              <w:rPr>
                <w:noProof/>
                <w:webHidden/>
              </w:rPr>
              <w:fldChar w:fldCharType="begin"/>
            </w:r>
            <w:r w:rsidR="00542BA7">
              <w:rPr>
                <w:noProof/>
                <w:webHidden/>
              </w:rPr>
              <w:instrText xml:space="preserve"> PAGEREF _Toc138448105 \h </w:instrText>
            </w:r>
            <w:r w:rsidR="00542BA7">
              <w:rPr>
                <w:noProof/>
                <w:webHidden/>
              </w:rPr>
            </w:r>
            <w:r w:rsidR="00542BA7">
              <w:rPr>
                <w:noProof/>
                <w:webHidden/>
              </w:rPr>
              <w:fldChar w:fldCharType="separate"/>
            </w:r>
            <w:r w:rsidR="00542BA7">
              <w:rPr>
                <w:noProof/>
                <w:webHidden/>
              </w:rPr>
              <w:t>4</w:t>
            </w:r>
            <w:r w:rsidR="00542BA7">
              <w:rPr>
                <w:noProof/>
                <w:webHidden/>
              </w:rPr>
              <w:fldChar w:fldCharType="end"/>
            </w:r>
          </w:hyperlink>
        </w:p>
        <w:p w14:paraId="5BFF4180" w14:textId="46DA2E68"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06" w:history="1">
            <w:r w:rsidR="00542BA7" w:rsidRPr="00530D6C">
              <w:rPr>
                <w:rStyle w:val="Hyperlink"/>
                <w:noProof/>
                <w:lang w:bidi="hi-IN"/>
              </w:rPr>
              <w:t>1.3.</w:t>
            </w:r>
            <w:r w:rsidR="00542BA7" w:rsidRPr="00530D6C">
              <w:rPr>
                <w:rStyle w:val="Hyperlink"/>
                <w:rFonts w:ascii="Arial" w:eastAsia="Arial" w:hAnsi="Arial" w:cs="Arial"/>
                <w:noProof/>
                <w:lang w:bidi="hi-IN"/>
              </w:rPr>
              <w:t xml:space="preserve"> </w:t>
            </w:r>
            <w:r w:rsidR="00542BA7" w:rsidRPr="00530D6C">
              <w:rPr>
                <w:rStyle w:val="Hyperlink"/>
                <w:noProof/>
                <w:lang w:bidi="hi-IN"/>
              </w:rPr>
              <w:t>RESEARCH OBJECTIVES</w:t>
            </w:r>
            <w:r w:rsidR="00542BA7">
              <w:rPr>
                <w:noProof/>
                <w:webHidden/>
              </w:rPr>
              <w:tab/>
            </w:r>
            <w:r w:rsidR="00542BA7">
              <w:rPr>
                <w:noProof/>
                <w:webHidden/>
              </w:rPr>
              <w:fldChar w:fldCharType="begin"/>
            </w:r>
            <w:r w:rsidR="00542BA7">
              <w:rPr>
                <w:noProof/>
                <w:webHidden/>
              </w:rPr>
              <w:instrText xml:space="preserve"> PAGEREF _Toc138448106 \h </w:instrText>
            </w:r>
            <w:r w:rsidR="00542BA7">
              <w:rPr>
                <w:noProof/>
                <w:webHidden/>
              </w:rPr>
            </w:r>
            <w:r w:rsidR="00542BA7">
              <w:rPr>
                <w:noProof/>
                <w:webHidden/>
              </w:rPr>
              <w:fldChar w:fldCharType="separate"/>
            </w:r>
            <w:r w:rsidR="00542BA7">
              <w:rPr>
                <w:noProof/>
                <w:webHidden/>
              </w:rPr>
              <w:t>5</w:t>
            </w:r>
            <w:r w:rsidR="00542BA7">
              <w:rPr>
                <w:noProof/>
                <w:webHidden/>
              </w:rPr>
              <w:fldChar w:fldCharType="end"/>
            </w:r>
          </w:hyperlink>
        </w:p>
        <w:p w14:paraId="6A80BF69" w14:textId="3C395A44"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07" w:history="1">
            <w:r w:rsidR="00542BA7" w:rsidRPr="00530D6C">
              <w:rPr>
                <w:rStyle w:val="Hyperlink"/>
                <w:noProof/>
                <w:lang w:bidi="hi-IN"/>
              </w:rPr>
              <w:t>1.4.</w:t>
            </w:r>
            <w:r w:rsidR="00542BA7" w:rsidRPr="00530D6C">
              <w:rPr>
                <w:rStyle w:val="Hyperlink"/>
                <w:rFonts w:ascii="Arial" w:eastAsia="Arial" w:hAnsi="Arial" w:cs="Arial"/>
                <w:noProof/>
                <w:lang w:bidi="hi-IN"/>
              </w:rPr>
              <w:t xml:space="preserve"> </w:t>
            </w:r>
            <w:r w:rsidR="00542BA7" w:rsidRPr="00530D6C">
              <w:rPr>
                <w:rStyle w:val="Hyperlink"/>
                <w:noProof/>
                <w:lang w:bidi="hi-IN"/>
              </w:rPr>
              <w:t>SIGNIFICANCE OF THE RESEARCH</w:t>
            </w:r>
            <w:r w:rsidR="00542BA7">
              <w:rPr>
                <w:noProof/>
                <w:webHidden/>
              </w:rPr>
              <w:tab/>
            </w:r>
            <w:r w:rsidR="00542BA7">
              <w:rPr>
                <w:noProof/>
                <w:webHidden/>
              </w:rPr>
              <w:fldChar w:fldCharType="begin"/>
            </w:r>
            <w:r w:rsidR="00542BA7">
              <w:rPr>
                <w:noProof/>
                <w:webHidden/>
              </w:rPr>
              <w:instrText xml:space="preserve"> PAGEREF _Toc138448107 \h </w:instrText>
            </w:r>
            <w:r w:rsidR="00542BA7">
              <w:rPr>
                <w:noProof/>
                <w:webHidden/>
              </w:rPr>
            </w:r>
            <w:r w:rsidR="00542BA7">
              <w:rPr>
                <w:noProof/>
                <w:webHidden/>
              </w:rPr>
              <w:fldChar w:fldCharType="separate"/>
            </w:r>
            <w:r w:rsidR="00542BA7">
              <w:rPr>
                <w:noProof/>
                <w:webHidden/>
              </w:rPr>
              <w:t>5</w:t>
            </w:r>
            <w:r w:rsidR="00542BA7">
              <w:rPr>
                <w:noProof/>
                <w:webHidden/>
              </w:rPr>
              <w:fldChar w:fldCharType="end"/>
            </w:r>
          </w:hyperlink>
        </w:p>
        <w:p w14:paraId="683C1F45" w14:textId="758AB2D8"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08" w:history="1">
            <w:r w:rsidR="00542BA7" w:rsidRPr="00530D6C">
              <w:rPr>
                <w:rStyle w:val="Hyperlink"/>
                <w:noProof/>
                <w:lang w:bidi="hi-IN"/>
              </w:rPr>
              <w:t>1.5.</w:t>
            </w:r>
            <w:r w:rsidR="00542BA7" w:rsidRPr="00530D6C">
              <w:rPr>
                <w:rStyle w:val="Hyperlink"/>
                <w:rFonts w:ascii="Arial" w:eastAsia="Arial" w:hAnsi="Arial" w:cs="Arial"/>
                <w:noProof/>
                <w:lang w:bidi="hi-IN"/>
              </w:rPr>
              <w:t xml:space="preserve"> </w:t>
            </w:r>
            <w:r w:rsidR="00542BA7" w:rsidRPr="00530D6C">
              <w:rPr>
                <w:rStyle w:val="Hyperlink"/>
                <w:noProof/>
                <w:lang w:bidi="hi-IN"/>
              </w:rPr>
              <w:t>STRUCTURE OF THE PAPER</w:t>
            </w:r>
            <w:r w:rsidR="00542BA7">
              <w:rPr>
                <w:noProof/>
                <w:webHidden/>
              </w:rPr>
              <w:tab/>
            </w:r>
            <w:r w:rsidR="00542BA7">
              <w:rPr>
                <w:noProof/>
                <w:webHidden/>
              </w:rPr>
              <w:fldChar w:fldCharType="begin"/>
            </w:r>
            <w:r w:rsidR="00542BA7">
              <w:rPr>
                <w:noProof/>
                <w:webHidden/>
              </w:rPr>
              <w:instrText xml:space="preserve"> PAGEREF _Toc138448108 \h </w:instrText>
            </w:r>
            <w:r w:rsidR="00542BA7">
              <w:rPr>
                <w:noProof/>
                <w:webHidden/>
              </w:rPr>
            </w:r>
            <w:r w:rsidR="00542BA7">
              <w:rPr>
                <w:noProof/>
                <w:webHidden/>
              </w:rPr>
              <w:fldChar w:fldCharType="separate"/>
            </w:r>
            <w:r w:rsidR="00542BA7">
              <w:rPr>
                <w:noProof/>
                <w:webHidden/>
              </w:rPr>
              <w:t>5</w:t>
            </w:r>
            <w:r w:rsidR="00542BA7">
              <w:rPr>
                <w:noProof/>
                <w:webHidden/>
              </w:rPr>
              <w:fldChar w:fldCharType="end"/>
            </w:r>
          </w:hyperlink>
        </w:p>
        <w:p w14:paraId="65888B22" w14:textId="617B5EB3" w:rsidR="00542BA7" w:rsidRDefault="00000000">
          <w:pPr>
            <w:pStyle w:val="TOC2"/>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09" w:history="1">
            <w:r w:rsidR="00542BA7" w:rsidRPr="00530D6C">
              <w:rPr>
                <w:rStyle w:val="Hyperlink"/>
                <w:noProof/>
                <w:lang w:bidi="hi-IN"/>
              </w:rPr>
              <w:t>2.</w:t>
            </w:r>
            <w:r w:rsidR="00542BA7" w:rsidRPr="00530D6C">
              <w:rPr>
                <w:rStyle w:val="Hyperlink"/>
                <w:rFonts w:ascii="Arial" w:eastAsia="Arial" w:hAnsi="Arial" w:cs="Arial"/>
                <w:noProof/>
                <w:lang w:bidi="hi-IN"/>
              </w:rPr>
              <w:t xml:space="preserve"> </w:t>
            </w:r>
            <w:r w:rsidR="00542BA7" w:rsidRPr="00530D6C">
              <w:rPr>
                <w:rStyle w:val="Hyperlink"/>
                <w:noProof/>
                <w:lang w:bidi="hi-IN"/>
              </w:rPr>
              <w:t>LITERATURE REVIEW</w:t>
            </w:r>
            <w:r w:rsidR="00542BA7">
              <w:rPr>
                <w:noProof/>
                <w:webHidden/>
              </w:rPr>
              <w:tab/>
            </w:r>
            <w:r w:rsidR="00542BA7">
              <w:rPr>
                <w:noProof/>
                <w:webHidden/>
              </w:rPr>
              <w:fldChar w:fldCharType="begin"/>
            </w:r>
            <w:r w:rsidR="00542BA7">
              <w:rPr>
                <w:noProof/>
                <w:webHidden/>
              </w:rPr>
              <w:instrText xml:space="preserve"> PAGEREF _Toc138448109 \h </w:instrText>
            </w:r>
            <w:r w:rsidR="00542BA7">
              <w:rPr>
                <w:noProof/>
                <w:webHidden/>
              </w:rPr>
            </w:r>
            <w:r w:rsidR="00542BA7">
              <w:rPr>
                <w:noProof/>
                <w:webHidden/>
              </w:rPr>
              <w:fldChar w:fldCharType="separate"/>
            </w:r>
            <w:r w:rsidR="00542BA7">
              <w:rPr>
                <w:noProof/>
                <w:webHidden/>
              </w:rPr>
              <w:t>6</w:t>
            </w:r>
            <w:r w:rsidR="00542BA7">
              <w:rPr>
                <w:noProof/>
                <w:webHidden/>
              </w:rPr>
              <w:fldChar w:fldCharType="end"/>
            </w:r>
          </w:hyperlink>
        </w:p>
        <w:p w14:paraId="424E74DD" w14:textId="4BBE2167"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10" w:history="1">
            <w:r w:rsidR="00542BA7" w:rsidRPr="00530D6C">
              <w:rPr>
                <w:rStyle w:val="Hyperlink"/>
                <w:noProof/>
                <w:lang w:bidi="hi-IN"/>
              </w:rPr>
              <w:t>2.1.</w:t>
            </w:r>
            <w:r w:rsidR="00542BA7" w:rsidRPr="00530D6C">
              <w:rPr>
                <w:rStyle w:val="Hyperlink"/>
                <w:rFonts w:ascii="Arial" w:eastAsia="Arial" w:hAnsi="Arial" w:cs="Arial"/>
                <w:noProof/>
                <w:lang w:bidi="hi-IN"/>
              </w:rPr>
              <w:t xml:space="preserve"> </w:t>
            </w:r>
            <w:r w:rsidR="00542BA7" w:rsidRPr="00530D6C">
              <w:rPr>
                <w:rStyle w:val="Hyperlink"/>
                <w:noProof/>
                <w:lang w:bidi="hi-IN"/>
              </w:rPr>
              <w:t>THEORIES UNDERPINNING THE BANK CAPITAL AND BANKING CRISIS NEXUS</w:t>
            </w:r>
            <w:r w:rsidR="00542BA7">
              <w:rPr>
                <w:noProof/>
                <w:webHidden/>
              </w:rPr>
              <w:tab/>
            </w:r>
            <w:r w:rsidR="00542BA7">
              <w:rPr>
                <w:noProof/>
                <w:webHidden/>
              </w:rPr>
              <w:fldChar w:fldCharType="begin"/>
            </w:r>
            <w:r w:rsidR="00542BA7">
              <w:rPr>
                <w:noProof/>
                <w:webHidden/>
              </w:rPr>
              <w:instrText xml:space="preserve"> PAGEREF _Toc138448110 \h </w:instrText>
            </w:r>
            <w:r w:rsidR="00542BA7">
              <w:rPr>
                <w:noProof/>
                <w:webHidden/>
              </w:rPr>
            </w:r>
            <w:r w:rsidR="00542BA7">
              <w:rPr>
                <w:noProof/>
                <w:webHidden/>
              </w:rPr>
              <w:fldChar w:fldCharType="separate"/>
            </w:r>
            <w:r w:rsidR="00542BA7">
              <w:rPr>
                <w:noProof/>
                <w:webHidden/>
              </w:rPr>
              <w:t>6</w:t>
            </w:r>
            <w:r w:rsidR="00542BA7">
              <w:rPr>
                <w:noProof/>
                <w:webHidden/>
              </w:rPr>
              <w:fldChar w:fldCharType="end"/>
            </w:r>
          </w:hyperlink>
        </w:p>
        <w:p w14:paraId="56E61022" w14:textId="3AAF22BE"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11" w:history="1">
            <w:r w:rsidR="00542BA7" w:rsidRPr="00530D6C">
              <w:rPr>
                <w:rStyle w:val="Hyperlink"/>
                <w:noProof/>
                <w:lang w:bidi="hi-IN"/>
              </w:rPr>
              <w:t>2.2.</w:t>
            </w:r>
            <w:r w:rsidR="00542BA7" w:rsidRPr="00530D6C">
              <w:rPr>
                <w:rStyle w:val="Hyperlink"/>
                <w:rFonts w:ascii="Arial" w:eastAsia="Arial" w:hAnsi="Arial" w:cs="Arial"/>
                <w:noProof/>
                <w:lang w:bidi="hi-IN"/>
              </w:rPr>
              <w:t xml:space="preserve"> </w:t>
            </w:r>
            <w:r w:rsidR="00542BA7" w:rsidRPr="00530D6C">
              <w:rPr>
                <w:rStyle w:val="Hyperlink"/>
                <w:noProof/>
                <w:lang w:bidi="hi-IN"/>
              </w:rPr>
              <w:t>IFRS 9 TRANSITION (CAT) EFFECT ON FINANCIAL STABILITY</w:t>
            </w:r>
            <w:r w:rsidR="00542BA7">
              <w:rPr>
                <w:noProof/>
                <w:webHidden/>
              </w:rPr>
              <w:tab/>
            </w:r>
            <w:r w:rsidR="00542BA7">
              <w:rPr>
                <w:noProof/>
                <w:webHidden/>
              </w:rPr>
              <w:fldChar w:fldCharType="begin"/>
            </w:r>
            <w:r w:rsidR="00542BA7">
              <w:rPr>
                <w:noProof/>
                <w:webHidden/>
              </w:rPr>
              <w:instrText xml:space="preserve"> PAGEREF _Toc138448111 \h </w:instrText>
            </w:r>
            <w:r w:rsidR="00542BA7">
              <w:rPr>
                <w:noProof/>
                <w:webHidden/>
              </w:rPr>
            </w:r>
            <w:r w:rsidR="00542BA7">
              <w:rPr>
                <w:noProof/>
                <w:webHidden/>
              </w:rPr>
              <w:fldChar w:fldCharType="separate"/>
            </w:r>
            <w:r w:rsidR="00542BA7">
              <w:rPr>
                <w:noProof/>
                <w:webHidden/>
              </w:rPr>
              <w:t>9</w:t>
            </w:r>
            <w:r w:rsidR="00542BA7">
              <w:rPr>
                <w:noProof/>
                <w:webHidden/>
              </w:rPr>
              <w:fldChar w:fldCharType="end"/>
            </w:r>
          </w:hyperlink>
        </w:p>
        <w:p w14:paraId="5305DDFD" w14:textId="57CDCCB7" w:rsidR="00542BA7" w:rsidRDefault="00000000">
          <w:pPr>
            <w:pStyle w:val="TOC2"/>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12" w:history="1">
            <w:r w:rsidR="00542BA7" w:rsidRPr="00530D6C">
              <w:rPr>
                <w:rStyle w:val="Hyperlink"/>
                <w:noProof/>
                <w:lang w:bidi="hi-IN"/>
              </w:rPr>
              <w:t>3.</w:t>
            </w:r>
            <w:r w:rsidR="00542BA7" w:rsidRPr="00530D6C">
              <w:rPr>
                <w:rStyle w:val="Hyperlink"/>
                <w:rFonts w:ascii="Arial" w:eastAsia="Arial" w:hAnsi="Arial" w:cs="Arial"/>
                <w:noProof/>
                <w:lang w:bidi="hi-IN"/>
              </w:rPr>
              <w:t xml:space="preserve"> </w:t>
            </w:r>
            <w:r w:rsidR="00542BA7" w:rsidRPr="00530D6C">
              <w:rPr>
                <w:rStyle w:val="Hyperlink"/>
                <w:noProof/>
                <w:lang w:bidi="hi-IN"/>
              </w:rPr>
              <w:t>METHODOLOGY</w:t>
            </w:r>
            <w:r w:rsidR="00542BA7">
              <w:rPr>
                <w:noProof/>
                <w:webHidden/>
              </w:rPr>
              <w:tab/>
            </w:r>
            <w:r w:rsidR="00542BA7">
              <w:rPr>
                <w:noProof/>
                <w:webHidden/>
              </w:rPr>
              <w:fldChar w:fldCharType="begin"/>
            </w:r>
            <w:r w:rsidR="00542BA7">
              <w:rPr>
                <w:noProof/>
                <w:webHidden/>
              </w:rPr>
              <w:instrText xml:space="preserve"> PAGEREF _Toc138448112 \h </w:instrText>
            </w:r>
            <w:r w:rsidR="00542BA7">
              <w:rPr>
                <w:noProof/>
                <w:webHidden/>
              </w:rPr>
            </w:r>
            <w:r w:rsidR="00542BA7">
              <w:rPr>
                <w:noProof/>
                <w:webHidden/>
              </w:rPr>
              <w:fldChar w:fldCharType="separate"/>
            </w:r>
            <w:r w:rsidR="00542BA7">
              <w:rPr>
                <w:noProof/>
                <w:webHidden/>
              </w:rPr>
              <w:t>12</w:t>
            </w:r>
            <w:r w:rsidR="00542BA7">
              <w:rPr>
                <w:noProof/>
                <w:webHidden/>
              </w:rPr>
              <w:fldChar w:fldCharType="end"/>
            </w:r>
          </w:hyperlink>
        </w:p>
        <w:p w14:paraId="2322137F" w14:textId="5A300DD1"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13" w:history="1">
            <w:r w:rsidR="00542BA7" w:rsidRPr="00530D6C">
              <w:rPr>
                <w:rStyle w:val="Hyperlink"/>
                <w:noProof/>
                <w:lang w:bidi="hi-IN"/>
              </w:rPr>
              <w:t>3.1.</w:t>
            </w:r>
            <w:r w:rsidR="00542BA7" w:rsidRPr="00530D6C">
              <w:rPr>
                <w:rStyle w:val="Hyperlink"/>
                <w:rFonts w:ascii="Arial" w:eastAsia="Arial" w:hAnsi="Arial" w:cs="Arial"/>
                <w:noProof/>
                <w:lang w:bidi="hi-IN"/>
              </w:rPr>
              <w:t xml:space="preserve"> </w:t>
            </w:r>
            <w:r w:rsidR="00542BA7" w:rsidRPr="00530D6C">
              <w:rPr>
                <w:rStyle w:val="Hyperlink"/>
                <w:noProof/>
                <w:lang w:bidi="hi-IN"/>
              </w:rPr>
              <w:t>INTRODUCTION</w:t>
            </w:r>
            <w:r w:rsidR="00542BA7">
              <w:rPr>
                <w:noProof/>
                <w:webHidden/>
              </w:rPr>
              <w:tab/>
            </w:r>
            <w:r w:rsidR="00542BA7">
              <w:rPr>
                <w:noProof/>
                <w:webHidden/>
              </w:rPr>
              <w:fldChar w:fldCharType="begin"/>
            </w:r>
            <w:r w:rsidR="00542BA7">
              <w:rPr>
                <w:noProof/>
                <w:webHidden/>
              </w:rPr>
              <w:instrText xml:space="preserve"> PAGEREF _Toc138448113 \h </w:instrText>
            </w:r>
            <w:r w:rsidR="00542BA7">
              <w:rPr>
                <w:noProof/>
                <w:webHidden/>
              </w:rPr>
            </w:r>
            <w:r w:rsidR="00542BA7">
              <w:rPr>
                <w:noProof/>
                <w:webHidden/>
              </w:rPr>
              <w:fldChar w:fldCharType="separate"/>
            </w:r>
            <w:r w:rsidR="00542BA7">
              <w:rPr>
                <w:noProof/>
                <w:webHidden/>
              </w:rPr>
              <w:t>12</w:t>
            </w:r>
            <w:r w:rsidR="00542BA7">
              <w:rPr>
                <w:noProof/>
                <w:webHidden/>
              </w:rPr>
              <w:fldChar w:fldCharType="end"/>
            </w:r>
          </w:hyperlink>
        </w:p>
        <w:p w14:paraId="6D52A7C8" w14:textId="27434076"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14" w:history="1">
            <w:r w:rsidR="00542BA7" w:rsidRPr="00530D6C">
              <w:rPr>
                <w:rStyle w:val="Hyperlink"/>
                <w:noProof/>
                <w:lang w:bidi="hi-IN"/>
              </w:rPr>
              <w:t>3.2.</w:t>
            </w:r>
            <w:r w:rsidR="00542BA7" w:rsidRPr="00530D6C">
              <w:rPr>
                <w:rStyle w:val="Hyperlink"/>
                <w:rFonts w:ascii="Arial" w:eastAsia="Arial" w:hAnsi="Arial" w:cs="Arial"/>
                <w:noProof/>
                <w:lang w:bidi="hi-IN"/>
              </w:rPr>
              <w:t xml:space="preserve"> </w:t>
            </w:r>
            <w:r w:rsidR="00542BA7" w:rsidRPr="00530D6C">
              <w:rPr>
                <w:rStyle w:val="Hyperlink"/>
                <w:noProof/>
                <w:lang w:bidi="hi-IN"/>
              </w:rPr>
              <w:t>RESEARCH DESIGN</w:t>
            </w:r>
            <w:r w:rsidR="00542BA7">
              <w:rPr>
                <w:noProof/>
                <w:webHidden/>
              </w:rPr>
              <w:tab/>
            </w:r>
            <w:r w:rsidR="00542BA7">
              <w:rPr>
                <w:noProof/>
                <w:webHidden/>
              </w:rPr>
              <w:fldChar w:fldCharType="begin"/>
            </w:r>
            <w:r w:rsidR="00542BA7">
              <w:rPr>
                <w:noProof/>
                <w:webHidden/>
              </w:rPr>
              <w:instrText xml:space="preserve"> PAGEREF _Toc138448114 \h </w:instrText>
            </w:r>
            <w:r w:rsidR="00542BA7">
              <w:rPr>
                <w:noProof/>
                <w:webHidden/>
              </w:rPr>
            </w:r>
            <w:r w:rsidR="00542BA7">
              <w:rPr>
                <w:noProof/>
                <w:webHidden/>
              </w:rPr>
              <w:fldChar w:fldCharType="separate"/>
            </w:r>
            <w:r w:rsidR="00542BA7">
              <w:rPr>
                <w:noProof/>
                <w:webHidden/>
              </w:rPr>
              <w:t>12</w:t>
            </w:r>
            <w:r w:rsidR="00542BA7">
              <w:rPr>
                <w:noProof/>
                <w:webHidden/>
              </w:rPr>
              <w:fldChar w:fldCharType="end"/>
            </w:r>
          </w:hyperlink>
        </w:p>
        <w:p w14:paraId="16FB89C9" w14:textId="63937DA0"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15" w:history="1">
            <w:r w:rsidR="00542BA7" w:rsidRPr="00530D6C">
              <w:rPr>
                <w:rStyle w:val="Hyperlink"/>
                <w:noProof/>
                <w:lang w:bidi="hi-IN"/>
              </w:rPr>
              <w:t>3.3.</w:t>
            </w:r>
            <w:r w:rsidR="00542BA7" w:rsidRPr="00530D6C">
              <w:rPr>
                <w:rStyle w:val="Hyperlink"/>
                <w:rFonts w:ascii="Arial" w:eastAsia="Arial" w:hAnsi="Arial" w:cs="Arial"/>
                <w:noProof/>
                <w:lang w:bidi="hi-IN"/>
              </w:rPr>
              <w:t xml:space="preserve"> </w:t>
            </w:r>
            <w:r w:rsidR="00542BA7" w:rsidRPr="00530D6C">
              <w:rPr>
                <w:rStyle w:val="Hyperlink"/>
                <w:noProof/>
                <w:lang w:bidi="hi-IN"/>
              </w:rPr>
              <w:t>POPULATION AND SAMPLE</w:t>
            </w:r>
            <w:r w:rsidR="00542BA7">
              <w:rPr>
                <w:noProof/>
                <w:webHidden/>
              </w:rPr>
              <w:tab/>
            </w:r>
            <w:r w:rsidR="00542BA7">
              <w:rPr>
                <w:noProof/>
                <w:webHidden/>
              </w:rPr>
              <w:fldChar w:fldCharType="begin"/>
            </w:r>
            <w:r w:rsidR="00542BA7">
              <w:rPr>
                <w:noProof/>
                <w:webHidden/>
              </w:rPr>
              <w:instrText xml:space="preserve"> PAGEREF _Toc138448115 \h </w:instrText>
            </w:r>
            <w:r w:rsidR="00542BA7">
              <w:rPr>
                <w:noProof/>
                <w:webHidden/>
              </w:rPr>
            </w:r>
            <w:r w:rsidR="00542BA7">
              <w:rPr>
                <w:noProof/>
                <w:webHidden/>
              </w:rPr>
              <w:fldChar w:fldCharType="separate"/>
            </w:r>
            <w:r w:rsidR="00542BA7">
              <w:rPr>
                <w:noProof/>
                <w:webHidden/>
              </w:rPr>
              <w:t>12</w:t>
            </w:r>
            <w:r w:rsidR="00542BA7">
              <w:rPr>
                <w:noProof/>
                <w:webHidden/>
              </w:rPr>
              <w:fldChar w:fldCharType="end"/>
            </w:r>
          </w:hyperlink>
        </w:p>
        <w:p w14:paraId="4AE1ADAC" w14:textId="321068B0"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16" w:history="1">
            <w:r w:rsidR="00542BA7" w:rsidRPr="00530D6C">
              <w:rPr>
                <w:rStyle w:val="Hyperlink"/>
                <w:noProof/>
                <w:lang w:bidi="hi-IN"/>
              </w:rPr>
              <w:t>3.4.</w:t>
            </w:r>
            <w:r w:rsidR="00542BA7" w:rsidRPr="00530D6C">
              <w:rPr>
                <w:rStyle w:val="Hyperlink"/>
                <w:rFonts w:ascii="Arial" w:eastAsia="Arial" w:hAnsi="Arial" w:cs="Arial"/>
                <w:noProof/>
                <w:lang w:bidi="hi-IN"/>
              </w:rPr>
              <w:t xml:space="preserve"> </w:t>
            </w:r>
            <w:r w:rsidR="00542BA7" w:rsidRPr="00530D6C">
              <w:rPr>
                <w:rStyle w:val="Hyperlink"/>
                <w:noProof/>
                <w:lang w:bidi="hi-IN"/>
              </w:rPr>
              <w:t>DATA COLLECTION</w:t>
            </w:r>
            <w:r w:rsidR="00542BA7">
              <w:rPr>
                <w:noProof/>
                <w:webHidden/>
              </w:rPr>
              <w:tab/>
            </w:r>
            <w:r w:rsidR="00542BA7">
              <w:rPr>
                <w:noProof/>
                <w:webHidden/>
              </w:rPr>
              <w:fldChar w:fldCharType="begin"/>
            </w:r>
            <w:r w:rsidR="00542BA7">
              <w:rPr>
                <w:noProof/>
                <w:webHidden/>
              </w:rPr>
              <w:instrText xml:space="preserve"> PAGEREF _Toc138448116 \h </w:instrText>
            </w:r>
            <w:r w:rsidR="00542BA7">
              <w:rPr>
                <w:noProof/>
                <w:webHidden/>
              </w:rPr>
            </w:r>
            <w:r w:rsidR="00542BA7">
              <w:rPr>
                <w:noProof/>
                <w:webHidden/>
              </w:rPr>
              <w:fldChar w:fldCharType="separate"/>
            </w:r>
            <w:r w:rsidR="00542BA7">
              <w:rPr>
                <w:noProof/>
                <w:webHidden/>
              </w:rPr>
              <w:t>13</w:t>
            </w:r>
            <w:r w:rsidR="00542BA7">
              <w:rPr>
                <w:noProof/>
                <w:webHidden/>
              </w:rPr>
              <w:fldChar w:fldCharType="end"/>
            </w:r>
          </w:hyperlink>
        </w:p>
        <w:p w14:paraId="4ED08E87" w14:textId="42E62672"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17" w:history="1">
            <w:r w:rsidR="00542BA7" w:rsidRPr="00530D6C">
              <w:rPr>
                <w:rStyle w:val="Hyperlink"/>
                <w:noProof/>
                <w:lang w:bidi="hi-IN"/>
              </w:rPr>
              <w:t>3.5.</w:t>
            </w:r>
            <w:r w:rsidR="00542BA7" w:rsidRPr="00530D6C">
              <w:rPr>
                <w:rStyle w:val="Hyperlink"/>
                <w:rFonts w:ascii="Arial" w:eastAsia="Arial" w:hAnsi="Arial" w:cs="Arial"/>
                <w:noProof/>
                <w:lang w:bidi="hi-IN"/>
              </w:rPr>
              <w:t xml:space="preserve"> </w:t>
            </w:r>
            <w:r w:rsidR="00542BA7" w:rsidRPr="00530D6C">
              <w:rPr>
                <w:rStyle w:val="Hyperlink"/>
                <w:noProof/>
                <w:lang w:bidi="hi-IN"/>
              </w:rPr>
              <w:t>DATA ANALYSIS</w:t>
            </w:r>
            <w:r w:rsidR="00542BA7">
              <w:rPr>
                <w:noProof/>
                <w:webHidden/>
              </w:rPr>
              <w:tab/>
            </w:r>
            <w:r w:rsidR="00542BA7">
              <w:rPr>
                <w:noProof/>
                <w:webHidden/>
              </w:rPr>
              <w:fldChar w:fldCharType="begin"/>
            </w:r>
            <w:r w:rsidR="00542BA7">
              <w:rPr>
                <w:noProof/>
                <w:webHidden/>
              </w:rPr>
              <w:instrText xml:space="preserve"> PAGEREF _Toc138448117 \h </w:instrText>
            </w:r>
            <w:r w:rsidR="00542BA7">
              <w:rPr>
                <w:noProof/>
                <w:webHidden/>
              </w:rPr>
            </w:r>
            <w:r w:rsidR="00542BA7">
              <w:rPr>
                <w:noProof/>
                <w:webHidden/>
              </w:rPr>
              <w:fldChar w:fldCharType="separate"/>
            </w:r>
            <w:r w:rsidR="00542BA7">
              <w:rPr>
                <w:noProof/>
                <w:webHidden/>
              </w:rPr>
              <w:t>13</w:t>
            </w:r>
            <w:r w:rsidR="00542BA7">
              <w:rPr>
                <w:noProof/>
                <w:webHidden/>
              </w:rPr>
              <w:fldChar w:fldCharType="end"/>
            </w:r>
          </w:hyperlink>
        </w:p>
        <w:p w14:paraId="31F8B23A" w14:textId="68B33B80" w:rsidR="00542BA7" w:rsidRDefault="00000000">
          <w:pPr>
            <w:pStyle w:val="TOC2"/>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18" w:history="1">
            <w:r w:rsidR="00542BA7" w:rsidRPr="00530D6C">
              <w:rPr>
                <w:rStyle w:val="Hyperlink"/>
                <w:noProof/>
                <w:lang w:bidi="hi-IN"/>
              </w:rPr>
              <w:t>4.</w:t>
            </w:r>
            <w:r w:rsidR="00542BA7" w:rsidRPr="00530D6C">
              <w:rPr>
                <w:rStyle w:val="Hyperlink"/>
                <w:rFonts w:ascii="Arial" w:eastAsia="Arial" w:hAnsi="Arial" w:cs="Arial"/>
                <w:noProof/>
                <w:lang w:bidi="hi-IN"/>
              </w:rPr>
              <w:t xml:space="preserve"> </w:t>
            </w:r>
            <w:r w:rsidR="00542BA7" w:rsidRPr="00530D6C">
              <w:rPr>
                <w:rStyle w:val="Hyperlink"/>
                <w:noProof/>
                <w:lang w:bidi="hi-IN"/>
              </w:rPr>
              <w:t>RESULTS</w:t>
            </w:r>
            <w:r w:rsidR="00542BA7">
              <w:rPr>
                <w:noProof/>
                <w:webHidden/>
              </w:rPr>
              <w:tab/>
            </w:r>
            <w:r w:rsidR="00542BA7">
              <w:rPr>
                <w:noProof/>
                <w:webHidden/>
              </w:rPr>
              <w:fldChar w:fldCharType="begin"/>
            </w:r>
            <w:r w:rsidR="00542BA7">
              <w:rPr>
                <w:noProof/>
                <w:webHidden/>
              </w:rPr>
              <w:instrText xml:space="preserve"> PAGEREF _Toc138448118 \h </w:instrText>
            </w:r>
            <w:r w:rsidR="00542BA7">
              <w:rPr>
                <w:noProof/>
                <w:webHidden/>
              </w:rPr>
            </w:r>
            <w:r w:rsidR="00542BA7">
              <w:rPr>
                <w:noProof/>
                <w:webHidden/>
              </w:rPr>
              <w:fldChar w:fldCharType="separate"/>
            </w:r>
            <w:r w:rsidR="00542BA7">
              <w:rPr>
                <w:noProof/>
                <w:webHidden/>
              </w:rPr>
              <w:t>18</w:t>
            </w:r>
            <w:r w:rsidR="00542BA7">
              <w:rPr>
                <w:noProof/>
                <w:webHidden/>
              </w:rPr>
              <w:fldChar w:fldCharType="end"/>
            </w:r>
          </w:hyperlink>
        </w:p>
        <w:p w14:paraId="2CDA251A" w14:textId="1117A620"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19" w:history="1">
            <w:r w:rsidR="00542BA7" w:rsidRPr="00530D6C">
              <w:rPr>
                <w:rStyle w:val="Hyperlink"/>
                <w:noProof/>
                <w:lang w:bidi="hi-IN"/>
              </w:rPr>
              <w:t>4.1.</w:t>
            </w:r>
            <w:r w:rsidR="00542BA7" w:rsidRPr="00530D6C">
              <w:rPr>
                <w:rStyle w:val="Hyperlink"/>
                <w:rFonts w:ascii="Arial" w:eastAsia="Arial" w:hAnsi="Arial" w:cs="Arial"/>
                <w:noProof/>
                <w:lang w:bidi="hi-IN"/>
              </w:rPr>
              <w:t xml:space="preserve"> </w:t>
            </w:r>
            <w:r w:rsidR="00542BA7" w:rsidRPr="00530D6C">
              <w:rPr>
                <w:rStyle w:val="Hyperlink"/>
                <w:noProof/>
                <w:lang w:bidi="hi-IN"/>
              </w:rPr>
              <w:t>INTRODUCTION</w:t>
            </w:r>
            <w:r w:rsidR="00542BA7">
              <w:rPr>
                <w:noProof/>
                <w:webHidden/>
              </w:rPr>
              <w:tab/>
            </w:r>
            <w:r w:rsidR="00542BA7">
              <w:rPr>
                <w:noProof/>
                <w:webHidden/>
              </w:rPr>
              <w:fldChar w:fldCharType="begin"/>
            </w:r>
            <w:r w:rsidR="00542BA7">
              <w:rPr>
                <w:noProof/>
                <w:webHidden/>
              </w:rPr>
              <w:instrText xml:space="preserve"> PAGEREF _Toc138448119 \h </w:instrText>
            </w:r>
            <w:r w:rsidR="00542BA7">
              <w:rPr>
                <w:noProof/>
                <w:webHidden/>
              </w:rPr>
            </w:r>
            <w:r w:rsidR="00542BA7">
              <w:rPr>
                <w:noProof/>
                <w:webHidden/>
              </w:rPr>
              <w:fldChar w:fldCharType="separate"/>
            </w:r>
            <w:r w:rsidR="00542BA7">
              <w:rPr>
                <w:noProof/>
                <w:webHidden/>
              </w:rPr>
              <w:t>18</w:t>
            </w:r>
            <w:r w:rsidR="00542BA7">
              <w:rPr>
                <w:noProof/>
                <w:webHidden/>
              </w:rPr>
              <w:fldChar w:fldCharType="end"/>
            </w:r>
          </w:hyperlink>
        </w:p>
        <w:p w14:paraId="47CE1B9B" w14:textId="554261DB"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20" w:history="1">
            <w:r w:rsidR="00542BA7" w:rsidRPr="00530D6C">
              <w:rPr>
                <w:rStyle w:val="Hyperlink"/>
                <w:noProof/>
                <w:lang w:bidi="hi-IN"/>
              </w:rPr>
              <w:t>4.2.</w:t>
            </w:r>
            <w:r w:rsidR="00542BA7" w:rsidRPr="00530D6C">
              <w:rPr>
                <w:rStyle w:val="Hyperlink"/>
                <w:rFonts w:ascii="Arial" w:eastAsia="Arial" w:hAnsi="Arial" w:cs="Arial"/>
                <w:noProof/>
                <w:lang w:bidi="hi-IN"/>
              </w:rPr>
              <w:t xml:space="preserve"> </w:t>
            </w:r>
            <w:r w:rsidR="00542BA7" w:rsidRPr="00530D6C">
              <w:rPr>
                <w:rStyle w:val="Hyperlink"/>
                <w:noProof/>
                <w:lang w:bidi="hi-IN"/>
              </w:rPr>
              <w:t>DESCRIPTIVE STATISTICS</w:t>
            </w:r>
            <w:r w:rsidR="00542BA7">
              <w:rPr>
                <w:noProof/>
                <w:webHidden/>
              </w:rPr>
              <w:tab/>
            </w:r>
            <w:r w:rsidR="00542BA7">
              <w:rPr>
                <w:noProof/>
                <w:webHidden/>
              </w:rPr>
              <w:fldChar w:fldCharType="begin"/>
            </w:r>
            <w:r w:rsidR="00542BA7">
              <w:rPr>
                <w:noProof/>
                <w:webHidden/>
              </w:rPr>
              <w:instrText xml:space="preserve"> PAGEREF _Toc138448120 \h </w:instrText>
            </w:r>
            <w:r w:rsidR="00542BA7">
              <w:rPr>
                <w:noProof/>
                <w:webHidden/>
              </w:rPr>
            </w:r>
            <w:r w:rsidR="00542BA7">
              <w:rPr>
                <w:noProof/>
                <w:webHidden/>
              </w:rPr>
              <w:fldChar w:fldCharType="separate"/>
            </w:r>
            <w:r w:rsidR="00542BA7">
              <w:rPr>
                <w:noProof/>
                <w:webHidden/>
              </w:rPr>
              <w:t>18</w:t>
            </w:r>
            <w:r w:rsidR="00542BA7">
              <w:rPr>
                <w:noProof/>
                <w:webHidden/>
              </w:rPr>
              <w:fldChar w:fldCharType="end"/>
            </w:r>
          </w:hyperlink>
        </w:p>
        <w:p w14:paraId="4905D5E3" w14:textId="387B6DCD"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21" w:history="1">
            <w:r w:rsidR="00542BA7" w:rsidRPr="00530D6C">
              <w:rPr>
                <w:rStyle w:val="Hyperlink"/>
                <w:noProof/>
                <w:lang w:bidi="hi-IN"/>
              </w:rPr>
              <w:t>4.3.</w:t>
            </w:r>
            <w:r w:rsidR="00542BA7" w:rsidRPr="00530D6C">
              <w:rPr>
                <w:rStyle w:val="Hyperlink"/>
                <w:rFonts w:ascii="Arial" w:eastAsia="Arial" w:hAnsi="Arial" w:cs="Arial"/>
                <w:noProof/>
                <w:lang w:bidi="hi-IN"/>
              </w:rPr>
              <w:t xml:space="preserve"> </w:t>
            </w:r>
            <w:r w:rsidR="00542BA7" w:rsidRPr="00530D6C">
              <w:rPr>
                <w:rStyle w:val="Hyperlink"/>
                <w:noProof/>
                <w:lang w:bidi="hi-IN"/>
              </w:rPr>
              <w:t>PRELIMINARY STATISTICAL TESTS</w:t>
            </w:r>
            <w:r w:rsidR="00542BA7">
              <w:rPr>
                <w:noProof/>
                <w:webHidden/>
              </w:rPr>
              <w:tab/>
            </w:r>
            <w:r w:rsidR="00542BA7">
              <w:rPr>
                <w:noProof/>
                <w:webHidden/>
              </w:rPr>
              <w:fldChar w:fldCharType="begin"/>
            </w:r>
            <w:r w:rsidR="00542BA7">
              <w:rPr>
                <w:noProof/>
                <w:webHidden/>
              </w:rPr>
              <w:instrText xml:space="preserve"> PAGEREF _Toc138448121 \h </w:instrText>
            </w:r>
            <w:r w:rsidR="00542BA7">
              <w:rPr>
                <w:noProof/>
                <w:webHidden/>
              </w:rPr>
            </w:r>
            <w:r w:rsidR="00542BA7">
              <w:rPr>
                <w:noProof/>
                <w:webHidden/>
              </w:rPr>
              <w:fldChar w:fldCharType="separate"/>
            </w:r>
            <w:r w:rsidR="00542BA7">
              <w:rPr>
                <w:noProof/>
                <w:webHidden/>
              </w:rPr>
              <w:t>21</w:t>
            </w:r>
            <w:r w:rsidR="00542BA7">
              <w:rPr>
                <w:noProof/>
                <w:webHidden/>
              </w:rPr>
              <w:fldChar w:fldCharType="end"/>
            </w:r>
          </w:hyperlink>
        </w:p>
        <w:p w14:paraId="7FEB315D" w14:textId="25A27F5E"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22" w:history="1">
            <w:r w:rsidR="00542BA7" w:rsidRPr="00530D6C">
              <w:rPr>
                <w:rStyle w:val="Hyperlink"/>
                <w:noProof/>
                <w:lang w:bidi="hi-IN"/>
              </w:rPr>
              <w:t>4.4.</w:t>
            </w:r>
            <w:r w:rsidR="00542BA7" w:rsidRPr="00530D6C">
              <w:rPr>
                <w:rStyle w:val="Hyperlink"/>
                <w:rFonts w:ascii="Arial" w:eastAsia="Arial" w:hAnsi="Arial" w:cs="Arial"/>
                <w:noProof/>
                <w:lang w:bidi="hi-IN"/>
              </w:rPr>
              <w:t xml:space="preserve"> </w:t>
            </w:r>
            <w:r w:rsidR="00542BA7" w:rsidRPr="00530D6C">
              <w:rPr>
                <w:rStyle w:val="Hyperlink"/>
                <w:noProof/>
                <w:lang w:bidi="hi-IN"/>
              </w:rPr>
              <w:t>PANEL DATA REGRESSION</w:t>
            </w:r>
            <w:r w:rsidR="00542BA7">
              <w:rPr>
                <w:noProof/>
                <w:webHidden/>
              </w:rPr>
              <w:tab/>
            </w:r>
            <w:r w:rsidR="00542BA7">
              <w:rPr>
                <w:noProof/>
                <w:webHidden/>
              </w:rPr>
              <w:fldChar w:fldCharType="begin"/>
            </w:r>
            <w:r w:rsidR="00542BA7">
              <w:rPr>
                <w:noProof/>
                <w:webHidden/>
              </w:rPr>
              <w:instrText xml:space="preserve"> PAGEREF _Toc138448122 \h </w:instrText>
            </w:r>
            <w:r w:rsidR="00542BA7">
              <w:rPr>
                <w:noProof/>
                <w:webHidden/>
              </w:rPr>
            </w:r>
            <w:r w:rsidR="00542BA7">
              <w:rPr>
                <w:noProof/>
                <w:webHidden/>
              </w:rPr>
              <w:fldChar w:fldCharType="separate"/>
            </w:r>
            <w:r w:rsidR="00542BA7">
              <w:rPr>
                <w:noProof/>
                <w:webHidden/>
              </w:rPr>
              <w:t>22</w:t>
            </w:r>
            <w:r w:rsidR="00542BA7">
              <w:rPr>
                <w:noProof/>
                <w:webHidden/>
              </w:rPr>
              <w:fldChar w:fldCharType="end"/>
            </w:r>
          </w:hyperlink>
        </w:p>
        <w:p w14:paraId="7CD1BD0F" w14:textId="48AFC458"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23" w:history="1">
            <w:r w:rsidR="00542BA7" w:rsidRPr="00530D6C">
              <w:rPr>
                <w:rStyle w:val="Hyperlink"/>
                <w:noProof/>
                <w:lang w:bidi="hi-IN"/>
              </w:rPr>
              <w:t>4.5.</w:t>
            </w:r>
            <w:r w:rsidR="00542BA7" w:rsidRPr="00530D6C">
              <w:rPr>
                <w:rStyle w:val="Hyperlink"/>
                <w:rFonts w:ascii="Arial" w:eastAsia="Arial" w:hAnsi="Arial" w:cs="Arial"/>
                <w:noProof/>
                <w:lang w:bidi="hi-IN"/>
              </w:rPr>
              <w:t xml:space="preserve"> </w:t>
            </w:r>
            <w:r w:rsidR="00542BA7" w:rsidRPr="00530D6C">
              <w:rPr>
                <w:rStyle w:val="Hyperlink"/>
                <w:noProof/>
                <w:lang w:bidi="hi-IN"/>
              </w:rPr>
              <w:t>DISCUSSION</w:t>
            </w:r>
            <w:r w:rsidR="00542BA7">
              <w:rPr>
                <w:noProof/>
                <w:webHidden/>
              </w:rPr>
              <w:tab/>
            </w:r>
            <w:r w:rsidR="00542BA7">
              <w:rPr>
                <w:noProof/>
                <w:webHidden/>
              </w:rPr>
              <w:fldChar w:fldCharType="begin"/>
            </w:r>
            <w:r w:rsidR="00542BA7">
              <w:rPr>
                <w:noProof/>
                <w:webHidden/>
              </w:rPr>
              <w:instrText xml:space="preserve"> PAGEREF _Toc138448123 \h </w:instrText>
            </w:r>
            <w:r w:rsidR="00542BA7">
              <w:rPr>
                <w:noProof/>
                <w:webHidden/>
              </w:rPr>
            </w:r>
            <w:r w:rsidR="00542BA7">
              <w:rPr>
                <w:noProof/>
                <w:webHidden/>
              </w:rPr>
              <w:fldChar w:fldCharType="separate"/>
            </w:r>
            <w:r w:rsidR="00542BA7">
              <w:rPr>
                <w:noProof/>
                <w:webHidden/>
              </w:rPr>
              <w:t>24</w:t>
            </w:r>
            <w:r w:rsidR="00542BA7">
              <w:rPr>
                <w:noProof/>
                <w:webHidden/>
              </w:rPr>
              <w:fldChar w:fldCharType="end"/>
            </w:r>
          </w:hyperlink>
        </w:p>
        <w:p w14:paraId="154EE775" w14:textId="61932F80" w:rsidR="00542BA7" w:rsidRDefault="00000000">
          <w:pPr>
            <w:pStyle w:val="TOC2"/>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24" w:history="1">
            <w:r w:rsidR="00542BA7" w:rsidRPr="00530D6C">
              <w:rPr>
                <w:rStyle w:val="Hyperlink"/>
                <w:noProof/>
                <w:lang w:bidi="hi-IN"/>
              </w:rPr>
              <w:t>5.</w:t>
            </w:r>
            <w:r w:rsidR="00542BA7" w:rsidRPr="00530D6C">
              <w:rPr>
                <w:rStyle w:val="Hyperlink"/>
                <w:rFonts w:ascii="Arial" w:eastAsia="Arial" w:hAnsi="Arial" w:cs="Arial"/>
                <w:noProof/>
                <w:lang w:bidi="hi-IN"/>
              </w:rPr>
              <w:t xml:space="preserve"> </w:t>
            </w:r>
            <w:r w:rsidR="00542BA7" w:rsidRPr="00530D6C">
              <w:rPr>
                <w:rStyle w:val="Hyperlink"/>
                <w:noProof/>
                <w:lang w:bidi="hi-IN"/>
              </w:rPr>
              <w:t>CONCLUSION</w:t>
            </w:r>
            <w:r w:rsidR="00542BA7">
              <w:rPr>
                <w:noProof/>
                <w:webHidden/>
              </w:rPr>
              <w:tab/>
            </w:r>
            <w:r w:rsidR="00542BA7">
              <w:rPr>
                <w:noProof/>
                <w:webHidden/>
              </w:rPr>
              <w:fldChar w:fldCharType="begin"/>
            </w:r>
            <w:r w:rsidR="00542BA7">
              <w:rPr>
                <w:noProof/>
                <w:webHidden/>
              </w:rPr>
              <w:instrText xml:space="preserve"> PAGEREF _Toc138448124 \h </w:instrText>
            </w:r>
            <w:r w:rsidR="00542BA7">
              <w:rPr>
                <w:noProof/>
                <w:webHidden/>
              </w:rPr>
            </w:r>
            <w:r w:rsidR="00542BA7">
              <w:rPr>
                <w:noProof/>
                <w:webHidden/>
              </w:rPr>
              <w:fldChar w:fldCharType="separate"/>
            </w:r>
            <w:r w:rsidR="00542BA7">
              <w:rPr>
                <w:noProof/>
                <w:webHidden/>
              </w:rPr>
              <w:t>26</w:t>
            </w:r>
            <w:r w:rsidR="00542BA7">
              <w:rPr>
                <w:noProof/>
                <w:webHidden/>
              </w:rPr>
              <w:fldChar w:fldCharType="end"/>
            </w:r>
          </w:hyperlink>
        </w:p>
        <w:p w14:paraId="0F12227D" w14:textId="027AC29E"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25" w:history="1">
            <w:r w:rsidR="00542BA7" w:rsidRPr="00530D6C">
              <w:rPr>
                <w:rStyle w:val="Hyperlink"/>
                <w:noProof/>
                <w:lang w:bidi="hi-IN"/>
              </w:rPr>
              <w:t>5.1.</w:t>
            </w:r>
            <w:r w:rsidR="00542BA7" w:rsidRPr="00530D6C">
              <w:rPr>
                <w:rStyle w:val="Hyperlink"/>
                <w:rFonts w:ascii="Arial" w:eastAsia="Arial" w:hAnsi="Arial" w:cs="Arial"/>
                <w:noProof/>
                <w:lang w:bidi="hi-IN"/>
              </w:rPr>
              <w:t xml:space="preserve"> </w:t>
            </w:r>
            <w:r w:rsidR="00542BA7" w:rsidRPr="00530D6C">
              <w:rPr>
                <w:rStyle w:val="Hyperlink"/>
                <w:noProof/>
                <w:lang w:bidi="hi-IN"/>
              </w:rPr>
              <w:t>INTRODUCTION</w:t>
            </w:r>
            <w:r w:rsidR="00542BA7">
              <w:rPr>
                <w:noProof/>
                <w:webHidden/>
              </w:rPr>
              <w:tab/>
            </w:r>
            <w:r w:rsidR="00542BA7">
              <w:rPr>
                <w:noProof/>
                <w:webHidden/>
              </w:rPr>
              <w:fldChar w:fldCharType="begin"/>
            </w:r>
            <w:r w:rsidR="00542BA7">
              <w:rPr>
                <w:noProof/>
                <w:webHidden/>
              </w:rPr>
              <w:instrText xml:space="preserve"> PAGEREF _Toc138448125 \h </w:instrText>
            </w:r>
            <w:r w:rsidR="00542BA7">
              <w:rPr>
                <w:noProof/>
                <w:webHidden/>
              </w:rPr>
            </w:r>
            <w:r w:rsidR="00542BA7">
              <w:rPr>
                <w:noProof/>
                <w:webHidden/>
              </w:rPr>
              <w:fldChar w:fldCharType="separate"/>
            </w:r>
            <w:r w:rsidR="00542BA7">
              <w:rPr>
                <w:noProof/>
                <w:webHidden/>
              </w:rPr>
              <w:t>26</w:t>
            </w:r>
            <w:r w:rsidR="00542BA7">
              <w:rPr>
                <w:noProof/>
                <w:webHidden/>
              </w:rPr>
              <w:fldChar w:fldCharType="end"/>
            </w:r>
          </w:hyperlink>
        </w:p>
        <w:p w14:paraId="45C1C49D" w14:textId="03E6C1D2"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26" w:history="1">
            <w:r w:rsidR="00542BA7" w:rsidRPr="00530D6C">
              <w:rPr>
                <w:rStyle w:val="Hyperlink"/>
                <w:noProof/>
                <w:lang w:bidi="hi-IN"/>
              </w:rPr>
              <w:t>5.2.</w:t>
            </w:r>
            <w:r w:rsidR="00542BA7" w:rsidRPr="00530D6C">
              <w:rPr>
                <w:rStyle w:val="Hyperlink"/>
                <w:rFonts w:ascii="Arial" w:eastAsia="Arial" w:hAnsi="Arial" w:cs="Arial"/>
                <w:noProof/>
                <w:lang w:bidi="hi-IN"/>
              </w:rPr>
              <w:t xml:space="preserve"> </w:t>
            </w:r>
            <w:r w:rsidR="00542BA7" w:rsidRPr="00530D6C">
              <w:rPr>
                <w:rStyle w:val="Hyperlink"/>
                <w:noProof/>
                <w:lang w:bidi="hi-IN"/>
              </w:rPr>
              <w:t>SUMMARY OF THE RESULTS</w:t>
            </w:r>
            <w:r w:rsidR="00542BA7">
              <w:rPr>
                <w:noProof/>
                <w:webHidden/>
              </w:rPr>
              <w:tab/>
            </w:r>
            <w:r w:rsidR="00542BA7">
              <w:rPr>
                <w:noProof/>
                <w:webHidden/>
              </w:rPr>
              <w:fldChar w:fldCharType="begin"/>
            </w:r>
            <w:r w:rsidR="00542BA7">
              <w:rPr>
                <w:noProof/>
                <w:webHidden/>
              </w:rPr>
              <w:instrText xml:space="preserve"> PAGEREF _Toc138448126 \h </w:instrText>
            </w:r>
            <w:r w:rsidR="00542BA7">
              <w:rPr>
                <w:noProof/>
                <w:webHidden/>
              </w:rPr>
            </w:r>
            <w:r w:rsidR="00542BA7">
              <w:rPr>
                <w:noProof/>
                <w:webHidden/>
              </w:rPr>
              <w:fldChar w:fldCharType="separate"/>
            </w:r>
            <w:r w:rsidR="00542BA7">
              <w:rPr>
                <w:noProof/>
                <w:webHidden/>
              </w:rPr>
              <w:t>26</w:t>
            </w:r>
            <w:r w:rsidR="00542BA7">
              <w:rPr>
                <w:noProof/>
                <w:webHidden/>
              </w:rPr>
              <w:fldChar w:fldCharType="end"/>
            </w:r>
          </w:hyperlink>
        </w:p>
        <w:p w14:paraId="35A0A582" w14:textId="55F0AD43"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27" w:history="1">
            <w:r w:rsidR="00542BA7" w:rsidRPr="00530D6C">
              <w:rPr>
                <w:rStyle w:val="Hyperlink"/>
                <w:noProof/>
                <w:lang w:bidi="hi-IN"/>
              </w:rPr>
              <w:t>5.3.</w:t>
            </w:r>
            <w:r w:rsidR="00542BA7" w:rsidRPr="00530D6C">
              <w:rPr>
                <w:rStyle w:val="Hyperlink"/>
                <w:rFonts w:ascii="Arial" w:eastAsia="Arial" w:hAnsi="Arial" w:cs="Arial"/>
                <w:noProof/>
                <w:lang w:bidi="hi-IN"/>
              </w:rPr>
              <w:t xml:space="preserve"> </w:t>
            </w:r>
            <w:r w:rsidR="00542BA7" w:rsidRPr="00530D6C">
              <w:rPr>
                <w:rStyle w:val="Hyperlink"/>
                <w:noProof/>
                <w:lang w:bidi="hi-IN"/>
              </w:rPr>
              <w:t>LIMITATIONS OF THE STUDY</w:t>
            </w:r>
            <w:r w:rsidR="00542BA7">
              <w:rPr>
                <w:noProof/>
                <w:webHidden/>
              </w:rPr>
              <w:tab/>
            </w:r>
            <w:r w:rsidR="00542BA7">
              <w:rPr>
                <w:noProof/>
                <w:webHidden/>
              </w:rPr>
              <w:fldChar w:fldCharType="begin"/>
            </w:r>
            <w:r w:rsidR="00542BA7">
              <w:rPr>
                <w:noProof/>
                <w:webHidden/>
              </w:rPr>
              <w:instrText xml:space="preserve"> PAGEREF _Toc138448127 \h </w:instrText>
            </w:r>
            <w:r w:rsidR="00542BA7">
              <w:rPr>
                <w:noProof/>
                <w:webHidden/>
              </w:rPr>
            </w:r>
            <w:r w:rsidR="00542BA7">
              <w:rPr>
                <w:noProof/>
                <w:webHidden/>
              </w:rPr>
              <w:fldChar w:fldCharType="separate"/>
            </w:r>
            <w:r w:rsidR="00542BA7">
              <w:rPr>
                <w:noProof/>
                <w:webHidden/>
              </w:rPr>
              <w:t>26</w:t>
            </w:r>
            <w:r w:rsidR="00542BA7">
              <w:rPr>
                <w:noProof/>
                <w:webHidden/>
              </w:rPr>
              <w:fldChar w:fldCharType="end"/>
            </w:r>
          </w:hyperlink>
        </w:p>
        <w:p w14:paraId="6EFA4A55" w14:textId="63E29554" w:rsidR="00542BA7" w:rsidRDefault="00000000">
          <w:pPr>
            <w:pStyle w:val="TOC3"/>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28" w:history="1">
            <w:r w:rsidR="00542BA7" w:rsidRPr="00530D6C">
              <w:rPr>
                <w:rStyle w:val="Hyperlink"/>
                <w:noProof/>
                <w:lang w:bidi="hi-IN"/>
              </w:rPr>
              <w:t>5.4.</w:t>
            </w:r>
            <w:r w:rsidR="00542BA7" w:rsidRPr="00530D6C">
              <w:rPr>
                <w:rStyle w:val="Hyperlink"/>
                <w:rFonts w:ascii="Arial" w:eastAsia="Arial" w:hAnsi="Arial" w:cs="Arial"/>
                <w:noProof/>
                <w:lang w:bidi="hi-IN"/>
              </w:rPr>
              <w:t xml:space="preserve"> </w:t>
            </w:r>
            <w:r w:rsidR="00542BA7" w:rsidRPr="00530D6C">
              <w:rPr>
                <w:rStyle w:val="Hyperlink"/>
                <w:noProof/>
                <w:lang w:bidi="hi-IN"/>
              </w:rPr>
              <w:t>RECOMMENDATIONS FOR FURTHER RESEARCH</w:t>
            </w:r>
            <w:r w:rsidR="00542BA7">
              <w:rPr>
                <w:noProof/>
                <w:webHidden/>
              </w:rPr>
              <w:tab/>
            </w:r>
            <w:r w:rsidR="00542BA7">
              <w:rPr>
                <w:noProof/>
                <w:webHidden/>
              </w:rPr>
              <w:fldChar w:fldCharType="begin"/>
            </w:r>
            <w:r w:rsidR="00542BA7">
              <w:rPr>
                <w:noProof/>
                <w:webHidden/>
              </w:rPr>
              <w:instrText xml:space="preserve"> PAGEREF _Toc138448128 \h </w:instrText>
            </w:r>
            <w:r w:rsidR="00542BA7">
              <w:rPr>
                <w:noProof/>
                <w:webHidden/>
              </w:rPr>
            </w:r>
            <w:r w:rsidR="00542BA7">
              <w:rPr>
                <w:noProof/>
                <w:webHidden/>
              </w:rPr>
              <w:fldChar w:fldCharType="separate"/>
            </w:r>
            <w:r w:rsidR="00542BA7">
              <w:rPr>
                <w:noProof/>
                <w:webHidden/>
              </w:rPr>
              <w:t>27</w:t>
            </w:r>
            <w:r w:rsidR="00542BA7">
              <w:rPr>
                <w:noProof/>
                <w:webHidden/>
              </w:rPr>
              <w:fldChar w:fldCharType="end"/>
            </w:r>
          </w:hyperlink>
        </w:p>
        <w:p w14:paraId="1302A47B" w14:textId="57B7FE01" w:rsidR="00542BA7" w:rsidRDefault="00000000">
          <w:pPr>
            <w:pStyle w:val="TOC2"/>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29" w:history="1">
            <w:r w:rsidR="00542BA7" w:rsidRPr="00530D6C">
              <w:rPr>
                <w:rStyle w:val="Hyperlink"/>
                <w:noProof/>
                <w:lang w:bidi="hi-IN"/>
              </w:rPr>
              <w:t>6.</w:t>
            </w:r>
            <w:r w:rsidR="00542BA7" w:rsidRPr="00530D6C">
              <w:rPr>
                <w:rStyle w:val="Hyperlink"/>
                <w:rFonts w:ascii="Arial" w:eastAsia="Arial" w:hAnsi="Arial" w:cs="Arial"/>
                <w:noProof/>
                <w:lang w:bidi="hi-IN"/>
              </w:rPr>
              <w:t xml:space="preserve"> </w:t>
            </w:r>
            <w:r w:rsidR="00542BA7" w:rsidRPr="00530D6C">
              <w:rPr>
                <w:rStyle w:val="Hyperlink"/>
                <w:noProof/>
                <w:lang w:bidi="hi-IN"/>
              </w:rPr>
              <w:t>REFERENCES</w:t>
            </w:r>
            <w:r w:rsidR="00542BA7">
              <w:rPr>
                <w:noProof/>
                <w:webHidden/>
              </w:rPr>
              <w:tab/>
            </w:r>
            <w:r w:rsidR="00542BA7">
              <w:rPr>
                <w:noProof/>
                <w:webHidden/>
              </w:rPr>
              <w:fldChar w:fldCharType="begin"/>
            </w:r>
            <w:r w:rsidR="00542BA7">
              <w:rPr>
                <w:noProof/>
                <w:webHidden/>
              </w:rPr>
              <w:instrText xml:space="preserve"> PAGEREF _Toc138448129 \h </w:instrText>
            </w:r>
            <w:r w:rsidR="00542BA7">
              <w:rPr>
                <w:noProof/>
                <w:webHidden/>
              </w:rPr>
            </w:r>
            <w:r w:rsidR="00542BA7">
              <w:rPr>
                <w:noProof/>
                <w:webHidden/>
              </w:rPr>
              <w:fldChar w:fldCharType="separate"/>
            </w:r>
            <w:r w:rsidR="00542BA7">
              <w:rPr>
                <w:noProof/>
                <w:webHidden/>
              </w:rPr>
              <w:t>28</w:t>
            </w:r>
            <w:r w:rsidR="00542BA7">
              <w:rPr>
                <w:noProof/>
                <w:webHidden/>
              </w:rPr>
              <w:fldChar w:fldCharType="end"/>
            </w:r>
          </w:hyperlink>
        </w:p>
        <w:p w14:paraId="675F5CDB" w14:textId="676CB110" w:rsidR="00542BA7" w:rsidRDefault="00542BA7">
          <w:r>
            <w:rPr>
              <w:b/>
              <w:bCs/>
              <w:noProof/>
            </w:rPr>
            <w:fldChar w:fldCharType="end"/>
          </w:r>
        </w:p>
      </w:sdtContent>
    </w:sdt>
    <w:p w14:paraId="1165CCA6" w14:textId="075AE880" w:rsidR="009B68EA" w:rsidRDefault="009B68EA">
      <w:pPr>
        <w:spacing w:after="108" w:line="334" w:lineRule="auto"/>
        <w:ind w:left="-5" w:right="85"/>
      </w:pPr>
    </w:p>
    <w:p w14:paraId="0968AAC4" w14:textId="5A8CFACB" w:rsidR="009B68EA" w:rsidRDefault="009B1B9B">
      <w:pPr>
        <w:pStyle w:val="Heading2"/>
        <w:ind w:left="-5"/>
      </w:pPr>
      <w:bookmarkStart w:id="0" w:name="_Toc138448101"/>
      <w:r>
        <w:rPr>
          <w:sz w:val="26"/>
        </w:rPr>
        <w:t xml:space="preserve">List of </w:t>
      </w:r>
      <w:r w:rsidR="00542BA7">
        <w:rPr>
          <w:sz w:val="26"/>
          <w:lang w:val="en-US"/>
        </w:rPr>
        <w:t>Tables</w:t>
      </w:r>
      <w:bookmarkEnd w:id="0"/>
      <w:r>
        <w:rPr>
          <w:sz w:val="26"/>
        </w:rPr>
        <w:t xml:space="preserve"> </w:t>
      </w:r>
    </w:p>
    <w:p w14:paraId="59F2F441" w14:textId="5A93141D" w:rsidR="00542BA7" w:rsidRDefault="00542BA7">
      <w:pPr>
        <w:pStyle w:val="TableofFigures"/>
        <w:tabs>
          <w:tab w:val="right" w:leader="dot" w:pos="9443"/>
        </w:tabs>
        <w:rPr>
          <w:noProof/>
        </w:rPr>
      </w:pPr>
      <w:r>
        <w:fldChar w:fldCharType="begin"/>
      </w:r>
      <w:r>
        <w:instrText xml:space="preserve"> TOC \h \z \c "Table" </w:instrText>
      </w:r>
      <w:r>
        <w:fldChar w:fldCharType="separate"/>
      </w:r>
      <w:hyperlink w:anchor="_Toc138448003" w:history="1">
        <w:r w:rsidRPr="006C3579">
          <w:rPr>
            <w:rStyle w:val="Hyperlink"/>
            <w:noProof/>
          </w:rPr>
          <w:t>Table 1:Descriptive Statistic of the Study Variables</w:t>
        </w:r>
        <w:r>
          <w:rPr>
            <w:noProof/>
            <w:webHidden/>
          </w:rPr>
          <w:tab/>
        </w:r>
        <w:r>
          <w:rPr>
            <w:noProof/>
            <w:webHidden/>
          </w:rPr>
          <w:fldChar w:fldCharType="begin"/>
        </w:r>
        <w:r>
          <w:rPr>
            <w:noProof/>
            <w:webHidden/>
          </w:rPr>
          <w:instrText xml:space="preserve"> PAGEREF _Toc138448003 \h </w:instrText>
        </w:r>
        <w:r>
          <w:rPr>
            <w:noProof/>
            <w:webHidden/>
          </w:rPr>
        </w:r>
        <w:r>
          <w:rPr>
            <w:noProof/>
            <w:webHidden/>
          </w:rPr>
          <w:fldChar w:fldCharType="separate"/>
        </w:r>
        <w:r>
          <w:rPr>
            <w:noProof/>
            <w:webHidden/>
          </w:rPr>
          <w:t>19</w:t>
        </w:r>
        <w:r>
          <w:rPr>
            <w:noProof/>
            <w:webHidden/>
          </w:rPr>
          <w:fldChar w:fldCharType="end"/>
        </w:r>
      </w:hyperlink>
    </w:p>
    <w:p w14:paraId="58915693" w14:textId="15DF3A2D" w:rsidR="00542BA7" w:rsidRDefault="00000000">
      <w:pPr>
        <w:pStyle w:val="TableofFigures"/>
        <w:tabs>
          <w:tab w:val="right" w:leader="dot" w:pos="9443"/>
        </w:tabs>
        <w:rPr>
          <w:noProof/>
        </w:rPr>
      </w:pPr>
      <w:hyperlink w:anchor="_Toc138448004" w:history="1">
        <w:r w:rsidR="00542BA7" w:rsidRPr="006C3579">
          <w:rPr>
            <w:rStyle w:val="Hyperlink"/>
            <w:noProof/>
          </w:rPr>
          <w:t>Table 2:Cointegration test results</w:t>
        </w:r>
        <w:r w:rsidR="00542BA7">
          <w:rPr>
            <w:noProof/>
            <w:webHidden/>
          </w:rPr>
          <w:tab/>
        </w:r>
        <w:r w:rsidR="00542BA7">
          <w:rPr>
            <w:noProof/>
            <w:webHidden/>
          </w:rPr>
          <w:fldChar w:fldCharType="begin"/>
        </w:r>
        <w:r w:rsidR="00542BA7">
          <w:rPr>
            <w:noProof/>
            <w:webHidden/>
          </w:rPr>
          <w:instrText xml:space="preserve"> PAGEREF _Toc138448004 \h </w:instrText>
        </w:r>
        <w:r w:rsidR="00542BA7">
          <w:rPr>
            <w:noProof/>
            <w:webHidden/>
          </w:rPr>
        </w:r>
        <w:r w:rsidR="00542BA7">
          <w:rPr>
            <w:noProof/>
            <w:webHidden/>
          </w:rPr>
          <w:fldChar w:fldCharType="separate"/>
        </w:r>
        <w:r w:rsidR="00542BA7">
          <w:rPr>
            <w:noProof/>
            <w:webHidden/>
          </w:rPr>
          <w:t>21</w:t>
        </w:r>
        <w:r w:rsidR="00542BA7">
          <w:rPr>
            <w:noProof/>
            <w:webHidden/>
          </w:rPr>
          <w:fldChar w:fldCharType="end"/>
        </w:r>
      </w:hyperlink>
    </w:p>
    <w:p w14:paraId="5AB333FF" w14:textId="46BA031A" w:rsidR="00542BA7" w:rsidRDefault="00000000">
      <w:pPr>
        <w:pStyle w:val="TableofFigures"/>
        <w:tabs>
          <w:tab w:val="right" w:leader="dot" w:pos="9443"/>
        </w:tabs>
        <w:rPr>
          <w:noProof/>
        </w:rPr>
      </w:pPr>
      <w:hyperlink w:anchor="_Toc138448005" w:history="1">
        <w:r w:rsidR="00542BA7" w:rsidRPr="006C3579">
          <w:rPr>
            <w:rStyle w:val="Hyperlink"/>
            <w:noProof/>
          </w:rPr>
          <w:t>Table 3:Panel Unit Root Test Results</w:t>
        </w:r>
        <w:r w:rsidR="00542BA7">
          <w:rPr>
            <w:noProof/>
            <w:webHidden/>
          </w:rPr>
          <w:tab/>
        </w:r>
        <w:r w:rsidR="00542BA7">
          <w:rPr>
            <w:noProof/>
            <w:webHidden/>
          </w:rPr>
          <w:fldChar w:fldCharType="begin"/>
        </w:r>
        <w:r w:rsidR="00542BA7">
          <w:rPr>
            <w:noProof/>
            <w:webHidden/>
          </w:rPr>
          <w:instrText xml:space="preserve"> PAGEREF _Toc138448005 \h </w:instrText>
        </w:r>
        <w:r w:rsidR="00542BA7">
          <w:rPr>
            <w:noProof/>
            <w:webHidden/>
          </w:rPr>
        </w:r>
        <w:r w:rsidR="00542BA7">
          <w:rPr>
            <w:noProof/>
            <w:webHidden/>
          </w:rPr>
          <w:fldChar w:fldCharType="separate"/>
        </w:r>
        <w:r w:rsidR="00542BA7">
          <w:rPr>
            <w:noProof/>
            <w:webHidden/>
          </w:rPr>
          <w:t>21</w:t>
        </w:r>
        <w:r w:rsidR="00542BA7">
          <w:rPr>
            <w:noProof/>
            <w:webHidden/>
          </w:rPr>
          <w:fldChar w:fldCharType="end"/>
        </w:r>
      </w:hyperlink>
    </w:p>
    <w:p w14:paraId="27DE9B60" w14:textId="525244F5" w:rsidR="00542BA7" w:rsidRDefault="00000000">
      <w:pPr>
        <w:pStyle w:val="TableofFigures"/>
        <w:tabs>
          <w:tab w:val="right" w:leader="dot" w:pos="9443"/>
        </w:tabs>
        <w:rPr>
          <w:noProof/>
        </w:rPr>
      </w:pPr>
      <w:hyperlink w:anchor="_Toc138448006" w:history="1">
        <w:r w:rsidR="00542BA7" w:rsidRPr="006C3579">
          <w:rPr>
            <w:rStyle w:val="Hyperlink"/>
            <w:noProof/>
          </w:rPr>
          <w:t>Table 4: Dynamic Panel Regression results</w:t>
        </w:r>
        <w:r w:rsidR="00542BA7">
          <w:rPr>
            <w:noProof/>
            <w:webHidden/>
          </w:rPr>
          <w:tab/>
        </w:r>
        <w:r w:rsidR="00542BA7">
          <w:rPr>
            <w:noProof/>
            <w:webHidden/>
          </w:rPr>
          <w:fldChar w:fldCharType="begin"/>
        </w:r>
        <w:r w:rsidR="00542BA7">
          <w:rPr>
            <w:noProof/>
            <w:webHidden/>
          </w:rPr>
          <w:instrText xml:space="preserve"> PAGEREF _Toc138448006 \h </w:instrText>
        </w:r>
        <w:r w:rsidR="00542BA7">
          <w:rPr>
            <w:noProof/>
            <w:webHidden/>
          </w:rPr>
        </w:r>
        <w:r w:rsidR="00542BA7">
          <w:rPr>
            <w:noProof/>
            <w:webHidden/>
          </w:rPr>
          <w:fldChar w:fldCharType="separate"/>
        </w:r>
        <w:r w:rsidR="00542BA7">
          <w:rPr>
            <w:noProof/>
            <w:webHidden/>
          </w:rPr>
          <w:t>22</w:t>
        </w:r>
        <w:r w:rsidR="00542BA7">
          <w:rPr>
            <w:noProof/>
            <w:webHidden/>
          </w:rPr>
          <w:fldChar w:fldCharType="end"/>
        </w:r>
      </w:hyperlink>
    </w:p>
    <w:p w14:paraId="71DCE95A" w14:textId="21FB6E45" w:rsidR="009B68EA" w:rsidRDefault="00542BA7">
      <w:pPr>
        <w:spacing w:after="195"/>
        <w:ind w:left="0" w:right="0" w:firstLine="0"/>
        <w:jc w:val="left"/>
      </w:pPr>
      <w:r>
        <w:fldChar w:fldCharType="end"/>
      </w:r>
    </w:p>
    <w:p w14:paraId="42F11981" w14:textId="37717BDA" w:rsidR="009B68EA" w:rsidRDefault="009B1B9B">
      <w:pPr>
        <w:pStyle w:val="Heading2"/>
        <w:ind w:left="-5"/>
      </w:pPr>
      <w:bookmarkStart w:id="1" w:name="_Toc138448102"/>
      <w:r>
        <w:rPr>
          <w:sz w:val="26"/>
        </w:rPr>
        <w:t xml:space="preserve">List of </w:t>
      </w:r>
      <w:r w:rsidR="00542BA7">
        <w:rPr>
          <w:sz w:val="26"/>
          <w:lang w:val="en-US"/>
        </w:rPr>
        <w:t>Figures</w:t>
      </w:r>
      <w:bookmarkEnd w:id="1"/>
      <w:r>
        <w:rPr>
          <w:sz w:val="26"/>
        </w:rPr>
        <w:t xml:space="preserve"> </w:t>
      </w:r>
    </w:p>
    <w:p w14:paraId="447FB0F9" w14:textId="1F79CCD1" w:rsidR="00542BA7" w:rsidRDefault="00542BA7">
      <w:pPr>
        <w:pStyle w:val="TableofFigures"/>
        <w:tabs>
          <w:tab w:val="right" w:leader="dot" w:pos="9443"/>
        </w:tabs>
        <w:rPr>
          <w:rFonts w:asciiTheme="minorHAnsi" w:eastAsiaTheme="minorEastAsia" w:hAnsiTheme="minorHAnsi" w:cstheme="minorBidi"/>
          <w:noProof/>
          <w:color w:val="auto"/>
          <w:kern w:val="2"/>
          <w:sz w:val="22"/>
          <w:szCs w:val="22"/>
          <w:lang w:bidi="ar-SA"/>
          <w14:ligatures w14:val="standardContextual"/>
        </w:rPr>
      </w:pPr>
      <w:r>
        <w:fldChar w:fldCharType="begin"/>
      </w:r>
      <w:r>
        <w:instrText xml:space="preserve"> TOC \h \z \c "Figure" </w:instrText>
      </w:r>
      <w:r>
        <w:fldChar w:fldCharType="separate"/>
      </w:r>
      <w:hyperlink w:anchor="_Toc138448130" w:history="1">
        <w:r w:rsidRPr="00212DE0">
          <w:rPr>
            <w:rStyle w:val="Hyperlink"/>
            <w:noProof/>
          </w:rPr>
          <w:t>Figure 1:MES for each of the banks in the study's sample</w:t>
        </w:r>
        <w:r>
          <w:rPr>
            <w:noProof/>
            <w:webHidden/>
          </w:rPr>
          <w:tab/>
        </w:r>
        <w:r>
          <w:rPr>
            <w:noProof/>
            <w:webHidden/>
          </w:rPr>
          <w:fldChar w:fldCharType="begin"/>
        </w:r>
        <w:r>
          <w:rPr>
            <w:noProof/>
            <w:webHidden/>
          </w:rPr>
          <w:instrText xml:space="preserve"> PAGEREF _Toc138448130 \h </w:instrText>
        </w:r>
        <w:r>
          <w:rPr>
            <w:noProof/>
            <w:webHidden/>
          </w:rPr>
        </w:r>
        <w:r>
          <w:rPr>
            <w:noProof/>
            <w:webHidden/>
          </w:rPr>
          <w:fldChar w:fldCharType="separate"/>
        </w:r>
        <w:r>
          <w:rPr>
            <w:noProof/>
            <w:webHidden/>
          </w:rPr>
          <w:t>18</w:t>
        </w:r>
        <w:r>
          <w:rPr>
            <w:noProof/>
            <w:webHidden/>
          </w:rPr>
          <w:fldChar w:fldCharType="end"/>
        </w:r>
      </w:hyperlink>
    </w:p>
    <w:p w14:paraId="71B52BAD" w14:textId="3DE68732" w:rsidR="00542BA7" w:rsidRDefault="00000000">
      <w:pPr>
        <w:pStyle w:val="TableofFigures"/>
        <w:tabs>
          <w:tab w:val="right" w:leader="dot" w:pos="9443"/>
        </w:tabs>
        <w:rPr>
          <w:rFonts w:asciiTheme="minorHAnsi" w:eastAsiaTheme="minorEastAsia" w:hAnsiTheme="minorHAnsi" w:cstheme="minorBidi"/>
          <w:noProof/>
          <w:color w:val="auto"/>
          <w:kern w:val="2"/>
          <w:sz w:val="22"/>
          <w:szCs w:val="22"/>
          <w:lang w:bidi="ar-SA"/>
          <w14:ligatures w14:val="standardContextual"/>
        </w:rPr>
      </w:pPr>
      <w:hyperlink w:anchor="_Toc138448131" w:history="1">
        <w:r w:rsidR="00542BA7" w:rsidRPr="00212DE0">
          <w:rPr>
            <w:rStyle w:val="Hyperlink"/>
            <w:noProof/>
          </w:rPr>
          <w:t>Figure 2:CoVaR for each of the sampled banks.</w:t>
        </w:r>
        <w:r w:rsidR="00542BA7">
          <w:rPr>
            <w:noProof/>
            <w:webHidden/>
          </w:rPr>
          <w:tab/>
        </w:r>
        <w:r w:rsidR="00542BA7">
          <w:rPr>
            <w:noProof/>
            <w:webHidden/>
          </w:rPr>
          <w:fldChar w:fldCharType="begin"/>
        </w:r>
        <w:r w:rsidR="00542BA7">
          <w:rPr>
            <w:noProof/>
            <w:webHidden/>
          </w:rPr>
          <w:instrText xml:space="preserve"> PAGEREF _Toc138448131 \h </w:instrText>
        </w:r>
        <w:r w:rsidR="00542BA7">
          <w:rPr>
            <w:noProof/>
            <w:webHidden/>
          </w:rPr>
        </w:r>
        <w:r w:rsidR="00542BA7">
          <w:rPr>
            <w:noProof/>
            <w:webHidden/>
          </w:rPr>
          <w:fldChar w:fldCharType="separate"/>
        </w:r>
        <w:r w:rsidR="00542BA7">
          <w:rPr>
            <w:noProof/>
            <w:webHidden/>
          </w:rPr>
          <w:t>20</w:t>
        </w:r>
        <w:r w:rsidR="00542BA7">
          <w:rPr>
            <w:noProof/>
            <w:webHidden/>
          </w:rPr>
          <w:fldChar w:fldCharType="end"/>
        </w:r>
      </w:hyperlink>
    </w:p>
    <w:p w14:paraId="35B7B0A7" w14:textId="4E598947" w:rsidR="009B68EA" w:rsidRDefault="00542BA7">
      <w:pPr>
        <w:spacing w:after="327"/>
        <w:ind w:left="0" w:right="0" w:firstLine="0"/>
        <w:jc w:val="left"/>
      </w:pPr>
      <w:r>
        <w:fldChar w:fldCharType="end"/>
      </w:r>
    </w:p>
    <w:p w14:paraId="48031D70" w14:textId="77777777" w:rsidR="00542BA7" w:rsidRDefault="009B1B9B">
      <w:pPr>
        <w:spacing w:after="0"/>
        <w:ind w:left="0" w:right="0" w:firstLine="0"/>
        <w:jc w:val="left"/>
        <w:sectPr w:rsidR="00542BA7" w:rsidSect="00542BA7">
          <w:footerReference w:type="default" r:id="rId8"/>
          <w:pgSz w:w="12240" w:h="15840"/>
          <w:pgMar w:top="1451" w:right="1346" w:bottom="1439" w:left="1441" w:header="720" w:footer="720" w:gutter="0"/>
          <w:pgNumType w:fmt="lowerRoman" w:start="1"/>
          <w:cols w:space="720"/>
        </w:sectPr>
      </w:pPr>
      <w:r>
        <w:t xml:space="preserve"> </w:t>
      </w:r>
      <w:r>
        <w:tab/>
      </w:r>
      <w:r>
        <w:rPr>
          <w:b/>
          <w:sz w:val="36"/>
        </w:rPr>
        <w:t xml:space="preserve"> </w:t>
      </w:r>
      <w:r>
        <w:br w:type="page"/>
      </w:r>
    </w:p>
    <w:p w14:paraId="6300D334" w14:textId="77777777" w:rsidR="009B68EA" w:rsidRDefault="009B68EA">
      <w:pPr>
        <w:spacing w:after="0"/>
        <w:ind w:left="0" w:right="0" w:firstLine="0"/>
        <w:jc w:val="left"/>
      </w:pPr>
    </w:p>
    <w:p w14:paraId="31B3583E" w14:textId="77777777" w:rsidR="009B68EA" w:rsidRDefault="009B1B9B">
      <w:pPr>
        <w:pStyle w:val="Heading2"/>
        <w:ind w:left="-5"/>
      </w:pPr>
      <w:bookmarkStart w:id="2" w:name="_Toc138448103"/>
      <w:r>
        <w:t>CHAPTER ONE: INTRODUCTION</w:t>
      </w:r>
      <w:bookmarkEnd w:id="2"/>
      <w:r>
        <w:t xml:space="preserve"> </w:t>
      </w:r>
    </w:p>
    <w:p w14:paraId="484D2102" w14:textId="77777777" w:rsidR="009B68EA" w:rsidRDefault="009B1B9B">
      <w:pPr>
        <w:pStyle w:val="Heading3"/>
        <w:spacing w:after="138"/>
        <w:ind w:left="-5" w:right="0"/>
      </w:pPr>
      <w:bookmarkStart w:id="3" w:name="_Toc138448104"/>
      <w:r>
        <w:t>1.1.</w:t>
      </w:r>
      <w:r>
        <w:rPr>
          <w:rFonts w:ascii="Arial" w:eastAsia="Arial" w:hAnsi="Arial" w:cs="Arial"/>
        </w:rPr>
        <w:t xml:space="preserve"> </w:t>
      </w:r>
      <w:r>
        <w:t>BACKGROUND TO THE STUDY</w:t>
      </w:r>
      <w:bookmarkEnd w:id="3"/>
      <w:r>
        <w:t xml:space="preserve"> </w:t>
      </w:r>
    </w:p>
    <w:p w14:paraId="51F82570" w14:textId="77777777" w:rsidR="009B68EA" w:rsidRDefault="009B1B9B">
      <w:pPr>
        <w:spacing w:line="357" w:lineRule="auto"/>
        <w:ind w:left="-5" w:right="85"/>
      </w:pPr>
      <w:r>
        <w:t xml:space="preserve">Elliott (2011) maintains that the Global Financial Crisis (GFC) began to ‘brew’ on 9th August 2007 when BNP Paribus - a French International Bank - stopped the activities of three hedge funds that were focused on US mortgage debt and came into full effect on 15th September 2008 when another international bank, Lehman Brothers, filed for bankruptcy! According to the author, Lehman Brothers had invested heavily in Collateralized Debt Obligations (CDOs) which were made up of sub-prime mortgage loans (over USD 100 billion). The author claims that several other banks, most notably American International Group (AIG), were at risk of facing the same fate, but the US government bailed them out when President Bush signed into law a USD 700 billion Treasury fund. A lot of finger-pointing ensued due to the magnitude and scope of the negative effects that ensued. The GFC brought to light a lot of failures in different parts of the economic and financial system that allowed the crisis to happen. Particularly, there was a call for more reform and regulation of banks. Several actions were taken to circumvent a repeat of the crisis such as the Dodd-Frank Act which covers many areas of the financial industry to ensure that consumers of financial services do not lose their funds. </w:t>
      </w:r>
    </w:p>
    <w:p w14:paraId="37C1201E" w14:textId="77777777" w:rsidR="009B68EA" w:rsidRDefault="009B1B9B">
      <w:pPr>
        <w:spacing w:line="358" w:lineRule="auto"/>
        <w:ind w:left="-5" w:right="85"/>
      </w:pPr>
      <w:r>
        <w:t xml:space="preserve">Dong and Oberson (2021) argue that the recognition and measurement of credit losses was the main accounting failure that exacerbated the GFC since practices at that time provided untimely information regarding the credit risk. According to Novotny-Farkas (2016), in the wake of the Global Financial Crisis (GFC), several different interest groups called upon standard-setting bodies in accounting to improve the standards and practices of making provisions for loan losses. These groups include investors and regulatory and prudential bodies such as the Financial Crisis Advisory Group (2009), Financial Stability Forum (2009), and Basel Committee of Banking </w:t>
      </w:r>
    </w:p>
    <w:p w14:paraId="06F9DDFE" w14:textId="77777777" w:rsidR="009B68EA" w:rsidRDefault="009B1B9B">
      <w:pPr>
        <w:spacing w:line="357" w:lineRule="auto"/>
        <w:ind w:left="-5" w:right="85"/>
      </w:pPr>
      <w:r>
        <w:t xml:space="preserve">Services (BCBS, 2009). The main criticism was against the International Accounting Standard (IAS) 39 (Financial Instruments: Recognition and Measurement). According to Novotny-Farkas (2016), IAS 39 used Incurred Loss Models to measure and recognize credit losses. Since the formal definition of a credit loss regarding loans, also called non-performing loans (NPLs), is defined as a loan that has been in default for not less than 90 days, Incurred Loss Models were "too little, too late" at recognizing the credit losses that accompanied CDOs. That is, according to Cohen and Edwards (2017), there was a delay in the loan-loss recognition (when the probability of default was close to 100%) of banks which exacerbated the negative effects of the liquidity crisis. </w:t>
      </w:r>
    </w:p>
    <w:p w14:paraId="3AC60A81" w14:textId="77777777" w:rsidR="009B68EA" w:rsidRDefault="009B1B9B">
      <w:pPr>
        <w:spacing w:line="357" w:lineRule="auto"/>
        <w:ind w:left="-5" w:right="85"/>
      </w:pPr>
      <w:r>
        <w:lastRenderedPageBreak/>
        <w:t xml:space="preserve">According to the author, this is because incurred loss models record credit losses that have been incurred as of the balance sheet date. Furthermore, incurred loss models created a bias whereby lending increased during an economic upswing but dried up in bad times - the so-called procyclicality of lending. Put another way, banks tended to lend a lot more than their provisions allowed for during economic upswings and were saved from this risk by good economic conditions.  </w:t>
      </w:r>
    </w:p>
    <w:p w14:paraId="5A8DB74D" w14:textId="77777777" w:rsidR="009B68EA" w:rsidRDefault="009B1B9B">
      <w:pPr>
        <w:spacing w:line="357" w:lineRule="auto"/>
        <w:ind w:left="-5" w:right="85"/>
      </w:pPr>
      <w:r>
        <w:t xml:space="preserve">The interest groups called for the use of a forward-looking measure of credit losses. BCBS (2017, 1), early recognition of loan loss leads to increases in provisions and decrease regulatory capital. The author claims that accounting standard setters, mainly the International Accounting Standard Board (IASB) and the Financial Accounting Standards Board (FASB), developed the expected credit loss (ECL) model to replace the incurred loss model of IAS 39 for the estimation of financial asset impairment. According to Cohen and Edwards (2017), the new accounting standards were created with input from groups such as the Basel Committee on Banking Supervision (BCBS), the Financial Stability Board (FSB), regulators in baking, insurance, and securities, the Financial Stability Board (FSB) and the IASB-FASB Financial Crisis Advisory Group. BCBS (2017) argues that the IASB published IFRS 9 in July 2014 and it came into effect on 1 January 2018. The author also points out that the FASB standard was meant to take effect on 1 January 2020 for certain banks and listed firms with the rest taking effect a year later, but its implementation was delayed by a year due to the covid-19 pandemic. The two standards both use the ECL model but have some differences that will be discussed in more detail in the literature review. </w:t>
      </w:r>
    </w:p>
    <w:p w14:paraId="09BDE6E8" w14:textId="77777777" w:rsidR="009B68EA" w:rsidRDefault="009B1B9B">
      <w:pPr>
        <w:spacing w:line="357" w:lineRule="auto"/>
        <w:ind w:left="-5" w:right="85"/>
      </w:pPr>
      <w:r>
        <w:t xml:space="preserve">In 2017, a year before the implementation of IFRS 9, the Basel Committee on Banking Supervision (BCBS) issued a recommendation (BCBS, 2017) to banking regulators for the allowance of a period of 3-5 years for the adoption of IFRS 9. This period was to be called the Capital Transition Arrangement (CTA). The document noted several issues that led to its recommendation. Firstly, the author argued that a phased, gradual transition period would allow users of IFRS to gauge the likely impacts of the ECL models and allow for useful comparisons between banks to be made. Cohen and Edwards (2017, 46), claim that global surveys in 2016 by major accounting firms, notably </w:t>
      </w:r>
      <w:proofErr w:type="spellStart"/>
      <w:r>
        <w:t>Delloite</w:t>
      </w:r>
      <w:proofErr w:type="spellEnd"/>
      <w:r>
        <w:t xml:space="preserve">, found that even though banks had begun laying the groundwork for the transition as early as then, most were still assessing the effects of the transition. The authors claim that a survey by </w:t>
      </w:r>
      <w:proofErr w:type="spellStart"/>
      <w:r>
        <w:t>Delloite</w:t>
      </w:r>
      <w:proofErr w:type="spellEnd"/>
      <w:r>
        <w:t xml:space="preserve"> showed that at least 60% of banks either had not disclosed or could not quantify the impact of the transition. Furthermore, according to Deloitte's survey, loan loss provisions were </w:t>
      </w:r>
      <w:r>
        <w:lastRenderedPageBreak/>
        <w:t xml:space="preserve">expected to increase by 25% for most asset classes. Secondly, there was a need to create a level playing field between firms that use IASB standards and those that use FASB standards due to the 2 (later 3)-year gap between their implementations. Thirdly, banks needed to determine how the new standards would affect the pricing of credit products such as mortgages and corporate loans. Lastly, investors needed to understand the implementation process in terms of the specific reasons for any changes in ECL-based loan provisions by different banks. This is because the ECL model is probability-based and relied on discretionary models for default probabilities. </w:t>
      </w:r>
    </w:p>
    <w:p w14:paraId="55501544" w14:textId="77777777" w:rsidR="009B68EA" w:rsidRDefault="009B1B9B">
      <w:pPr>
        <w:spacing w:line="357" w:lineRule="auto"/>
        <w:ind w:left="-5" w:right="85"/>
      </w:pPr>
      <w:r>
        <w:t xml:space="preserve">BCBS (2017) outlined various approaches to the transition. In particular, the author stipulated that firms using IFRS 9 should disclose two separate sets of provisions, one based on IAS 39, and one based on IFSR 9. Then, they were to set their provisions using straight-line amortization beginning 1st January 2018 so that by the end of the CTA, they were in full compliance. In Kenya, the Central Bank of Kenya (CBK) issued a guidance note in April 2018 mandating banks to fully comply with IFRS 9 within a 5-year transition period that began on January 1st, 2018. However, Kenyan banks began disclosing this information as early as 2017 (Equity Bank) even before the CBK guidance note. According to Central Bank of Kenya (2020), banks were allowed to add back IFRS 9 provisions for loans and other facilities that were outstanding as </w:t>
      </w:r>
      <w:proofErr w:type="gramStart"/>
      <w:r>
        <w:t>at</w:t>
      </w:r>
      <w:proofErr w:type="gramEnd"/>
      <w:r>
        <w:t xml:space="preserve"> December 31, 2017 and those that had been issued in the first quarter of 2018 over a 5-year transition period. This CTA period was meant to enable banks to build-up capital gradually. According to the CBK supervision report (2020), the IFRS 9 provisions added back to regulatory capital stood at </w:t>
      </w:r>
      <w:proofErr w:type="spellStart"/>
      <w:r>
        <w:t>Ksh</w:t>
      </w:r>
      <w:proofErr w:type="spellEnd"/>
      <w:r>
        <w:t xml:space="preserve">. 22.5 billion in 2018, </w:t>
      </w:r>
      <w:proofErr w:type="spellStart"/>
      <w:r>
        <w:t>Ksh</w:t>
      </w:r>
      <w:proofErr w:type="spellEnd"/>
      <w:r>
        <w:t xml:space="preserve"> 17.3 billion in 2019, and </w:t>
      </w:r>
      <w:proofErr w:type="spellStart"/>
      <w:r>
        <w:t>Ksh</w:t>
      </w:r>
      <w:proofErr w:type="spellEnd"/>
      <w:r>
        <w:t xml:space="preserve">. 1.8 billion in 2020.  </w:t>
      </w:r>
    </w:p>
    <w:p w14:paraId="7C4CBA60" w14:textId="77777777" w:rsidR="009B68EA" w:rsidRDefault="009B1B9B">
      <w:pPr>
        <w:spacing w:line="359" w:lineRule="auto"/>
        <w:ind w:left="-5" w:right="85"/>
      </w:pPr>
      <w:r>
        <w:t xml:space="preserve">According to Central Bank of Kenya (2020), due to the unprecedented effect of the COVID-19 pandemic, CBK issued a Banking Circular to banks in March 2020 to provide guidance and clarification on the relief granted to borrowers regarding loan classification and provisioning of extended and restructured loans. According to the CBK’s banking circular, a one-year relief would be granted to borrowers who had made such requests to banks as long as their payments were up to date as </w:t>
      </w:r>
      <w:proofErr w:type="gramStart"/>
      <w:r>
        <w:t>at</w:t>
      </w:r>
      <w:proofErr w:type="gramEnd"/>
      <w:r>
        <w:t xml:space="preserve"> March 2, 2020 and classified under normal category according to the CBK </w:t>
      </w:r>
      <w:proofErr w:type="spellStart"/>
      <w:r>
        <w:t>Prudentil</w:t>
      </w:r>
      <w:proofErr w:type="spellEnd"/>
      <w:r>
        <w:t xml:space="preserve"> Guideline on Assets, Provisioning and Limitation of Interest Recoverable on NPLs (CBK/PG/04). Later that year in June, the Institute of Certified Public Accountants of Kenya (ICPAK) issued a statement on the application of IFRS 9 in the COVID-19 pandemic environment. ICPAK argued that there was a lot of inherent uncertainty and reliable forward-looking information for use in the credit risk modeling was not </w:t>
      </w:r>
      <w:proofErr w:type="gramStart"/>
      <w:r>
        <w:t>available, but</w:t>
      </w:r>
      <w:proofErr w:type="gramEnd"/>
      <w:r>
        <w:t xml:space="preserve"> was expected to become more available as time and </w:t>
      </w:r>
      <w:r>
        <w:lastRenderedPageBreak/>
        <w:t xml:space="preserve">experience progressed. Therefore, they urged relevant institutions to make use of such information but also consider using historical information in their modeling procedures. They further advised that where banks foresaw a lack of availability of reasonable and supportable forward-looking information, they could assign a greater probability to the overall longer-term prospects of borrower default, especially for instruments with longer expected lives.  </w:t>
      </w:r>
    </w:p>
    <w:p w14:paraId="2696EB90" w14:textId="77777777" w:rsidR="009B68EA" w:rsidRDefault="009B1B9B">
      <w:pPr>
        <w:spacing w:after="130"/>
        <w:ind w:left="-5" w:right="85"/>
      </w:pPr>
      <w:r>
        <w:t xml:space="preserve">Such were the efforts that were made by regulators, </w:t>
      </w:r>
      <w:proofErr w:type="gramStart"/>
      <w:r>
        <w:t>watchdogs</w:t>
      </w:r>
      <w:proofErr w:type="gramEnd"/>
      <w:r>
        <w:t xml:space="preserve"> and banks in Kenya regarding the </w:t>
      </w:r>
    </w:p>
    <w:p w14:paraId="06D7C25E" w14:textId="77777777" w:rsidR="009B68EA" w:rsidRDefault="009B1B9B">
      <w:pPr>
        <w:spacing w:line="358" w:lineRule="auto"/>
        <w:ind w:left="-5" w:right="85"/>
      </w:pPr>
      <w:r>
        <w:t xml:space="preserve">IFRS 9 adoption. </w:t>
      </w:r>
      <w:proofErr w:type="gramStart"/>
      <w:r>
        <w:t>Furthermore,  Central</w:t>
      </w:r>
      <w:proofErr w:type="gramEnd"/>
      <w:r>
        <w:t xml:space="preserve"> Bank of Kenya (2019)’s Banking Sector Charter was also being implemented at the same time. According to Central Bank of Kenya (2021)’s Banking Supervision report, the goal of the charter was to operationalize a new vision for the Kenyan banking sector that worked for Kenyans and was anchored on four main pillars: </w:t>
      </w:r>
      <w:proofErr w:type="spellStart"/>
      <w:r>
        <w:t>customercentricity</w:t>
      </w:r>
      <w:proofErr w:type="spellEnd"/>
      <w:r>
        <w:t xml:space="preserve">, risk-based pricing, transparency, and ethical banking. The author reported that as of 2021, all commercial banks in Kenya had submitted their BSC implementation plans approved by their boards.  </w:t>
      </w:r>
    </w:p>
    <w:p w14:paraId="1E483577" w14:textId="77777777" w:rsidR="009B68EA" w:rsidRDefault="009B1B9B">
      <w:pPr>
        <w:pStyle w:val="Heading3"/>
        <w:spacing w:after="105"/>
        <w:ind w:left="-5" w:right="0"/>
      </w:pPr>
      <w:bookmarkStart w:id="4" w:name="_Toc138448105"/>
      <w:r>
        <w:t>1.2.</w:t>
      </w:r>
      <w:r>
        <w:rPr>
          <w:rFonts w:ascii="Arial" w:eastAsia="Arial" w:hAnsi="Arial" w:cs="Arial"/>
        </w:rPr>
        <w:t xml:space="preserve"> </w:t>
      </w:r>
      <w:r>
        <w:t>PROBLEM STATEMENT</w:t>
      </w:r>
      <w:bookmarkEnd w:id="4"/>
      <w:r>
        <w:t xml:space="preserve">  </w:t>
      </w:r>
    </w:p>
    <w:p w14:paraId="5337DB3D" w14:textId="77777777" w:rsidR="009B68EA" w:rsidRDefault="009B1B9B">
      <w:pPr>
        <w:spacing w:line="357" w:lineRule="auto"/>
        <w:ind w:left="-5" w:right="85"/>
      </w:pPr>
      <w:r>
        <w:t xml:space="preserve">As mentioned above, the CTA period is important to allow a smooth transition to the new IFRS 9 standards as it allows firms to manage their risk appropriately even as they comply with the standard. There is no doubt that the CTA affects banking activities in unprecedented ways. For example, </w:t>
      </w:r>
      <w:proofErr w:type="spellStart"/>
      <w:r>
        <w:t>Yieke</w:t>
      </w:r>
      <w:proofErr w:type="spellEnd"/>
      <w:r>
        <w:t xml:space="preserve"> (n.d., 2), argues that loan-loss provisions affect the profitability of banks since they affect the way bank utilizes their capital to make profits. Banks are notorious for finding ways to escape the effects of regulations on their bottom line. In the case of IFRS 9, many authors are concerned with the discretionary nature of the ECL model which would allow banks to hide bad debt more effectively than even IAS 39's incurred loss model allowed for. This translates to concerns about the systematic risk of the banking industry. It is, therefore, crucial to determine the effects of the Capital Transition Arrangement period on the systematic risk of Kenyan commercial banks.  </w:t>
      </w:r>
    </w:p>
    <w:p w14:paraId="20E2982A" w14:textId="77777777" w:rsidR="009B68EA" w:rsidRDefault="009B1B9B">
      <w:pPr>
        <w:spacing w:after="65" w:line="361" w:lineRule="auto"/>
        <w:ind w:left="-5" w:right="85"/>
      </w:pPr>
      <w:r>
        <w:t xml:space="preserve">Studies on IFRS 9 adoption mainly fall in two categories: those that study the expected effects of the transition to IFRS 9, such as Deloitte (2019), and those that study effects of the transition on various components of an affected institution’s operations, such as Okafor et al. (2019) who sought to determine whether the adoption of IFRS 9 reduced corporate tax evasion in Canada. Few studies have been conducted on the effect of IFRS 9 adoption on bank systematic risk, especially in Africa where this study will be the first of its kind. While there have been a significant number of studies </w:t>
      </w:r>
      <w:r>
        <w:lastRenderedPageBreak/>
        <w:t xml:space="preserve">on systematic risk in Kenya, such as Fan et al., (2018); </w:t>
      </w:r>
      <w:r>
        <w:rPr>
          <w:i/>
        </w:rPr>
        <w:t>Systematic Risk and Performance of Stock Market in Kenya | International Journal of Research in Business and Social Science (2147- 4478)</w:t>
      </w:r>
      <w:r>
        <w:t xml:space="preserve">, n.d.), these studies were conducted before the CTA adoption period begun and therefore do not capture the recent changes in the banking regulatory environment. </w:t>
      </w:r>
    </w:p>
    <w:p w14:paraId="2FF45767" w14:textId="77777777" w:rsidR="009B68EA" w:rsidRDefault="009B1B9B">
      <w:pPr>
        <w:pStyle w:val="Heading3"/>
        <w:ind w:left="-5" w:right="0"/>
      </w:pPr>
      <w:bookmarkStart w:id="5" w:name="_Toc138448106"/>
      <w:r>
        <w:t>1.3.</w:t>
      </w:r>
      <w:r>
        <w:rPr>
          <w:rFonts w:ascii="Arial" w:eastAsia="Arial" w:hAnsi="Arial" w:cs="Arial"/>
        </w:rPr>
        <w:t xml:space="preserve"> </w:t>
      </w:r>
      <w:r>
        <w:t>RESEARCH OBJECTIVES</w:t>
      </w:r>
      <w:bookmarkEnd w:id="5"/>
      <w:r>
        <w:t xml:space="preserve">  </w:t>
      </w:r>
    </w:p>
    <w:p w14:paraId="4BC9E395" w14:textId="77777777" w:rsidR="009B68EA" w:rsidRDefault="009B1B9B">
      <w:pPr>
        <w:spacing w:line="359" w:lineRule="auto"/>
        <w:ind w:left="-5" w:right="85"/>
      </w:pPr>
      <w:r>
        <w:t xml:space="preserve">The main objective of this research is to determine the effects of the Capital Transition Arrangement (CTA) period on the systematic risk of commercial banks in Kenya.  </w:t>
      </w:r>
    </w:p>
    <w:p w14:paraId="1B2CAAD1" w14:textId="77777777" w:rsidR="009B68EA" w:rsidRDefault="009B1B9B">
      <w:pPr>
        <w:spacing w:after="113"/>
        <w:ind w:left="-5" w:right="85"/>
      </w:pPr>
      <w:r>
        <w:t xml:space="preserve">The specific objectives </w:t>
      </w:r>
      <w:proofErr w:type="gramStart"/>
      <w:r>
        <w:t>are</w:t>
      </w:r>
      <w:proofErr w:type="gramEnd"/>
      <w:r>
        <w:t xml:space="preserve"> </w:t>
      </w:r>
    </w:p>
    <w:p w14:paraId="1BA1C5AE" w14:textId="77777777" w:rsidR="009B68EA" w:rsidRDefault="009B1B9B">
      <w:pPr>
        <w:tabs>
          <w:tab w:val="right" w:pos="9454"/>
        </w:tabs>
        <w:spacing w:after="121"/>
        <w:ind w:left="-15" w:right="0" w:firstLine="0"/>
        <w:jc w:val="left"/>
      </w:pPr>
      <w:proofErr w:type="spellStart"/>
      <w:r>
        <w:t>i</w:t>
      </w:r>
      <w:proofErr w:type="spellEnd"/>
      <w:r>
        <w:t>.</w:t>
      </w:r>
      <w:r>
        <w:rPr>
          <w:rFonts w:ascii="Arial" w:eastAsia="Arial" w:hAnsi="Arial" w:cs="Arial"/>
        </w:rPr>
        <w:t xml:space="preserve"> </w:t>
      </w:r>
      <w:r>
        <w:rPr>
          <w:rFonts w:ascii="Arial" w:eastAsia="Arial" w:hAnsi="Arial" w:cs="Arial"/>
        </w:rPr>
        <w:tab/>
      </w:r>
      <w:r>
        <w:t xml:space="preserve">To determine the effect of the CTA period on the delta CoVaR of the banking industry in </w:t>
      </w:r>
    </w:p>
    <w:p w14:paraId="28296F11" w14:textId="77777777" w:rsidR="009B68EA" w:rsidRDefault="009B1B9B">
      <w:pPr>
        <w:spacing w:after="57" w:line="359" w:lineRule="auto"/>
        <w:ind w:left="-15" w:right="85" w:firstLine="721"/>
      </w:pPr>
      <w:r>
        <w:t>Kenya using a sample of all listed commercial banks in Kenya from the period 2012-2022.  ii.</w:t>
      </w:r>
      <w:r>
        <w:rPr>
          <w:rFonts w:ascii="Arial" w:eastAsia="Arial" w:hAnsi="Arial" w:cs="Arial"/>
        </w:rPr>
        <w:t xml:space="preserve"> </w:t>
      </w:r>
      <w:r>
        <w:t>To determine the effect of the CTA period on the Marginal Expected Shortfall of listed banks in Kenya using a sample of all listed commercial banks in Kenya from the period 2012-</w:t>
      </w:r>
      <w:commentRangeStart w:id="6"/>
      <w:r>
        <w:t>2022</w:t>
      </w:r>
      <w:commentRangeEnd w:id="6"/>
      <w:r w:rsidR="002C149D">
        <w:rPr>
          <w:rStyle w:val="CommentReference"/>
        </w:rPr>
        <w:commentReference w:id="6"/>
      </w:r>
      <w:r>
        <w:t xml:space="preserve">. </w:t>
      </w:r>
    </w:p>
    <w:p w14:paraId="5896A442" w14:textId="77777777" w:rsidR="009B68EA" w:rsidRDefault="009B1B9B">
      <w:pPr>
        <w:pStyle w:val="Heading3"/>
        <w:ind w:left="-5" w:right="0"/>
      </w:pPr>
      <w:bookmarkStart w:id="7" w:name="_Toc138448107"/>
      <w:r>
        <w:t>1.4.</w:t>
      </w:r>
      <w:r>
        <w:rPr>
          <w:rFonts w:ascii="Arial" w:eastAsia="Arial" w:hAnsi="Arial" w:cs="Arial"/>
        </w:rPr>
        <w:t xml:space="preserve"> </w:t>
      </w:r>
      <w:r>
        <w:t>SIGNIFICANCE OF THE RESEARCH</w:t>
      </w:r>
      <w:bookmarkEnd w:id="7"/>
      <w:r>
        <w:t xml:space="preserve">  </w:t>
      </w:r>
    </w:p>
    <w:p w14:paraId="262863F3" w14:textId="77777777" w:rsidR="009B68EA" w:rsidRDefault="009B1B9B">
      <w:pPr>
        <w:spacing w:after="60" w:line="358" w:lineRule="auto"/>
        <w:ind w:left="-5" w:right="85"/>
      </w:pPr>
      <w:r>
        <w:t xml:space="preserve">This research will aid regulators to determine the effects of the CTA on the systematic risk of the banking industry in Kenya and allow for policy formulation to cushion the banking sector and the economy from any adverse effects due to the transition. It will also serve to highlight the response of commercial banks in Kenya to IFRS 9 and gauge whether the transition is good or not. Furthermore, it will allow academics and researchers in accounting and finance to understand the effects of a CTA on the banking industry of a developing nation. This study does not make any new theoretical contributions, but its use of new measures of systematic risk enables it to offer new insights into systematic risk in Kenya. </w:t>
      </w:r>
    </w:p>
    <w:p w14:paraId="768F314C" w14:textId="77777777" w:rsidR="009B68EA" w:rsidRDefault="009B1B9B">
      <w:pPr>
        <w:pStyle w:val="Heading3"/>
        <w:ind w:left="-5" w:right="0"/>
      </w:pPr>
      <w:bookmarkStart w:id="8" w:name="_Toc138448108"/>
      <w:r>
        <w:t>1.5.</w:t>
      </w:r>
      <w:r>
        <w:rPr>
          <w:rFonts w:ascii="Arial" w:eastAsia="Arial" w:hAnsi="Arial" w:cs="Arial"/>
        </w:rPr>
        <w:t xml:space="preserve"> </w:t>
      </w:r>
      <w:r>
        <w:t>STRUCTURE OF THE PAPER</w:t>
      </w:r>
      <w:bookmarkEnd w:id="8"/>
      <w:r>
        <w:t xml:space="preserve">  </w:t>
      </w:r>
    </w:p>
    <w:p w14:paraId="6E633082" w14:textId="77777777" w:rsidR="009B68EA" w:rsidRDefault="009B1B9B">
      <w:pPr>
        <w:spacing w:line="357" w:lineRule="auto"/>
        <w:ind w:left="-5" w:right="85"/>
      </w:pPr>
      <w:r>
        <w:t xml:space="preserve">The rest of the paper is divided as follows. Chapter 2 discusses in more detail IFRS 9 and its FASB counterpart as well as various empirical literature on the effects of their implementation on commercial banks. It also discusses systematic risk and its measurement. Chapter 3 defines the research design, population, sample, and models used. Chapter four presents the findings and discusses them, and Chapter five gives the conclusion and policy recommendations. </w:t>
      </w:r>
    </w:p>
    <w:p w14:paraId="6E48EDD3" w14:textId="77777777" w:rsidR="009B68EA" w:rsidRDefault="009B1B9B">
      <w:pPr>
        <w:spacing w:after="0"/>
        <w:ind w:left="0" w:right="0" w:firstLine="0"/>
        <w:jc w:val="left"/>
      </w:pPr>
      <w:r>
        <w:t xml:space="preserve"> </w:t>
      </w:r>
      <w:r>
        <w:tab/>
        <w:t xml:space="preserve"> </w:t>
      </w:r>
    </w:p>
    <w:p w14:paraId="7ED8A891" w14:textId="77777777" w:rsidR="009B68EA" w:rsidRDefault="009B1B9B">
      <w:pPr>
        <w:pStyle w:val="Heading2"/>
        <w:ind w:left="-5"/>
      </w:pPr>
      <w:bookmarkStart w:id="9" w:name="_Toc138448109"/>
      <w:r>
        <w:lastRenderedPageBreak/>
        <w:t>2.</w:t>
      </w:r>
      <w:r>
        <w:rPr>
          <w:rFonts w:ascii="Arial" w:eastAsia="Arial" w:hAnsi="Arial" w:cs="Arial"/>
        </w:rPr>
        <w:t xml:space="preserve"> </w:t>
      </w:r>
      <w:r>
        <w:t>LITERATURE REVIEW</w:t>
      </w:r>
      <w:bookmarkEnd w:id="9"/>
      <w:r>
        <w:t xml:space="preserve"> </w:t>
      </w:r>
    </w:p>
    <w:p w14:paraId="58C7B8B0" w14:textId="77777777" w:rsidR="009B68EA" w:rsidRDefault="009B1B9B">
      <w:pPr>
        <w:pStyle w:val="Heading3"/>
        <w:ind w:left="-5" w:right="0"/>
      </w:pPr>
      <w:bookmarkStart w:id="10" w:name="_Toc138448110"/>
      <w:r>
        <w:t>2.1.</w:t>
      </w:r>
      <w:r>
        <w:rPr>
          <w:rFonts w:ascii="Arial" w:eastAsia="Arial" w:hAnsi="Arial" w:cs="Arial"/>
        </w:rPr>
        <w:t xml:space="preserve"> </w:t>
      </w:r>
      <w:r>
        <w:t>THEORIES UNDERPINNING THE BANK CAPITAL AND BANKING CRISIS NEXUS</w:t>
      </w:r>
      <w:bookmarkEnd w:id="10"/>
      <w:r>
        <w:t xml:space="preserve">  </w:t>
      </w:r>
    </w:p>
    <w:p w14:paraId="01051514" w14:textId="77777777" w:rsidR="009B68EA" w:rsidRDefault="009B1B9B">
      <w:pPr>
        <w:spacing w:after="76" w:line="359" w:lineRule="auto"/>
        <w:ind w:left="-5" w:right="85"/>
      </w:pPr>
      <w:r>
        <w:t xml:space="preserve">Several theories in the literature underpin the nexus between bank capital and liquidity crises (banking crises). The most notable theory is one by Allen and Gale (2000) which credits banking crises to agency problems between the bank and depositors arising from an increase in bank deposits, and between borrowers and banks. According to the theory, when bank deposits increase, banks have an incentive to increase the supply of credit so that they can earn higher profits. As a result, they lower their interest rates and attract a lot of borrowers. However, an agency problem exists between the borrowers and banks. The relationship between banks and borrowers is defined using a debt contract. Once such contracts are in place, banks cannot monitor the behavior of the borrowers. Now, since the default is an option for the borrower, they have an incentive to invest in risky assets to earn abnormal returns. This increases asset prices at the same time increases the probability of default. Asset price bubbles are therefore formed, and when they ‘pop’, defaults increase leading to a liquidity crisis as debt dominates assets in banks’ balance sheets. This theory explains the procyclicality of loans. It explains why credit expands during a macroeconomic boom since excess profits are saved in banks by households and firms. It also explains well the many events that took place before the great financial crisis of 2008-2009. The risky assets were real estate assets whose prices rose by 11% annually in the years leading to the GFC. Acharya and Naqvi (2012) offer a similar but competing theory. According to the authors, there is an agency problem between the bank managers and owners. The authors argue that this agency problem is introduced by managerial compensation that is based on bonuses tied to loan volume (and not loan performance). As a result of this agency problem, bank managers set interest rates </w:t>
      </w:r>
      <w:r>
        <w:rPr>
          <w:rFonts w:ascii="Cambria Math" w:eastAsia="Cambria Math" w:hAnsi="Cambria Math" w:cs="Cambria Math"/>
        </w:rPr>
        <w:t>𝑟</w:t>
      </w:r>
      <w:r>
        <w:rPr>
          <w:rFonts w:ascii="Cambria Math" w:eastAsia="Cambria Math" w:hAnsi="Cambria Math" w:cs="Cambria Math"/>
          <w:vertAlign w:val="subscript"/>
        </w:rPr>
        <w:t>𝐿</w:t>
      </w:r>
      <w:r>
        <w:rPr>
          <w:rFonts w:ascii="Cambria Math" w:eastAsia="Cambria Math" w:hAnsi="Cambria Math" w:cs="Cambria Math"/>
          <w:vertAlign w:val="superscript"/>
        </w:rPr>
        <w:t>𝑎</w:t>
      </w:r>
      <w:r>
        <w:t xml:space="preserve"> such that: </w:t>
      </w:r>
    </w:p>
    <w:p w14:paraId="3B064B46" w14:textId="77777777" w:rsidR="009B68EA" w:rsidRDefault="009B1B9B">
      <w:pPr>
        <w:spacing w:after="197"/>
        <w:ind w:right="213"/>
        <w:jc w:val="center"/>
      </w:pPr>
      <w:r>
        <w:rPr>
          <w:rFonts w:ascii="Cambria Math" w:eastAsia="Cambria Math" w:hAnsi="Cambria Math" w:cs="Cambria Math"/>
        </w:rPr>
        <w:t>𝑟</w:t>
      </w:r>
      <w:r>
        <w:rPr>
          <w:rFonts w:ascii="Cambria Math" w:eastAsia="Cambria Math" w:hAnsi="Cambria Math" w:cs="Cambria Math"/>
          <w:vertAlign w:val="subscript"/>
        </w:rPr>
        <w:t>𝐿</w:t>
      </w:r>
      <w:r>
        <w:rPr>
          <w:rFonts w:ascii="Cambria Math" w:eastAsia="Cambria Math" w:hAnsi="Cambria Math" w:cs="Cambria Math"/>
          <w:sz w:val="17"/>
        </w:rPr>
        <w:t xml:space="preserve">𝑎 </w:t>
      </w:r>
      <w:r>
        <w:rPr>
          <w:rFonts w:ascii="Cambria Math" w:eastAsia="Cambria Math" w:hAnsi="Cambria Math" w:cs="Cambria Math"/>
        </w:rPr>
        <w:t>≤ 𝑟</w:t>
      </w:r>
      <w:r>
        <w:rPr>
          <w:rFonts w:ascii="Cambria Math" w:eastAsia="Cambria Math" w:hAnsi="Cambria Math" w:cs="Cambria Math"/>
          <w:vertAlign w:val="subscript"/>
        </w:rPr>
        <w:t>𝐿</w:t>
      </w:r>
      <w:r>
        <w:rPr>
          <w:rFonts w:ascii="Cambria Math" w:eastAsia="Cambria Math" w:hAnsi="Cambria Math" w:cs="Cambria Math"/>
          <w:sz w:val="17"/>
        </w:rPr>
        <w:t>𝑛𝑎</w:t>
      </w:r>
      <w:r>
        <w:t xml:space="preserve"> </w:t>
      </w:r>
    </w:p>
    <w:p w14:paraId="7B82A04F" w14:textId="77777777" w:rsidR="009B68EA" w:rsidRDefault="009B1B9B">
      <w:pPr>
        <w:spacing w:after="207" w:line="375" w:lineRule="auto"/>
        <w:ind w:left="-5" w:right="85"/>
      </w:pPr>
      <w:r>
        <w:t xml:space="preserve">That is, interest rates in the presence of this agency problem are lower than or equal to interest rates in the presence of no agency problems. The authors argue that when bank deposits are low, </w:t>
      </w:r>
      <w:r>
        <w:rPr>
          <w:rFonts w:ascii="Cambria Math" w:eastAsia="Cambria Math" w:hAnsi="Cambria Math" w:cs="Cambria Math"/>
        </w:rPr>
        <w:t>𝑟</w:t>
      </w:r>
      <w:r>
        <w:rPr>
          <w:rFonts w:ascii="Cambria Math" w:eastAsia="Cambria Math" w:hAnsi="Cambria Math" w:cs="Cambria Math"/>
          <w:vertAlign w:val="subscript"/>
        </w:rPr>
        <w:t>𝐿</w:t>
      </w:r>
      <w:r>
        <w:rPr>
          <w:rFonts w:ascii="Cambria Math" w:eastAsia="Cambria Math" w:hAnsi="Cambria Math" w:cs="Cambria Math"/>
          <w:vertAlign w:val="superscript"/>
        </w:rPr>
        <w:t>𝑛𝑎</w:t>
      </w:r>
      <w:r>
        <w:t xml:space="preserve"> is the lower bound of the interest rates managers can set. However, when bank deposits increase, the agency problem increases, and bank managers set interest rates that are lower than </w:t>
      </w:r>
      <w:r>
        <w:rPr>
          <w:rFonts w:ascii="Cambria Math" w:eastAsia="Cambria Math" w:hAnsi="Cambria Math" w:cs="Cambria Math"/>
        </w:rPr>
        <w:t>𝑟</w:t>
      </w:r>
      <w:r>
        <w:rPr>
          <w:rFonts w:ascii="Cambria Math" w:eastAsia="Cambria Math" w:hAnsi="Cambria Math" w:cs="Cambria Math"/>
          <w:vertAlign w:val="subscript"/>
        </w:rPr>
        <w:t>𝐿</w:t>
      </w:r>
      <w:r>
        <w:rPr>
          <w:rFonts w:ascii="Cambria Math" w:eastAsia="Cambria Math" w:hAnsi="Cambria Math" w:cs="Cambria Math"/>
          <w:vertAlign w:val="superscript"/>
        </w:rPr>
        <w:t>𝑛𝑎</w:t>
      </w:r>
      <w:r>
        <w:t xml:space="preserve">. What follows is </w:t>
      </w:r>
      <w:proofErr w:type="gramStart"/>
      <w:r>
        <w:t>similar to</w:t>
      </w:r>
      <w:proofErr w:type="gramEnd"/>
      <w:r>
        <w:t xml:space="preserve"> the arguments by Allen and Gale’s (2000) theory. Borrowers increase, but risk shifts from borrowers to banks due to the option to default leading to moral hazard. Borrowers, therefore, invest in risky assets and this leads to asset price bubbles which </w:t>
      </w:r>
      <w:r>
        <w:lastRenderedPageBreak/>
        <w:t xml:space="preserve">cause liquidity problems when they 'pop’. This theory also provides acceptable explanations for the procyclicality of credit and the events that take place before bank crises. However, Acharya and Naqvi (2012) describe another mechanism through which bank liquidity could trigger banking crises. According to the author, when macroeconomic risk increases, depositors avoid risky assets and save their funds instead. Then, the agency problem between bank managers and bank owners leads them to reduce interest rates to </w:t>
      </w:r>
      <w:r>
        <w:rPr>
          <w:rFonts w:ascii="Cambria Math" w:eastAsia="Cambria Math" w:hAnsi="Cambria Math" w:cs="Cambria Math"/>
        </w:rPr>
        <w:t>𝑟</w:t>
      </w:r>
      <w:r>
        <w:rPr>
          <w:rFonts w:ascii="Cambria Math" w:eastAsia="Cambria Math" w:hAnsi="Cambria Math" w:cs="Cambria Math"/>
          <w:vertAlign w:val="subscript"/>
        </w:rPr>
        <w:t>𝐿</w:t>
      </w:r>
      <w:r>
        <w:rPr>
          <w:rFonts w:ascii="Cambria Math" w:eastAsia="Cambria Math" w:hAnsi="Cambria Math" w:cs="Cambria Math"/>
          <w:vertAlign w:val="superscript"/>
        </w:rPr>
        <w:t>𝑎</w:t>
      </w:r>
      <w:r>
        <w:t xml:space="preserve"> which is much lower than </w:t>
      </w:r>
      <w:r>
        <w:rPr>
          <w:rFonts w:ascii="Cambria Math" w:eastAsia="Cambria Math" w:hAnsi="Cambria Math" w:cs="Cambria Math"/>
        </w:rPr>
        <w:t>𝑟</w:t>
      </w:r>
      <w:r>
        <w:rPr>
          <w:rFonts w:ascii="Cambria Math" w:eastAsia="Cambria Math" w:hAnsi="Cambria Math" w:cs="Cambria Math"/>
          <w:vertAlign w:val="subscript"/>
        </w:rPr>
        <w:t>𝐿</w:t>
      </w:r>
      <w:r>
        <w:rPr>
          <w:rFonts w:ascii="Cambria Math" w:eastAsia="Cambria Math" w:hAnsi="Cambria Math" w:cs="Cambria Math"/>
          <w:vertAlign w:val="superscript"/>
        </w:rPr>
        <w:t>𝑛𝑎</w:t>
      </w:r>
      <w:r>
        <w:t xml:space="preserve">. When this happens, borrowers increase, risk shifts to the banks, asset prices increase, and bubbles form. Again, when they ‘pop, a banking crisis ensues. In the above theories, the ’popping’ of an asset price bubble leads to a banking crisis due to </w:t>
      </w:r>
      <w:proofErr w:type="gramStart"/>
      <w:r>
        <w:t>excessing</w:t>
      </w:r>
      <w:proofErr w:type="gramEnd"/>
      <w:r>
        <w:t xml:space="preserve"> credit supply by banks caused by agency problems. However, it is also evident that an increase in loan provisions may have an ameliorating and risk mitigating effect. </w:t>
      </w:r>
      <w:proofErr w:type="gramStart"/>
      <w:r>
        <w:t>First of all</w:t>
      </w:r>
      <w:proofErr w:type="gramEnd"/>
      <w:r>
        <w:t xml:space="preserve">, it is expected that loan provisions will reduce excess credit supply as some funds need to be kept as provisions. About Acharya and Naqvi (2012)’s theory, this translates to keeping </w:t>
      </w:r>
      <w:r>
        <w:rPr>
          <w:rFonts w:ascii="Cambria Math" w:eastAsia="Cambria Math" w:hAnsi="Cambria Math" w:cs="Cambria Math"/>
        </w:rPr>
        <w:t>𝑟</w:t>
      </w:r>
      <w:r>
        <w:rPr>
          <w:rFonts w:ascii="Cambria Math" w:eastAsia="Cambria Math" w:hAnsi="Cambria Math" w:cs="Cambria Math"/>
          <w:vertAlign w:val="subscript"/>
        </w:rPr>
        <w:t>𝐿</w:t>
      </w:r>
      <w:r>
        <w:rPr>
          <w:rFonts w:ascii="Cambria Math" w:eastAsia="Cambria Math" w:hAnsi="Cambria Math" w:cs="Cambria Math"/>
          <w:vertAlign w:val="superscript"/>
        </w:rPr>
        <w:t>𝑎</w:t>
      </w:r>
      <w:r>
        <w:t xml:space="preserve"> closer to </w:t>
      </w:r>
      <w:r>
        <w:rPr>
          <w:rFonts w:ascii="Cambria Math" w:eastAsia="Cambria Math" w:hAnsi="Cambria Math" w:cs="Cambria Math"/>
        </w:rPr>
        <w:t>𝑟</w:t>
      </w:r>
      <w:r>
        <w:rPr>
          <w:rFonts w:ascii="Cambria Math" w:eastAsia="Cambria Math" w:hAnsi="Cambria Math" w:cs="Cambria Math"/>
          <w:vertAlign w:val="subscript"/>
        </w:rPr>
        <w:t>𝐿</w:t>
      </w:r>
      <w:r>
        <w:rPr>
          <w:rFonts w:ascii="Cambria Math" w:eastAsia="Cambria Math" w:hAnsi="Cambria Math" w:cs="Cambria Math"/>
          <w:vertAlign w:val="superscript"/>
        </w:rPr>
        <w:t>𝑛𝑎</w:t>
      </w:r>
      <w:r>
        <w:t xml:space="preserve"> than if loan provision requirements were lower. Furthermore, increases in loan loss provisions will increase the efforts banks take to determine the creditworthiness of borrowers. This may reduce moral hazards and prevent asset bubbles from forming. One theory that may explain the effects of IFRS 9 on systematic risk @. Unlike the previous two theories, this theory focuses on bank behavior and its incentives. According to the theory, a bank's capital structure determines its liquidity creation. The greater the bank capital, the less the risk of financial distress, but also, the less liquidity it creates. The theory argues that since investors (depositors) can in theory forgo using banks and lend money to borrowers directly, banks are forced to offer a return to borrowers for their deposits. Furthermore, since borrowers have an option to default, banks cannot set interest rates for borrowers that are too high. When a bank has low capital, it lowers its interest rates to increase the chances that it will be repaid. Unfortunately, this shifts the risk to the banks as borrowers engage in moral hazard by investing in risky assets. What follows is </w:t>
      </w:r>
      <w:proofErr w:type="gramStart"/>
      <w:r>
        <w:t>similar to</w:t>
      </w:r>
      <w:proofErr w:type="gramEnd"/>
      <w:r>
        <w:t xml:space="preserve"> the two prior theories. This theory, however, explains exactly what happens when capital is increased (by increasing loan provisions). Banks are no longer coerced to have </w:t>
      </w:r>
      <w:proofErr w:type="spellStart"/>
      <w:r>
        <w:t>lowinterest</w:t>
      </w:r>
      <w:proofErr w:type="spellEnd"/>
      <w:r>
        <w:t xml:space="preserve"> </w:t>
      </w:r>
      <w:proofErr w:type="gramStart"/>
      <w:r>
        <w:t>rates</w:t>
      </w:r>
      <w:proofErr w:type="gramEnd"/>
      <w:r>
        <w:t xml:space="preserve"> and this may reduce excess credit supply and the asset bubbles it creates. ## IFRS 9 According to Cohen and Edwards (2017), IFRS 9 recognized impairment of credit differently over the lifetime of the asset. According to the authors, in stage 1, IFRS 9 calls for reporting the 12month ECL of the asset, but in stages 2 and 3, a lifetime ECL is reported. This reporting standard </w:t>
      </w:r>
      <w:r>
        <w:lastRenderedPageBreak/>
        <w:t xml:space="preserve">is maintained for the life of the asset whereby changes in the credit quality of the asset determine which stage of loan loss it is in. The authors remark that 12-month ECL is the portion of lifetime ECL that may result from default events on the asset within the 12 months following the reporting date. Mathematically, this is the lifetime credit loss on the asset multiplied by the probability of default.  </w:t>
      </w:r>
    </w:p>
    <w:p w14:paraId="5D4CE0DF" w14:textId="77777777" w:rsidR="009B68EA" w:rsidRDefault="009B1B9B">
      <w:pPr>
        <w:pStyle w:val="Heading4"/>
        <w:spacing w:after="159"/>
        <w:ind w:left="280"/>
      </w:pPr>
      <w:r>
        <w:rPr>
          <w:rFonts w:ascii="Cambria Math" w:eastAsia="Cambria Math" w:hAnsi="Cambria Math" w:cs="Cambria Math"/>
          <w:b w:val="0"/>
        </w:rPr>
        <w:t>12 𝑚𝑜𝑛𝑡ℎ 𝐸𝐶𝐿 = 12 𝑚𝑜𝑛𝑡ℎ 𝑃𝐷𝑠 × 𝐿𝑖𝑓𝑒𝑡𝑖𝑚𝑒 𝐸𝐶𝐿 𝑏𝑎𝑠𝑒𝑑 𝑜𝑛 12 𝑚𝑜𝑛𝑡ℎ 𝑓𝑜𝑟𝑤𝑎𝑟𝑑 𝑖𝑛𝑓𝑜</w:t>
      </w:r>
      <w:r>
        <w:rPr>
          <w:b w:val="0"/>
        </w:rPr>
        <w:t xml:space="preserve"> </w:t>
      </w:r>
    </w:p>
    <w:p w14:paraId="695BB3AF" w14:textId="77777777" w:rsidR="009B68EA" w:rsidRDefault="009B1B9B">
      <w:pPr>
        <w:spacing w:line="357" w:lineRule="auto"/>
        <w:ind w:left="-5" w:right="85"/>
      </w:pPr>
      <w:r>
        <w:t xml:space="preserve"> whereby PD is the probability of default. When default risk increases, then the assets are considered under stages 2 and 3 whereby the lifetime ECL is reported and defined as the expected present value of losses that arise if borrowers’ default on their obligations at some time during the life of the asset. The authors claim that the resulting increase in provisions is likely to be significant, however, since the explicit models used to determine default probabilities are at the discretion of the users of IFRS 9, there is still room for manipulation. Banks have an incentive to use optimistic models to predict default probabilities to increase loan volume while keeping provisions low. This is what worries many critics of IFRS 9 since it implies that systematic risk would be much higher than implied by ECL estimates. Considering the difficulties in measuring systematic risk, the many critics of IFRS 9 argue that ECL models could exacerbate the effects of banking crises. According to Novotny-Farkas (2016), the amount of the loan loss provisions depends on whether a bank is using the Standardized Approach (SA) or Internal Ratings-Based (IRB) approach. According to the author, SA banks use an external standard to determine loan provisions by using pre-determined risk weights under Basel II. On the other hand, IRB banks use their regulatory-approved estimates. Furthermore, default probabilities (under IRB mostly) can be categorized as point-in-time (</w:t>
      </w:r>
      <w:proofErr w:type="spellStart"/>
      <w:r>
        <w:t>PiT</w:t>
      </w:r>
      <w:proofErr w:type="spellEnd"/>
      <w:r>
        <w:t xml:space="preserve">), through-the-cycle (TTC), or hybrid (both). According to Novotny-Farkas (2016), </w:t>
      </w:r>
      <w:proofErr w:type="spellStart"/>
      <w:r>
        <w:t>PiT</w:t>
      </w:r>
      <w:proofErr w:type="spellEnd"/>
      <w:r>
        <w:t xml:space="preserve"> estimates represent the assessment of PDs within a relatively short period, say a year, while TTC estimates span longer horizons. Therefore, </w:t>
      </w:r>
      <w:proofErr w:type="spellStart"/>
      <w:r>
        <w:t>PiT</w:t>
      </w:r>
      <w:proofErr w:type="spellEnd"/>
      <w:r>
        <w:t xml:space="preserve"> estimates reflect the current economic conditions more than TTC estimates. Consequently, </w:t>
      </w:r>
      <w:proofErr w:type="spellStart"/>
      <w:r>
        <w:t>PiT</w:t>
      </w:r>
      <w:proofErr w:type="spellEnd"/>
      <w:r>
        <w:t xml:space="preserve"> estimates are more volatile and their use in ECL models could lead to increased volatility of loan provisions. Furthermore, as economic conditions worsen, PDs will increase </w:t>
      </w:r>
      <w:proofErr w:type="gramStart"/>
      <w:r>
        <w:t>dramatically</w:t>
      </w:r>
      <w:proofErr w:type="gramEnd"/>
      <w:r>
        <w:t xml:space="preserve"> and this could lead to increases in loan provisions and a steep decline (a cliff) in lending that could trigger a liquidity crisis. On the other hand, TTC estimates are not consistent with IFRS 9 because they consider a </w:t>
      </w:r>
      <w:proofErr w:type="gramStart"/>
      <w:r>
        <w:t>long</w:t>
      </w:r>
      <w:proofErr w:type="gramEnd"/>
      <w:r>
        <w:t xml:space="preserve"> range of possible economic conditions than those expected during reporting dates. Therefore, </w:t>
      </w:r>
      <w:r>
        <w:lastRenderedPageBreak/>
        <w:t>IFRS 9 recommends calculating loss-given-</w:t>
      </w:r>
      <w:proofErr w:type="gramStart"/>
      <w:r>
        <w:t>default</w:t>
      </w:r>
      <w:proofErr w:type="gramEnd"/>
      <w:r>
        <w:t xml:space="preserve"> (LGDs) using the long-run average weighted by the number of defaults. According to Novotny-Farkas (2016), collective loss provisions under </w:t>
      </w:r>
    </w:p>
    <w:p w14:paraId="7E093742" w14:textId="77777777" w:rsidR="009B68EA" w:rsidRDefault="009B1B9B">
      <w:pPr>
        <w:spacing w:after="65" w:line="357" w:lineRule="auto"/>
        <w:ind w:left="-5" w:right="85"/>
      </w:pPr>
      <w:r>
        <w:t>IFRS 9 are only eligible for inclusion in Tier 2 capital if the following conditions are met: (1) they are freely and fully available with regards to the timing and amount to meet the not-</w:t>
      </w:r>
      <w:proofErr w:type="spellStart"/>
      <w:r>
        <w:t>yetmaterialized</w:t>
      </w:r>
      <w:proofErr w:type="spellEnd"/>
      <w:r>
        <w:t xml:space="preserve"> credit risk losses, (2) they represent credit risk losses for a set of exposures where there is no current evidence that a loss has occurred. The authors argue that since IFRS 9 allows for losses (and gains) to be reported before they materialized, banks may have an incentive to invest in risky sovereign assets. This is because, under Basel II, sovereign debt has a risk weighting of zero, therefore, no loan provisions will be required for sovereign debt and there will be no changes in the banks' books even when a counterparty to such an asset default because only </w:t>
      </w:r>
      <w:proofErr w:type="spellStart"/>
      <w:r>
        <w:t>notyet</w:t>
      </w:r>
      <w:proofErr w:type="spellEnd"/>
      <w:r>
        <w:t xml:space="preserve">-materialized credit losses are eligible for inclusion in Tier 2 capital. This shows another avenue whereby IFRS 9 could dramatically increase systematic risk. </w:t>
      </w:r>
    </w:p>
    <w:p w14:paraId="4299D464" w14:textId="77777777" w:rsidR="009B68EA" w:rsidRDefault="009B1B9B">
      <w:pPr>
        <w:pStyle w:val="Heading3"/>
        <w:ind w:left="-5" w:right="0"/>
      </w:pPr>
      <w:bookmarkStart w:id="11" w:name="_Toc138448111"/>
      <w:r>
        <w:t>2.2.</w:t>
      </w:r>
      <w:r>
        <w:rPr>
          <w:rFonts w:ascii="Arial" w:eastAsia="Arial" w:hAnsi="Arial" w:cs="Arial"/>
        </w:rPr>
        <w:t xml:space="preserve"> </w:t>
      </w:r>
      <w:r>
        <w:t>IFRS 9 TRANSITION (CAT) EFFECT ON FINANCIAL STABILITY</w:t>
      </w:r>
      <w:bookmarkEnd w:id="11"/>
      <w:r>
        <w:t xml:space="preserve"> </w:t>
      </w:r>
    </w:p>
    <w:p w14:paraId="2275CC15" w14:textId="77777777" w:rsidR="009B68EA" w:rsidRDefault="009B1B9B">
      <w:pPr>
        <w:spacing w:line="357" w:lineRule="auto"/>
        <w:ind w:left="-5" w:right="85"/>
      </w:pPr>
      <w:r>
        <w:t xml:space="preserve">Several authors such as </w:t>
      </w:r>
      <w:proofErr w:type="spellStart"/>
      <w:r>
        <w:t>Ã‡ollaku</w:t>
      </w:r>
      <w:proofErr w:type="spellEnd"/>
      <w:r>
        <w:t xml:space="preserve"> et al. (2021) and Groff and </w:t>
      </w:r>
      <w:proofErr w:type="spellStart"/>
      <w:r>
        <w:t>Mörec</w:t>
      </w:r>
      <w:proofErr w:type="spellEnd"/>
      <w:r>
        <w:t xml:space="preserve"> (2021) note that there is scant literature on the effect of the IFRS 9 transition on banks due to the recent implementation of the standard. These authors argue that available literature concerns the day-one transition effects of IFRS 9 on regulatory capital and bank profitability. Nevertheless, the available literature is reviewed in this section. </w:t>
      </w:r>
    </w:p>
    <w:p w14:paraId="1C230D9C" w14:textId="77777777" w:rsidR="009B68EA" w:rsidRDefault="009B1B9B">
      <w:pPr>
        <w:spacing w:line="357" w:lineRule="auto"/>
        <w:ind w:left="-5" w:right="85"/>
      </w:pPr>
      <w:r>
        <w:t xml:space="preserve">European Banking Authority (2018) conducted the first study on the effects of IFRS 9 adoption. The authors used a sample of six of the largest UK-based international banks, namely Barclays, HSBC, RBS, LBG, SCB, and San UK. According to the author, following IFRS 9 adoption, loan loss provisions increased at the start of the adoption period (January 2018) ranging from 16.1% to 58.4% leading to a reduction in earnings and regulatory capital. However, according to the authors, bank assets grew over the year, and loan loss provisions decrease by 2.3% to 34.8%. </w:t>
      </w:r>
    </w:p>
    <w:p w14:paraId="07CDD432" w14:textId="77777777" w:rsidR="009B68EA" w:rsidRDefault="009B1B9B">
      <w:pPr>
        <w:spacing w:line="357" w:lineRule="auto"/>
        <w:ind w:left="-5" w:right="85"/>
      </w:pPr>
      <w:r>
        <w:t xml:space="preserve">Using a sample of 6 commercial banks in Kosovo, </w:t>
      </w:r>
      <w:proofErr w:type="spellStart"/>
      <w:r>
        <w:t>Ã‡ollaku</w:t>
      </w:r>
      <w:proofErr w:type="spellEnd"/>
      <w:r>
        <w:t xml:space="preserve"> et al. (2021) studied the effect of </w:t>
      </w:r>
      <w:proofErr w:type="spellStart"/>
      <w:r>
        <w:t>dayone</w:t>
      </w:r>
      <w:proofErr w:type="spellEnd"/>
      <w:r>
        <w:t xml:space="preserve"> IFRS 9 transition on the asset balances, loan loss allowances, and regulatory capital. Results showed that the day-one transition effect of IFRS 9 on asset balances of the sampled banks was a reduction by 11.6 </w:t>
      </w:r>
      <w:proofErr w:type="spellStart"/>
      <w:r>
        <w:t>mn</w:t>
      </w:r>
      <w:proofErr w:type="spellEnd"/>
      <w:r>
        <w:t xml:space="preserve"> Euros, a mere 0.36% of total bank assets. The authors report that out of six banks, five reported an increase in loan loss provisions which was 10.6 </w:t>
      </w:r>
      <w:proofErr w:type="spellStart"/>
      <w:r>
        <w:t>mn</w:t>
      </w:r>
      <w:proofErr w:type="spellEnd"/>
      <w:r>
        <w:t xml:space="preserve"> Euros on average, a 0.32% increase. Furthermore, most of the banks reported a decrease in Tier 2 capital. These results show that the effects of transitioning to IFRS 9 are much less severe than anticipated. </w:t>
      </w:r>
      <w:r>
        <w:lastRenderedPageBreak/>
        <w:t xml:space="preserve">Deloitte (2019) expected an increase in loan loss provisions of about 25% for most banks. However, these results may also be the effects of smoothing, that is, using the discretionary element of ECL models to ensure that the required loan loss allowances are minimal. According to Sánchez Serrano (2018), IFRS 9 requires banks to use “reasonable and supportable” information that is available and relevant at the reporting date, including information about past events, current conditions, and forecasts of future economic conditions when calculating PDs and LGDs. The authors also point out that this mostly applies to banks that use the Standard Approach (SA) of credit risk modeling rather than the Internal Rating-Based (IRB) approach. As a result, it is expected that different banks will experience different effects of the IFRS 9 standard. Taylor and Aubert (2022) argue that this discretionary nature of ECL modeling may allow some managers to smooth income, but it also allows others to be more prudential. Groff and </w:t>
      </w:r>
      <w:proofErr w:type="spellStart"/>
      <w:r>
        <w:t>Mörec</w:t>
      </w:r>
      <w:proofErr w:type="spellEnd"/>
      <w:r>
        <w:t xml:space="preserve"> (2021) studied the day-one effect of IFRS 9 adoption on the equity of 12 commercial banks in Slovenia. Results showed that the </w:t>
      </w:r>
      <w:proofErr w:type="spellStart"/>
      <w:r>
        <w:t>dayone</w:t>
      </w:r>
      <w:proofErr w:type="spellEnd"/>
      <w:r>
        <w:t xml:space="preserve"> transition effect of IFRS 9 implementation on cumulative equity of the Slovenian banks was 10.9 </w:t>
      </w:r>
      <w:proofErr w:type="spellStart"/>
      <w:r>
        <w:t>mn</w:t>
      </w:r>
      <w:proofErr w:type="spellEnd"/>
      <w:r>
        <w:t xml:space="preserve"> Euros, which translated to a 0.04% increase in bank assets. The authors argue that while these results are not consistent with any literature on the expected effects of IFRS 9 adoption, since ECL models use macroeconomic variables, the results from the study, therefore, imply that the models reflect a positive economic outlook that translates to lower loan loss provisions than expected. Taylor and Aubert (2022) studied the effect of IFRS 9 adoption on income smoothing using a sample of European and </w:t>
      </w:r>
      <w:proofErr w:type="spellStart"/>
      <w:r>
        <w:t>Sub-saharan</w:t>
      </w:r>
      <w:proofErr w:type="spellEnd"/>
      <w:r>
        <w:t xml:space="preserve"> African banks. The results showed that for European banks, </w:t>
      </w:r>
      <w:r>
        <w:rPr>
          <w:rFonts w:ascii="Cambria Math" w:eastAsia="Cambria Math" w:hAnsi="Cambria Math" w:cs="Cambria Math"/>
        </w:rPr>
        <w:t>𝐸𝑎𝑟𝑛𝑖𝑛𝑔𝑠 − 𝐵𝑒𝑓𝑜𝑟𝑒 − 𝑇𝑎𝑥(𝐸𝐵𝑇) × 1</w:t>
      </w:r>
      <w:r>
        <w:rPr>
          <w:rFonts w:ascii="Cambria Math" w:eastAsia="Cambria Math" w:hAnsi="Cambria Math" w:cs="Cambria Math"/>
          <w:vertAlign w:val="subscript"/>
        </w:rPr>
        <w:t>𝐼𝐹𝑅𝑆9</w:t>
      </w:r>
      <w:r>
        <w:t xml:space="preserve"> is positive and statistically significant which shows evidence of income smoothing in European banks. The same variable was negative and statistically significant for African banks, giving evidence against income smoothing for SSA banks. The authors argue that the reason for the regional differences in the IFRS 9 adoption and income smoothing nexus for banks was due to differing bank characteristics. According to the author, SSA banks were smaller and owned by less sophisticated investors therefore they were under less pressure to meet earnings targets as compared to the European banks. These results give some early evidence of how the inherent discretion of IFRS 9 could affect financial stability. Evidence from the three studies shows that managers can use ECL models to massage income and to hold less-than-expected loan provisions. Consequently, it is possible that ECL models, rather than reflect underlying risks, may disguise them, and therefore give misleading information about </w:t>
      </w:r>
      <w:r>
        <w:lastRenderedPageBreak/>
        <w:t xml:space="preserve">the financial stability of a banking system. As far as this author’s knowledge goes, no studies have investigated the nexus of IFRS 9 adoption and financial stability directly. </w:t>
      </w:r>
    </w:p>
    <w:p w14:paraId="7E523051" w14:textId="77777777" w:rsidR="009B68EA" w:rsidRDefault="009B1B9B">
      <w:pPr>
        <w:spacing w:after="0"/>
        <w:ind w:left="0" w:right="0" w:firstLine="0"/>
        <w:jc w:val="left"/>
      </w:pPr>
      <w:r>
        <w:t xml:space="preserve"> </w:t>
      </w:r>
      <w:r>
        <w:tab/>
        <w:t xml:space="preserve"> </w:t>
      </w:r>
    </w:p>
    <w:p w14:paraId="42FB130F" w14:textId="77777777" w:rsidR="002C149D" w:rsidRDefault="002C149D">
      <w:pPr>
        <w:spacing w:after="0" w:line="240" w:lineRule="auto"/>
        <w:ind w:left="0" w:right="0" w:firstLine="0"/>
        <w:jc w:val="left"/>
        <w:rPr>
          <w:b/>
          <w:sz w:val="28"/>
          <w:lang w:eastAsia="en-GB" w:bidi="hi-IN"/>
        </w:rPr>
      </w:pPr>
      <w:r>
        <w:br w:type="page"/>
      </w:r>
    </w:p>
    <w:p w14:paraId="32148F6F" w14:textId="16A7EB50" w:rsidR="009B68EA" w:rsidRDefault="009B1B9B">
      <w:pPr>
        <w:pStyle w:val="Heading2"/>
        <w:ind w:left="-5"/>
      </w:pPr>
      <w:bookmarkStart w:id="12" w:name="_Toc138448112"/>
      <w:r>
        <w:lastRenderedPageBreak/>
        <w:t>3.</w:t>
      </w:r>
      <w:r>
        <w:rPr>
          <w:rFonts w:ascii="Arial" w:eastAsia="Arial" w:hAnsi="Arial" w:cs="Arial"/>
        </w:rPr>
        <w:t xml:space="preserve"> </w:t>
      </w:r>
      <w:r>
        <w:t>METHODOLOGY</w:t>
      </w:r>
      <w:bookmarkEnd w:id="12"/>
      <w:r>
        <w:t xml:space="preserve"> </w:t>
      </w:r>
    </w:p>
    <w:p w14:paraId="59CF607A" w14:textId="77777777" w:rsidR="009B68EA" w:rsidRDefault="009B1B9B">
      <w:pPr>
        <w:pStyle w:val="Heading3"/>
        <w:ind w:left="-5" w:right="0"/>
      </w:pPr>
      <w:bookmarkStart w:id="13" w:name="_Toc138448113"/>
      <w:r>
        <w:t>3.1.</w:t>
      </w:r>
      <w:r>
        <w:rPr>
          <w:rFonts w:ascii="Arial" w:eastAsia="Arial" w:hAnsi="Arial" w:cs="Arial"/>
        </w:rPr>
        <w:t xml:space="preserve"> </w:t>
      </w:r>
      <w:r>
        <w:t>INTRODUCTION</w:t>
      </w:r>
      <w:bookmarkEnd w:id="13"/>
      <w:r>
        <w:t xml:space="preserve"> </w:t>
      </w:r>
    </w:p>
    <w:p w14:paraId="03B50948" w14:textId="77777777" w:rsidR="009B68EA" w:rsidRDefault="009B1B9B">
      <w:pPr>
        <w:spacing w:after="64" w:line="358" w:lineRule="auto"/>
        <w:ind w:left="-5" w:right="85"/>
      </w:pPr>
      <w:r>
        <w:t xml:space="preserve"> This study seeks to determine the effects of IFRS 9 adoption, that is, Capital Transition Arrangements (CTA) on systematic risk in Kenya. It aims to determine the effect of the CTA period on the delta CoVaR of the banking industry in Kenya using a sample of all listed commercial banks in Kenya from the period 2012-2022. Furthermore, it seeks to determine the effect of the CTA period on the Marginal Expected Shortfall of listed banks in Kenya using a sample of all listed commercial banks in Kenya from the period 2012-2022. This chapter discusses aspects of the methodology used to conduct the analysis.  </w:t>
      </w:r>
    </w:p>
    <w:p w14:paraId="5331C448" w14:textId="77777777" w:rsidR="009B68EA" w:rsidRDefault="009B1B9B">
      <w:pPr>
        <w:pStyle w:val="Heading3"/>
        <w:ind w:left="-5" w:right="0"/>
      </w:pPr>
      <w:bookmarkStart w:id="14" w:name="_Toc138448114"/>
      <w:r>
        <w:t>3.2.</w:t>
      </w:r>
      <w:r>
        <w:rPr>
          <w:rFonts w:ascii="Arial" w:eastAsia="Arial" w:hAnsi="Arial" w:cs="Arial"/>
        </w:rPr>
        <w:t xml:space="preserve"> </w:t>
      </w:r>
      <w:r>
        <w:t>RESEARCH DESIGN</w:t>
      </w:r>
      <w:bookmarkEnd w:id="14"/>
      <w:r>
        <w:t xml:space="preserve">  </w:t>
      </w:r>
    </w:p>
    <w:p w14:paraId="3743CFAE" w14:textId="77777777" w:rsidR="009B68EA" w:rsidRDefault="009B1B9B">
      <w:pPr>
        <w:spacing w:line="357" w:lineRule="auto"/>
        <w:ind w:left="-5" w:right="85"/>
      </w:pPr>
      <w:r>
        <w:t xml:space="preserve">According to Kothari (2004), research design refers to the arrangement of conditions for the collection and analysis in a manner that seeks to combine adherence to the research's purpose with economy in procedure. Put simply, research design seeks to organize the methods and techniques to be used in the study such that they attain the purpose of the study in an economical way. It is clear from this definition that research design is based on the concept of the "right tool for the right job". This study applies a statistical research design that is concerned with gathering secondary data and applying statistical techniques to arrive at the study's findings. </w:t>
      </w:r>
    </w:p>
    <w:p w14:paraId="3F8311AA" w14:textId="77777777" w:rsidR="009B68EA" w:rsidRDefault="009B1B9B">
      <w:pPr>
        <w:spacing w:line="358" w:lineRule="auto"/>
        <w:ind w:left="-5" w:right="85"/>
      </w:pPr>
      <w:r>
        <w:t xml:space="preserve">This study seeks to test the null hypothesis that IFRS adoption </w:t>
      </w:r>
      <w:proofErr w:type="spellStart"/>
      <w:r>
        <w:t>i.e</w:t>
      </w:r>
      <w:proofErr w:type="spellEnd"/>
      <w:r>
        <w:t xml:space="preserve"> CAT has no effect on systematic risk in Kenya on average. The alternative hypothesis is that CAT has a statistically significant effect on systematic risk in Kenya. The dependent variables are two measures of systematic risk, namely annual marginal expected shortfall (MES) and Delta CoVaR. The independent variable is a dummy variable that takes the value of 1 in the CAT period (2019-2022) and 0 in periods before the CAT took effect. Control variables include variables known to affect systematic risks such as inflation, money supply, and long-term-short-term interest rate differential. </w:t>
      </w:r>
    </w:p>
    <w:p w14:paraId="22497D3A" w14:textId="77777777" w:rsidR="009B68EA" w:rsidRDefault="009B1B9B">
      <w:pPr>
        <w:spacing w:after="65" w:line="357" w:lineRule="auto"/>
        <w:ind w:left="-5" w:right="85"/>
      </w:pPr>
      <w:r>
        <w:t xml:space="preserve">While this study uses a sample of commercial banks to calculate measures of systematic risk, it does not apply a panel design since heterogeneity is only across the time dimension. That is, the measures of systematic risk are based on the sampled commercial banks, but they aggregate the cross-sectional dimension. </w:t>
      </w:r>
    </w:p>
    <w:p w14:paraId="7855E512" w14:textId="77777777" w:rsidR="009B68EA" w:rsidRDefault="009B1B9B">
      <w:pPr>
        <w:pStyle w:val="Heading3"/>
        <w:ind w:left="-5" w:right="0"/>
      </w:pPr>
      <w:bookmarkStart w:id="15" w:name="_Toc138448115"/>
      <w:r>
        <w:t>3.3.</w:t>
      </w:r>
      <w:r>
        <w:rPr>
          <w:rFonts w:ascii="Arial" w:eastAsia="Arial" w:hAnsi="Arial" w:cs="Arial"/>
        </w:rPr>
        <w:t xml:space="preserve"> </w:t>
      </w:r>
      <w:r>
        <w:t>POPULATION AND SAMPLE</w:t>
      </w:r>
      <w:bookmarkEnd w:id="15"/>
      <w:r>
        <w:t xml:space="preserve"> </w:t>
      </w:r>
    </w:p>
    <w:p w14:paraId="1241DCED" w14:textId="77777777" w:rsidR="009B68EA" w:rsidRDefault="009B1B9B">
      <w:pPr>
        <w:spacing w:line="356" w:lineRule="auto"/>
        <w:ind w:left="-5" w:right="85"/>
      </w:pPr>
      <w:r>
        <w:t xml:space="preserve">The population of the study is all the commercial banks in Kenya, both listed and unlisted. According to Statista (2022), there are 39 commercial banks in Kenya of which 20 are local, 17 are foreign subsidiaries and 2 are public banks. Out of this population, 10 Nairobi Securities </w:t>
      </w:r>
      <w:r>
        <w:lastRenderedPageBreak/>
        <w:t xml:space="preserve">Exchange (NSE), listed banks are sampled for this study. This sample is based on data availability, a sampling technique called convenience sampling according to Kothari (2004). This sampling method is based on ease of access to data. This study applies this sampling method because the dependent variables for systematic risk depend on log-returns of the market value of equity (stock prices) which are unavailable for the unlisted commercial banks. The 10 listed banks used in this study are ABSA bank of Kenya, Stanbic bank, Diamond Trust Bank, I&amp;M bank, Equity bank, KCB bank, Standard Chartered Bank of Kenya, Co-operative Bank of Kenya, NCBA Group, and Housing Finance Group. The sample period ranges the 10 years between 2012-2022. </w:t>
      </w:r>
    </w:p>
    <w:p w14:paraId="03C52D78" w14:textId="77777777" w:rsidR="009B68EA" w:rsidRDefault="009B1B9B">
      <w:pPr>
        <w:spacing w:after="65" w:line="357" w:lineRule="auto"/>
        <w:ind w:left="-5" w:right="85"/>
      </w:pPr>
      <w:r>
        <w:t xml:space="preserve">Control variables are obtained from the population of economic variables known to affect systematic risk. Studies document many different variables that affect systematic risk, however, only those which have a large consensus are used in this study, namely, inflation, money supply, and interest rate differentials. This leaves some margin of error where the variation in the dependent variable may not be captured fully by the four explanatory variables. Consequently, this study expects a statistically significant constant. </w:t>
      </w:r>
    </w:p>
    <w:p w14:paraId="3E6DFF01" w14:textId="77777777" w:rsidR="009B68EA" w:rsidRDefault="009B1B9B">
      <w:pPr>
        <w:pStyle w:val="Heading3"/>
        <w:ind w:left="-5" w:right="0"/>
      </w:pPr>
      <w:bookmarkStart w:id="16" w:name="_Toc138448116"/>
      <w:r>
        <w:t>3.4.</w:t>
      </w:r>
      <w:r>
        <w:rPr>
          <w:rFonts w:ascii="Arial" w:eastAsia="Arial" w:hAnsi="Arial" w:cs="Arial"/>
        </w:rPr>
        <w:t xml:space="preserve"> </w:t>
      </w:r>
      <w:r>
        <w:t>DATA COLLECTION</w:t>
      </w:r>
      <w:bookmarkEnd w:id="16"/>
      <w:r>
        <w:t xml:space="preserve"> </w:t>
      </w:r>
    </w:p>
    <w:p w14:paraId="1CDC9BDD" w14:textId="77777777" w:rsidR="009B68EA" w:rsidRDefault="009B1B9B">
      <w:pPr>
        <w:spacing w:after="60" w:line="357" w:lineRule="auto"/>
        <w:ind w:left="-5" w:right="85"/>
      </w:pPr>
      <w:r>
        <w:t xml:space="preserve">Share data was obtained from Refinitiv and the data corresponding to the economic variables was sourced from the World Bank Open data database. This data is secondary data. According to Kothari (2004), secondary data refers to data that is collected by someone else and has been processed and made available for analysis. One of the main disadvantages of such data is that no statements can be made about their measurement errors, however, in this case, trustworthy sources of data are used hence the likelihood of measurement error is low. </w:t>
      </w:r>
    </w:p>
    <w:p w14:paraId="5654203C" w14:textId="77777777" w:rsidR="009B68EA" w:rsidRDefault="009B1B9B">
      <w:pPr>
        <w:pStyle w:val="Heading3"/>
        <w:ind w:left="-5" w:right="0"/>
      </w:pPr>
      <w:bookmarkStart w:id="17" w:name="_Toc138448117"/>
      <w:r>
        <w:t>3.5.</w:t>
      </w:r>
      <w:r>
        <w:rPr>
          <w:rFonts w:ascii="Arial" w:eastAsia="Arial" w:hAnsi="Arial" w:cs="Arial"/>
        </w:rPr>
        <w:t xml:space="preserve"> </w:t>
      </w:r>
      <w:r>
        <w:t>DATA ANALYSIS</w:t>
      </w:r>
      <w:bookmarkEnd w:id="17"/>
      <w:r>
        <w:t xml:space="preserve"> </w:t>
      </w:r>
    </w:p>
    <w:p w14:paraId="74658B6A" w14:textId="77777777" w:rsidR="009B68EA" w:rsidRDefault="009B1B9B">
      <w:pPr>
        <w:pStyle w:val="Heading4"/>
        <w:ind w:left="-5"/>
      </w:pPr>
      <w:r>
        <w:t>3.5.1.</w:t>
      </w:r>
      <w:r>
        <w:rPr>
          <w:rFonts w:ascii="Arial" w:eastAsia="Arial" w:hAnsi="Arial" w:cs="Arial"/>
        </w:rPr>
        <w:t xml:space="preserve"> </w:t>
      </w:r>
      <w:r>
        <w:t xml:space="preserve">STATISTICAL TESTS </w:t>
      </w:r>
    </w:p>
    <w:p w14:paraId="76A257BE" w14:textId="77777777" w:rsidR="009B68EA" w:rsidRDefault="009B1B9B">
      <w:pPr>
        <w:pStyle w:val="Heading5"/>
        <w:ind w:left="-5"/>
      </w:pPr>
      <w:r>
        <w:t>3.5.1.1.</w:t>
      </w:r>
      <w:r>
        <w:rPr>
          <w:rFonts w:ascii="Arial" w:eastAsia="Arial" w:hAnsi="Arial" w:cs="Arial"/>
        </w:rPr>
        <w:t xml:space="preserve"> </w:t>
      </w:r>
      <w:r>
        <w:t xml:space="preserve">COINTEGRATION TESTS </w:t>
      </w:r>
    </w:p>
    <w:p w14:paraId="4D0D0624" w14:textId="77777777" w:rsidR="009B68EA" w:rsidRDefault="009B1B9B">
      <w:pPr>
        <w:spacing w:after="198" w:line="357" w:lineRule="auto"/>
        <w:ind w:left="-5" w:right="85"/>
      </w:pPr>
      <w:r>
        <w:t xml:space="preserve">Cointegration is the presence of a stationary relationship between two variables even though the variables themselves may not be stationary, according to </w:t>
      </w:r>
      <w:proofErr w:type="spellStart"/>
      <w:r>
        <w:t>Asteriou</w:t>
      </w:r>
      <w:proofErr w:type="spellEnd"/>
      <w:r>
        <w:t xml:space="preserve"> and Hall (2021). It follows that the variables move in unison. According to the author, if a linear combination of the variables equals zero, then cointegration is flawless; otherwise, the variables are said to be weakly cointegrated. Cross-sectional units are cointegrated when a panel is cointegrated. Panel cointegration tests are used to look for statistically significant long-term correlations between variables, according to Pedroni (n.d.). The Pedroni test is used to formally test cointegration, according to the </w:t>
      </w:r>
      <w:proofErr w:type="spellStart"/>
      <w:r>
        <w:t>rsal</w:t>
      </w:r>
      <w:proofErr w:type="spellEnd"/>
      <w:r>
        <w:t xml:space="preserve"> (2007, 3) panel. The author claims that the alternative to the null hypothesis, </w:t>
      </w:r>
      <w:r>
        <w:lastRenderedPageBreak/>
        <w:t xml:space="preserve">which states that cointegration does not exist, is cointegration. To ascertain whether there are statistically significant long-run correlations between the variables, this study performs a panel cointegration test. </w:t>
      </w:r>
    </w:p>
    <w:p w14:paraId="07B15F22" w14:textId="77777777" w:rsidR="009B68EA" w:rsidRDefault="009B1B9B">
      <w:pPr>
        <w:pStyle w:val="Heading5"/>
        <w:ind w:left="-5"/>
      </w:pPr>
      <w:r>
        <w:t>3.5.1.2.</w:t>
      </w:r>
      <w:r>
        <w:rPr>
          <w:rFonts w:ascii="Arial" w:eastAsia="Arial" w:hAnsi="Arial" w:cs="Arial"/>
        </w:rPr>
        <w:t xml:space="preserve"> </w:t>
      </w:r>
      <w:r>
        <w:t xml:space="preserve">STATIONARITY TESTS </w:t>
      </w:r>
    </w:p>
    <w:p w14:paraId="3A9B5CD7" w14:textId="77777777" w:rsidR="009B68EA" w:rsidRDefault="009B1B9B">
      <w:pPr>
        <w:spacing w:after="291" w:line="354" w:lineRule="auto"/>
        <w:ind w:left="-5" w:right="85"/>
      </w:pPr>
      <w:proofErr w:type="spellStart"/>
      <w:r>
        <w:t>Asteriou</w:t>
      </w:r>
      <w:proofErr w:type="spellEnd"/>
      <w:r>
        <w:t xml:space="preserve"> and Hall (2021) provide the following definition of unit-root stationarity. Think about the AR (1) model: </w:t>
      </w:r>
    </w:p>
    <w:p w14:paraId="75457480" w14:textId="77777777" w:rsidR="009B68EA" w:rsidRDefault="009B1B9B">
      <w:pPr>
        <w:spacing w:after="309"/>
        <w:ind w:left="460" w:right="660"/>
        <w:jc w:val="center"/>
      </w:pPr>
      <w:r>
        <w:rPr>
          <w:rFonts w:ascii="Cambria Math" w:eastAsia="Cambria Math" w:hAnsi="Cambria Math" w:cs="Cambria Math"/>
        </w:rPr>
        <w:t>𝑦</w:t>
      </w:r>
      <w:r>
        <w:rPr>
          <w:rFonts w:ascii="Cambria Math" w:eastAsia="Cambria Math" w:hAnsi="Cambria Math" w:cs="Cambria Math"/>
          <w:sz w:val="17"/>
        </w:rPr>
        <w:t xml:space="preserve">𝑡 </w:t>
      </w:r>
      <w:r>
        <w:rPr>
          <w:rFonts w:ascii="Cambria Math" w:eastAsia="Cambria Math" w:hAnsi="Cambria Math" w:cs="Cambria Math"/>
        </w:rPr>
        <w:t>= 𝜙𝑦</w:t>
      </w:r>
      <w:r>
        <w:rPr>
          <w:rFonts w:ascii="Cambria Math" w:eastAsia="Cambria Math" w:hAnsi="Cambria Math" w:cs="Cambria Math"/>
          <w:sz w:val="17"/>
        </w:rPr>
        <w:t xml:space="preserve">𝑡−1 </w:t>
      </w:r>
      <w:r>
        <w:rPr>
          <w:rFonts w:ascii="Cambria Math" w:eastAsia="Cambria Math" w:hAnsi="Cambria Math" w:cs="Cambria Math"/>
        </w:rPr>
        <w:t>+ 𝑒</w:t>
      </w:r>
      <w:r>
        <w:rPr>
          <w:rFonts w:ascii="Cambria Math" w:eastAsia="Cambria Math" w:hAnsi="Cambria Math" w:cs="Cambria Math"/>
          <w:sz w:val="17"/>
        </w:rPr>
        <w:t>𝑡</w:t>
      </w:r>
      <w:r>
        <w:t xml:space="preserve"> </w:t>
      </w:r>
    </w:p>
    <w:p w14:paraId="04934EE3" w14:textId="77777777" w:rsidR="009B68EA" w:rsidRDefault="009B1B9B">
      <w:pPr>
        <w:spacing w:after="190" w:line="370" w:lineRule="auto"/>
        <w:ind w:left="-5" w:right="85"/>
      </w:pPr>
      <w:r>
        <w:t xml:space="preserve">where </w:t>
      </w:r>
      <w:r>
        <w:rPr>
          <w:rFonts w:ascii="Cambria Math" w:eastAsia="Cambria Math" w:hAnsi="Cambria Math" w:cs="Cambria Math"/>
        </w:rPr>
        <w:t>𝑒</w:t>
      </w:r>
      <w:r>
        <w:rPr>
          <w:rFonts w:ascii="Cambria Math" w:eastAsia="Cambria Math" w:hAnsi="Cambria Math" w:cs="Cambria Math"/>
          <w:vertAlign w:val="subscript"/>
        </w:rPr>
        <w:t>𝑡</w:t>
      </w:r>
      <w:r>
        <w:t xml:space="preserve"> is white noise. If </w:t>
      </w:r>
      <w:r>
        <w:rPr>
          <w:rFonts w:ascii="Cambria Math" w:eastAsia="Cambria Math" w:hAnsi="Cambria Math" w:cs="Cambria Math"/>
        </w:rPr>
        <w:t>|𝜙| &lt; 1</w:t>
      </w:r>
      <w:r>
        <w:t xml:space="preserve">, then the series is stationary, if </w:t>
      </w:r>
      <w:r>
        <w:rPr>
          <w:rFonts w:ascii="Cambria Math" w:eastAsia="Cambria Math" w:hAnsi="Cambria Math" w:cs="Cambria Math"/>
        </w:rPr>
        <w:t>|𝜙| &gt; 1</w:t>
      </w:r>
      <w:r>
        <w:t xml:space="preserve"> the series is explosive, and if </w:t>
      </w:r>
      <w:r>
        <w:rPr>
          <w:rFonts w:ascii="Cambria Math" w:eastAsia="Cambria Math" w:hAnsi="Cambria Math" w:cs="Cambria Math"/>
        </w:rPr>
        <w:t>|𝜙| = 1</w:t>
      </w:r>
      <w:r>
        <w:t xml:space="preserve">, the series contains a unit root and is non-stationary. The unit-root stationarity of each individual series in the panel is tested using the panel unit root. The most widely used panel unit-root tests are Levin, Lin, and James Chu (2002), Choi (2001), </w:t>
      </w:r>
      <w:proofErr w:type="spellStart"/>
      <w:r>
        <w:t>Im</w:t>
      </w:r>
      <w:proofErr w:type="spellEnd"/>
      <w:r>
        <w:t xml:space="preserve">, </w:t>
      </w:r>
      <w:proofErr w:type="spellStart"/>
      <w:r>
        <w:t>Pesaran</w:t>
      </w:r>
      <w:proofErr w:type="spellEnd"/>
      <w:r>
        <w:t xml:space="preserve">, and Shin (2003). </w:t>
      </w:r>
    </w:p>
    <w:p w14:paraId="2245FBA9" w14:textId="77777777" w:rsidR="009B68EA" w:rsidRDefault="009B1B9B">
      <w:pPr>
        <w:pStyle w:val="Heading4"/>
        <w:spacing w:after="155"/>
        <w:ind w:left="-5"/>
      </w:pPr>
      <w:r>
        <w:t>3.5.2.</w:t>
      </w:r>
      <w:r>
        <w:rPr>
          <w:rFonts w:ascii="Arial" w:eastAsia="Arial" w:hAnsi="Arial" w:cs="Arial"/>
        </w:rPr>
        <w:t xml:space="preserve"> </w:t>
      </w:r>
      <w:r>
        <w:t xml:space="preserve">PANEL REGRESSION MODEL </w:t>
      </w:r>
    </w:p>
    <w:p w14:paraId="1B766B63" w14:textId="34E90EB7" w:rsidR="00A82DD6" w:rsidRPr="00A82DD6" w:rsidRDefault="00A82DD6" w:rsidP="00A82DD6">
      <w:pPr>
        <w:pStyle w:val="FirstParagraph"/>
        <w:spacing w:line="360" w:lineRule="auto"/>
        <w:jc w:val="both"/>
        <w:rPr>
          <w:rFonts w:ascii="Times New Roman" w:hAnsi="Times New Roman" w:cs="Times New Roman"/>
        </w:rPr>
      </w:pPr>
      <w:r w:rsidRPr="00A82DD6">
        <w:rPr>
          <w:rFonts w:ascii="Times New Roman" w:hAnsi="Times New Roman" w:cs="Times New Roman"/>
        </w:rPr>
        <w:t xml:space="preserve">This study employed a pooled mean group (PMG) panel model to investigate the relationship between systematic risk, measured by marginal expected shortfall (MES) and CoVaR, and several independent variables: Capital Transitional Arrangements (CTA), Inflation, log of broad money, and log of total assets. The PMG model is a well-known technique for analyzing panel data, which combines both the advantages of the pooled OLS and the mean group (MG) </w:t>
      </w:r>
      <w:proofErr w:type="gramStart"/>
      <w:r w:rsidRPr="00A82DD6">
        <w:rPr>
          <w:rFonts w:ascii="Times New Roman" w:hAnsi="Times New Roman" w:cs="Times New Roman"/>
        </w:rPr>
        <w:t>estimators(</w:t>
      </w:r>
      <w:proofErr w:type="spellStart"/>
      <w:proofErr w:type="gramEnd"/>
      <w:r w:rsidRPr="00A82DD6">
        <w:rPr>
          <w:rFonts w:ascii="Times New Roman" w:hAnsi="Times New Roman" w:cs="Times New Roman"/>
        </w:rPr>
        <w:t>Pesaran</w:t>
      </w:r>
      <w:proofErr w:type="spellEnd"/>
      <w:r w:rsidRPr="00A82DD6">
        <w:rPr>
          <w:rFonts w:ascii="Times New Roman" w:hAnsi="Times New Roman" w:cs="Times New Roman"/>
        </w:rPr>
        <w:t>, Shin and Smith, 1999).</w:t>
      </w:r>
    </w:p>
    <w:p w14:paraId="5E5632BC" w14:textId="280F57BB" w:rsidR="00A82DD6" w:rsidRPr="00A82DD6" w:rsidRDefault="00A82DD6" w:rsidP="00A82DD6">
      <w:pPr>
        <w:pStyle w:val="BodyText"/>
        <w:spacing w:line="360" w:lineRule="auto"/>
        <w:jc w:val="both"/>
        <w:rPr>
          <w:rFonts w:ascii="Times New Roman" w:hAnsi="Times New Roman" w:cs="Times New Roman"/>
        </w:rPr>
      </w:pPr>
      <w:r w:rsidRPr="00A82DD6">
        <w:rPr>
          <w:rFonts w:ascii="Times New Roman" w:hAnsi="Times New Roman" w:cs="Times New Roman"/>
        </w:rPr>
        <w:t xml:space="preserve">The PMG model combines the pooled OLS estimator and the MG estimator to account for the heterogeneity across individual entities while allowing for parameter heterogeneity across </w:t>
      </w:r>
      <w:proofErr w:type="gramStart"/>
      <w:r w:rsidRPr="00A82DD6">
        <w:rPr>
          <w:rFonts w:ascii="Times New Roman" w:hAnsi="Times New Roman" w:cs="Times New Roman"/>
        </w:rPr>
        <w:t>time(</w:t>
      </w:r>
      <w:proofErr w:type="spellStart"/>
      <w:proofErr w:type="gramEnd"/>
      <w:r w:rsidRPr="00A82DD6">
        <w:rPr>
          <w:rFonts w:ascii="Times New Roman" w:hAnsi="Times New Roman" w:cs="Times New Roman"/>
        </w:rPr>
        <w:t>Pesaran</w:t>
      </w:r>
      <w:proofErr w:type="spellEnd"/>
      <w:r w:rsidRPr="00A82DD6">
        <w:rPr>
          <w:rFonts w:ascii="Times New Roman" w:hAnsi="Times New Roman" w:cs="Times New Roman"/>
        </w:rPr>
        <w:t>, Shin and Smith, 1999; Pesaran, 2006). This approach effectively addresses both the omitted variables bias and the endogeneity issues that are prevalent in traditional panel data models.</w:t>
      </w:r>
    </w:p>
    <w:p w14:paraId="4FB15A69" w14:textId="77777777" w:rsidR="009B68EA" w:rsidRDefault="009B1B9B">
      <w:pPr>
        <w:pStyle w:val="Heading5"/>
        <w:ind w:left="-5"/>
      </w:pPr>
      <w:r>
        <w:t>3.5.2.1.</w:t>
      </w:r>
      <w:r>
        <w:rPr>
          <w:rFonts w:ascii="Arial" w:eastAsia="Arial" w:hAnsi="Arial" w:cs="Arial"/>
        </w:rPr>
        <w:t xml:space="preserve"> </w:t>
      </w:r>
      <w:r>
        <w:t xml:space="preserve">EXPERIMENTAL SET UP </w:t>
      </w:r>
    </w:p>
    <w:p w14:paraId="2BD613C1" w14:textId="029CC61D" w:rsidR="00A82DD6" w:rsidRPr="00271CC7" w:rsidRDefault="00A82DD6" w:rsidP="00A82DD6">
      <w:pPr>
        <w:pStyle w:val="BodyText"/>
        <w:rPr>
          <w:rFonts w:ascii="Times New Roman" w:hAnsi="Times New Roman" w:cs="Times New Roman"/>
        </w:rPr>
      </w:pPr>
      <w:r w:rsidRPr="00271CC7">
        <w:rPr>
          <w:rFonts w:ascii="Times New Roman" w:hAnsi="Times New Roman" w:cs="Times New Roman"/>
        </w:rPr>
        <w:t>The dependent variable, MES, represents the focus of our analysis. The independent variables are as follows:</w:t>
      </w:r>
    </w:p>
    <w:p w14:paraId="4EC092E0" w14:textId="1F0E1748" w:rsidR="00A82DD6" w:rsidRPr="00271CC7" w:rsidRDefault="00A82DD6" w:rsidP="00A82DD6">
      <w:pPr>
        <w:pStyle w:val="BodyText"/>
        <w:rPr>
          <w:rFonts w:ascii="Times New Roman" w:hAnsi="Times New Roman" w:cs="Times New Roman"/>
        </w:rPr>
      </w:pPr>
      <w:r w:rsidRPr="00271CC7">
        <w:rPr>
          <w:rFonts w:ascii="Times New Roman" w:hAnsi="Times New Roman" w:cs="Times New Roman"/>
        </w:rPr>
        <w:t>CTA: This variable captures a specific characteristic or factor of interest in our study. It is a dummy variable that is 0 prior to the Capital Transitional Arrangement period and 1 during this period.</w:t>
      </w:r>
    </w:p>
    <w:p w14:paraId="4CCF8B51" w14:textId="77777777" w:rsidR="00A82DD6" w:rsidRPr="00271CC7" w:rsidRDefault="00A82DD6" w:rsidP="00A82DD6">
      <w:pPr>
        <w:pStyle w:val="BodyText"/>
        <w:rPr>
          <w:rFonts w:ascii="Times New Roman" w:hAnsi="Times New Roman" w:cs="Times New Roman"/>
        </w:rPr>
      </w:pPr>
      <w:r w:rsidRPr="00271CC7">
        <w:rPr>
          <w:rFonts w:ascii="Times New Roman" w:hAnsi="Times New Roman" w:cs="Times New Roman"/>
        </w:rPr>
        <w:lastRenderedPageBreak/>
        <w:t>Inflation: This variable represents the rate of inflation, which can potentially influence the dependent variable.</w:t>
      </w:r>
    </w:p>
    <w:p w14:paraId="51208A80" w14:textId="06B3631E" w:rsidR="00A82DD6" w:rsidRPr="00271CC7" w:rsidRDefault="00A82DD6" w:rsidP="00A82DD6">
      <w:pPr>
        <w:pStyle w:val="BodyText"/>
        <w:rPr>
          <w:rFonts w:ascii="Times New Roman" w:hAnsi="Times New Roman" w:cs="Times New Roman"/>
        </w:rPr>
      </w:pPr>
      <m:oMath>
        <m:r>
          <m:rPr>
            <m:sty m:val="p"/>
          </m:rPr>
          <w:rPr>
            <w:rFonts w:ascii="Cambria Math" w:hAnsi="Cambria Math" w:cs="Times New Roman"/>
          </w:rPr>
          <m:t>log</m:t>
        </m:r>
        <m:d>
          <m:dPr>
            <m:ctrlPr>
              <w:rPr>
                <w:rFonts w:ascii="Cambria Math" w:hAnsi="Cambria Math" w:cs="Times New Roman"/>
              </w:rPr>
            </m:ctrlPr>
          </m:dPr>
          <m:e>
            <m:r>
              <w:rPr>
                <w:rFonts w:ascii="Cambria Math" w:hAnsi="Cambria Math" w:cs="Times New Roman"/>
              </w:rPr>
              <m:t>broad</m:t>
            </m:r>
            <m:r>
              <m:rPr>
                <m:sty m:val="p"/>
              </m:rPr>
              <w:rPr>
                <w:rFonts w:ascii="Cambria Math" w:hAnsi="Cambria Math" w:cs="Times New Roman"/>
              </w:rPr>
              <m:t xml:space="preserve"> </m:t>
            </m:r>
            <m:r>
              <w:rPr>
                <w:rFonts w:ascii="Cambria Math" w:hAnsi="Cambria Math" w:cs="Times New Roman"/>
              </w:rPr>
              <m:t>money</m:t>
            </m:r>
          </m:e>
        </m:d>
      </m:oMath>
      <w:r w:rsidRPr="00271CC7">
        <w:rPr>
          <w:rFonts w:ascii="Times New Roman" w:hAnsi="Times New Roman" w:cs="Times New Roman"/>
        </w:rPr>
        <w:t>: We used the logarithm of the variable “broad money” to account for its potential non-linear relationship with the dependent variable.</w:t>
      </w:r>
    </w:p>
    <w:p w14:paraId="686E35CD" w14:textId="02274D4A" w:rsidR="00A82DD6" w:rsidRPr="00271CC7" w:rsidRDefault="00A82DD6" w:rsidP="00A82DD6">
      <w:pPr>
        <w:pStyle w:val="BodyText"/>
        <w:rPr>
          <w:rFonts w:ascii="Times New Roman" w:hAnsi="Times New Roman" w:cs="Times New Roman"/>
        </w:rPr>
      </w:pPr>
      <m:oMath>
        <m:r>
          <m:rPr>
            <m:sty m:val="p"/>
          </m:rPr>
          <w:rPr>
            <w:rFonts w:ascii="Cambria Math" w:hAnsi="Cambria Math" w:cs="Times New Roman"/>
          </w:rPr>
          <m:t>log</m:t>
        </m:r>
        <m:d>
          <m:dPr>
            <m:ctrlPr>
              <w:rPr>
                <w:rFonts w:ascii="Cambria Math" w:hAnsi="Cambria Math" w:cs="Times New Roman"/>
              </w:rPr>
            </m:ctrlPr>
          </m:dPr>
          <m:e>
            <m:r>
              <w:rPr>
                <w:rFonts w:ascii="Cambria Math" w:hAnsi="Cambria Math" w:cs="Times New Roman"/>
              </w:rPr>
              <m:t>Total</m:t>
            </m:r>
            <m:r>
              <m:rPr>
                <m:sty m:val="p"/>
              </m:rPr>
              <w:rPr>
                <w:rFonts w:ascii="Cambria Math" w:hAnsi="Cambria Math" w:cs="Times New Roman"/>
              </w:rPr>
              <m:t xml:space="preserve"> </m:t>
            </m:r>
            <m:r>
              <w:rPr>
                <w:rFonts w:ascii="Cambria Math" w:hAnsi="Cambria Math" w:cs="Times New Roman"/>
              </w:rPr>
              <m:t>Assets</m:t>
            </m:r>
          </m:e>
        </m:d>
      </m:oMath>
      <w:r w:rsidRPr="00271CC7">
        <w:rPr>
          <w:rFonts w:ascii="Times New Roman" w:hAnsi="Times New Roman" w:cs="Times New Roman"/>
        </w:rPr>
        <w:t xml:space="preserve">: Similarly, we took the logarithm of “Total.Assets” to accommodate any non-linear effects it may have on the dependent variable. </w:t>
      </w:r>
    </w:p>
    <w:p w14:paraId="6712E97D" w14:textId="77777777" w:rsidR="00A82DD6" w:rsidRPr="00271CC7" w:rsidRDefault="00A82DD6" w:rsidP="00A82DD6">
      <w:pPr>
        <w:pStyle w:val="BodyText"/>
        <w:rPr>
          <w:rFonts w:ascii="Times New Roman" w:hAnsi="Times New Roman" w:cs="Times New Roman"/>
        </w:rPr>
      </w:pPr>
      <w:r w:rsidRPr="00271CC7">
        <w:rPr>
          <w:rFonts w:ascii="Times New Roman" w:hAnsi="Times New Roman" w:cs="Times New Roman"/>
        </w:rPr>
        <w:t>The pooled mean group (PMG) panel model can be represented as follows:</w:t>
      </w:r>
    </w:p>
    <w:p w14:paraId="5B944F74" w14:textId="77777777" w:rsidR="00A82DD6" w:rsidRPr="00271CC7" w:rsidRDefault="00A82DD6" w:rsidP="00A82DD6">
      <w:pPr>
        <w:pStyle w:val="BodyText"/>
        <w:rPr>
          <w:rFonts w:ascii="Times New Roman" w:hAnsi="Times New Roman" w:cs="Times New Roman"/>
        </w:rPr>
      </w:pPr>
      <m:oMathPara>
        <m:oMathParaPr>
          <m:jc m:val="center"/>
        </m:oMathParaPr>
        <m:oMath>
          <m:r>
            <w:rPr>
              <w:rFonts w:ascii="Cambria Math" w:hAnsi="Cambria Math" w:cs="Times New Roman"/>
            </w:rPr>
            <m:t>ME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CA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Inflatio</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r>
            <m:rPr>
              <m:sty m:val="p"/>
            </m:rPr>
            <w:rPr>
              <w:rFonts w:ascii="Cambria Math" w:hAnsi="Cambria Math" w:cs="Times New Roman"/>
            </w:rPr>
            <m:t>log</m:t>
          </m:r>
          <m:sSub>
            <m:sSubPr>
              <m:ctrlPr>
                <w:rPr>
                  <w:rFonts w:ascii="Cambria Math" w:hAnsi="Cambria Math" w:cs="Times New Roman"/>
                </w:rPr>
              </m:ctrlPr>
            </m:sSubPr>
            <m:e>
              <m:d>
                <m:dPr>
                  <m:ctrlPr>
                    <w:rPr>
                      <w:rFonts w:ascii="Cambria Math" w:hAnsi="Cambria Math" w:cs="Times New Roman"/>
                    </w:rPr>
                  </m:ctrlPr>
                </m:dPr>
                <m:e>
                  <m:r>
                    <w:rPr>
                      <w:rFonts w:ascii="Cambria Math" w:hAnsi="Cambria Math" w:cs="Times New Roman"/>
                    </w:rPr>
                    <m:t>broad money</m:t>
                  </m:r>
                </m:e>
              </m:d>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4</m:t>
              </m:r>
            </m:sub>
          </m:sSub>
          <m:r>
            <m:rPr>
              <m:sty m:val="p"/>
            </m:rPr>
            <w:rPr>
              <w:rFonts w:ascii="Cambria Math" w:hAnsi="Cambria Math" w:cs="Times New Roman"/>
            </w:rPr>
            <m:t>log</m:t>
          </m:r>
          <m:sSub>
            <m:sSubPr>
              <m:ctrlPr>
                <w:rPr>
                  <w:rFonts w:ascii="Cambria Math" w:hAnsi="Cambria Math" w:cs="Times New Roman"/>
                </w:rPr>
              </m:ctrlPr>
            </m:sSubPr>
            <m:e>
              <m:d>
                <m:dPr>
                  <m:ctrlPr>
                    <w:rPr>
                      <w:rFonts w:ascii="Cambria Math" w:hAnsi="Cambria Math" w:cs="Times New Roman"/>
                    </w:rPr>
                  </m:ctrlPr>
                </m:dPr>
                <m:e>
                  <m:r>
                    <w:rPr>
                      <w:rFonts w:ascii="Cambria Math" w:hAnsi="Cambria Math" w:cs="Times New Roman"/>
                    </w:rPr>
                    <m:t>Total Assets</m:t>
                  </m:r>
                </m:e>
              </m:d>
            </m:e>
            <m:sub>
              <m:r>
                <w:rPr>
                  <w:rFonts w:ascii="Cambria Math" w:hAnsi="Cambria Math" w:cs="Times New Roman"/>
                </w:rPr>
                <m:t>it</m:t>
              </m:r>
            </m:sub>
          </m:sSub>
          <m:r>
            <m:rPr>
              <m:sty m:val="p"/>
            </m:rPr>
            <w:rPr>
              <w:rFonts w:ascii="Cambria Math" w:hAnsi="Cambria Math" w:cs="Times New Roman"/>
            </w:rPr>
            <m:t>+</m:t>
          </m:r>
          <m:r>
            <w:rPr>
              <w:rFonts w:ascii="Cambria Math" w:hAnsi="Cambria Math" w:cs="Times New Roman"/>
            </w:rPr>
            <m:t>epsilo</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it</m:t>
              </m:r>
            </m:sub>
          </m:sSub>
        </m:oMath>
      </m:oMathPara>
    </w:p>
    <w:p w14:paraId="63B8F652" w14:textId="77777777" w:rsidR="00A82DD6" w:rsidRPr="00271CC7" w:rsidRDefault="00A82DD6" w:rsidP="00A82DD6">
      <w:pPr>
        <w:pStyle w:val="FirstParagraph"/>
        <w:rPr>
          <w:rFonts w:ascii="Times New Roman" w:hAnsi="Times New Roman" w:cs="Times New Roman"/>
        </w:rPr>
      </w:pPr>
      <w:r w:rsidRPr="00271CC7">
        <w:rPr>
          <w:rFonts w:ascii="Times New Roman" w:hAnsi="Times New Roman" w:cs="Times New Roman"/>
        </w:rPr>
        <w:t>Where:</w:t>
      </w:r>
    </w:p>
    <w:p w14:paraId="49CE982E" w14:textId="3C9B0688" w:rsidR="00A82DD6" w:rsidRPr="00271CC7" w:rsidRDefault="00A82DD6" w:rsidP="00A82DD6">
      <w:pPr>
        <w:numPr>
          <w:ilvl w:val="0"/>
          <w:numId w:val="3"/>
        </w:numPr>
        <w:spacing w:after="200" w:line="240" w:lineRule="auto"/>
        <w:ind w:right="0"/>
        <w:jc w:val="left"/>
      </w:pPr>
      <m:oMath>
        <m:r>
          <w:rPr>
            <w:rFonts w:ascii="Cambria Math" w:hAnsi="Cambria Math"/>
          </w:rPr>
          <m:t>ME</m:t>
        </m:r>
        <m:sSub>
          <m:sSubPr>
            <m:ctrlPr>
              <w:rPr>
                <w:rFonts w:ascii="Cambria Math" w:hAnsi="Cambria Math"/>
              </w:rPr>
            </m:ctrlPr>
          </m:sSubPr>
          <m:e>
            <m:r>
              <w:rPr>
                <w:rFonts w:ascii="Cambria Math" w:hAnsi="Cambria Math"/>
              </w:rPr>
              <m:t>S</m:t>
            </m:r>
          </m:e>
          <m:sub>
            <m:r>
              <w:rPr>
                <w:rFonts w:ascii="Cambria Math" w:hAnsi="Cambria Math"/>
              </w:rPr>
              <m:t>it</m:t>
            </m:r>
          </m:sub>
        </m:sSub>
      </m:oMath>
      <w:r w:rsidRPr="00271CC7">
        <w:t xml:space="preserve"> is the dependent variable (e.g., market equilibrium score) for individual entity </w:t>
      </w:r>
      <m:oMath>
        <m:r>
          <w:rPr>
            <w:rFonts w:ascii="Cambria Math" w:hAnsi="Cambria Math"/>
          </w:rPr>
          <m:t>i</m:t>
        </m:r>
      </m:oMath>
      <w:r w:rsidRPr="00271CC7">
        <w:t xml:space="preserve"> at period </w:t>
      </w:r>
      <m:oMath>
        <m:r>
          <w:rPr>
            <w:rFonts w:ascii="Cambria Math" w:hAnsi="Cambria Math"/>
          </w:rPr>
          <m:t>t</m:t>
        </m:r>
      </m:oMath>
      <w:r w:rsidRPr="00271CC7">
        <w:t>.</w:t>
      </w:r>
    </w:p>
    <w:p w14:paraId="15B1083C" w14:textId="232489F3" w:rsidR="00A82DD6" w:rsidRPr="00271CC7" w:rsidRDefault="00A82DD6" w:rsidP="00A82DD6">
      <w:pPr>
        <w:numPr>
          <w:ilvl w:val="0"/>
          <w:numId w:val="3"/>
        </w:numPr>
        <w:spacing w:after="200" w:line="240" w:lineRule="auto"/>
        <w:ind w:right="0"/>
        <w:jc w:val="left"/>
      </w:pPr>
      <m:oMath>
        <m:r>
          <w:rPr>
            <w:rFonts w:ascii="Cambria Math" w:hAnsi="Cambria Math"/>
          </w:rPr>
          <m:t>CA</m:t>
        </m:r>
        <m:sSub>
          <m:sSubPr>
            <m:ctrlPr>
              <w:rPr>
                <w:rFonts w:ascii="Cambria Math" w:hAnsi="Cambria Math"/>
              </w:rPr>
            </m:ctrlPr>
          </m:sSubPr>
          <m:e>
            <m:r>
              <w:rPr>
                <w:rFonts w:ascii="Cambria Math" w:hAnsi="Cambria Math"/>
              </w:rPr>
              <m:t>T</m:t>
            </m:r>
          </m:e>
          <m:sub>
            <m:r>
              <w:rPr>
                <w:rFonts w:ascii="Cambria Math" w:hAnsi="Cambria Math"/>
              </w:rPr>
              <m:t>it</m:t>
            </m:r>
          </m:sub>
        </m:sSub>
      </m:oMath>
      <w:r w:rsidRPr="00271CC7">
        <w:t xml:space="preserve"> represents the independent variable capturing a specific characteristic or factor of interest for individual entity </w:t>
      </w:r>
      <m:oMath>
        <m:r>
          <w:rPr>
            <w:rFonts w:ascii="Cambria Math" w:hAnsi="Cambria Math"/>
          </w:rPr>
          <m:t>i</m:t>
        </m:r>
      </m:oMath>
      <w:r w:rsidRPr="00271CC7">
        <w:t xml:space="preserve"> at period </w:t>
      </w:r>
      <m:oMath>
        <m:r>
          <w:rPr>
            <w:rFonts w:ascii="Cambria Math" w:hAnsi="Cambria Math"/>
          </w:rPr>
          <m:t>t</m:t>
        </m:r>
      </m:oMath>
      <w:r w:rsidRPr="00271CC7">
        <w:t>.</w:t>
      </w:r>
    </w:p>
    <w:p w14:paraId="4395B260" w14:textId="12DB2179" w:rsidR="00A82DD6" w:rsidRPr="00271CC7" w:rsidRDefault="00A82DD6" w:rsidP="00A82DD6">
      <w:pPr>
        <w:numPr>
          <w:ilvl w:val="0"/>
          <w:numId w:val="3"/>
        </w:numPr>
        <w:spacing w:after="200" w:line="240" w:lineRule="auto"/>
        <w:ind w:right="0"/>
        <w:jc w:val="left"/>
      </w:pPr>
      <m:oMath>
        <m:r>
          <w:rPr>
            <w:rFonts w:ascii="Cambria Math" w:hAnsi="Cambria Math"/>
          </w:rPr>
          <m:t>Inflatio</m:t>
        </m:r>
        <m:sSub>
          <m:sSubPr>
            <m:ctrlPr>
              <w:rPr>
                <w:rFonts w:ascii="Cambria Math" w:hAnsi="Cambria Math"/>
              </w:rPr>
            </m:ctrlPr>
          </m:sSubPr>
          <m:e>
            <m:r>
              <w:rPr>
                <w:rFonts w:ascii="Cambria Math" w:hAnsi="Cambria Math"/>
              </w:rPr>
              <m:t>n</m:t>
            </m:r>
          </m:e>
          <m:sub>
            <m:r>
              <w:rPr>
                <w:rFonts w:ascii="Cambria Math" w:hAnsi="Cambria Math"/>
              </w:rPr>
              <m:t>it</m:t>
            </m:r>
          </m:sub>
        </m:sSub>
      </m:oMath>
      <w:r w:rsidRPr="00271CC7">
        <w:t xml:space="preserve"> is the independent variable representing the rate of inflation for individual entity </w:t>
      </w:r>
      <m:oMath>
        <m:r>
          <w:rPr>
            <w:rFonts w:ascii="Cambria Math" w:hAnsi="Cambria Math"/>
          </w:rPr>
          <m:t>i</m:t>
        </m:r>
      </m:oMath>
      <w:r w:rsidRPr="00271CC7">
        <w:t xml:space="preserve"> at period </w:t>
      </w:r>
      <m:oMath>
        <m:r>
          <w:rPr>
            <w:rFonts w:ascii="Cambria Math" w:hAnsi="Cambria Math"/>
          </w:rPr>
          <m:t>t</m:t>
        </m:r>
      </m:oMath>
      <w:r w:rsidRPr="00271CC7">
        <w:t>.</w:t>
      </w:r>
    </w:p>
    <w:p w14:paraId="60E8D8C7" w14:textId="4335E87A" w:rsidR="00A82DD6" w:rsidRPr="00271CC7" w:rsidRDefault="00A82DD6" w:rsidP="00A82DD6">
      <w:pPr>
        <w:numPr>
          <w:ilvl w:val="0"/>
          <w:numId w:val="3"/>
        </w:numPr>
        <w:spacing w:after="200" w:line="240" w:lineRule="auto"/>
        <w:ind w:right="0"/>
        <w:jc w:val="left"/>
      </w:pPr>
      <m:oMath>
        <m:r>
          <m:rPr>
            <m:sty m:val="p"/>
          </m:rPr>
          <w:rPr>
            <w:rFonts w:ascii="Cambria Math" w:hAnsi="Cambria Math"/>
          </w:rPr>
          <m:t>log</m:t>
        </m:r>
        <m:d>
          <m:dPr>
            <m:ctrlPr>
              <w:rPr>
                <w:rFonts w:ascii="Cambria Math" w:hAnsi="Cambria Math"/>
              </w:rPr>
            </m:ctrlPr>
          </m:dPr>
          <m:e>
            <m:r>
              <w:rPr>
                <w:rFonts w:ascii="Cambria Math" w:hAnsi="Cambria Math"/>
              </w:rPr>
              <m:t>broad</m:t>
            </m:r>
            <m:r>
              <m:rPr>
                <m:sty m:val="p"/>
              </m:rPr>
              <w:rPr>
                <w:rFonts w:ascii="Cambria Math" w:hAnsi="Cambria Math"/>
              </w:rPr>
              <m:t>.</m:t>
            </m:r>
            <m:r>
              <w:rPr>
                <w:rFonts w:ascii="Cambria Math" w:hAnsi="Cambria Math"/>
              </w:rPr>
              <m:t>mone</m:t>
            </m:r>
            <m:sSub>
              <m:sSubPr>
                <m:ctrlPr>
                  <w:rPr>
                    <w:rFonts w:ascii="Cambria Math" w:hAnsi="Cambria Math"/>
                  </w:rPr>
                </m:ctrlPr>
              </m:sSubPr>
              <m:e>
                <m:r>
                  <w:rPr>
                    <w:rFonts w:ascii="Cambria Math" w:hAnsi="Cambria Math"/>
                  </w:rPr>
                  <m:t>y</m:t>
                </m:r>
              </m:e>
              <m:sub>
                <m:r>
                  <w:rPr>
                    <w:rFonts w:ascii="Cambria Math" w:hAnsi="Cambria Math"/>
                  </w:rPr>
                  <m:t>it</m:t>
                </m:r>
              </m:sub>
            </m:sSub>
          </m:e>
        </m:d>
      </m:oMath>
      <w:r w:rsidRPr="00271CC7">
        <w:t xml:space="preserve"> is the logarithm of the variable “broad</w:t>
      </w:r>
      <w:r w:rsidR="00271CC7" w:rsidRPr="00271CC7">
        <w:t xml:space="preserve"> </w:t>
      </w:r>
      <w:r w:rsidRPr="00271CC7">
        <w:t xml:space="preserve">money” for individual entity </w:t>
      </w:r>
      <m:oMath>
        <m:r>
          <w:rPr>
            <w:rFonts w:ascii="Cambria Math" w:hAnsi="Cambria Math"/>
          </w:rPr>
          <m:t>i</m:t>
        </m:r>
      </m:oMath>
      <w:r w:rsidRPr="00271CC7">
        <w:t xml:space="preserve"> at </w:t>
      </w:r>
      <w:proofErr w:type="gramStart"/>
      <w:r w:rsidRPr="00271CC7">
        <w:t>time period</w:t>
      </w:r>
      <w:proofErr w:type="gramEnd"/>
      <w:r w:rsidRPr="00271CC7">
        <w:t xml:space="preserve"> </w:t>
      </w:r>
      <m:oMath>
        <m:r>
          <w:rPr>
            <w:rFonts w:ascii="Cambria Math" w:hAnsi="Cambria Math"/>
          </w:rPr>
          <m:t>t</m:t>
        </m:r>
      </m:oMath>
      <w:r w:rsidRPr="00271CC7">
        <w:t>.</w:t>
      </w:r>
    </w:p>
    <w:p w14:paraId="5FD12435" w14:textId="68836262" w:rsidR="00A82DD6" w:rsidRPr="00271CC7" w:rsidRDefault="00A82DD6" w:rsidP="00A82DD6">
      <w:pPr>
        <w:numPr>
          <w:ilvl w:val="0"/>
          <w:numId w:val="3"/>
        </w:numPr>
        <w:spacing w:after="200" w:line="240" w:lineRule="auto"/>
        <w:ind w:right="0"/>
        <w:jc w:val="left"/>
      </w:pPr>
      <m:oMath>
        <m:r>
          <m:rPr>
            <m:sty m:val="p"/>
          </m:rPr>
          <w:rPr>
            <w:rFonts w:ascii="Cambria Math" w:hAnsi="Cambria Math"/>
          </w:rPr>
          <m:t>log</m:t>
        </m:r>
        <m:d>
          <m:dPr>
            <m:ctrlPr>
              <w:rPr>
                <w:rFonts w:ascii="Cambria Math" w:hAnsi="Cambria Math"/>
              </w:rPr>
            </m:ctrlPr>
          </m:dPr>
          <m:e>
            <m:r>
              <w:rPr>
                <w:rFonts w:ascii="Cambria Math" w:hAnsi="Cambria Math"/>
              </w:rPr>
              <m:t>Total</m:t>
            </m:r>
            <m:r>
              <m:rPr>
                <m:sty m:val="p"/>
              </m:rPr>
              <w:rPr>
                <w:rFonts w:ascii="Cambria Math" w:hAnsi="Cambria Math"/>
              </w:rPr>
              <m:t>.</m:t>
            </m:r>
            <m:r>
              <w:rPr>
                <w:rFonts w:ascii="Cambria Math" w:hAnsi="Cambria Math"/>
              </w:rPr>
              <m:t>Asset</m:t>
            </m:r>
            <m:sSub>
              <m:sSubPr>
                <m:ctrlPr>
                  <w:rPr>
                    <w:rFonts w:ascii="Cambria Math" w:hAnsi="Cambria Math"/>
                  </w:rPr>
                </m:ctrlPr>
              </m:sSubPr>
              <m:e>
                <m:r>
                  <w:rPr>
                    <w:rFonts w:ascii="Cambria Math" w:hAnsi="Cambria Math"/>
                  </w:rPr>
                  <m:t>s</m:t>
                </m:r>
              </m:e>
              <m:sub>
                <m:r>
                  <w:rPr>
                    <w:rFonts w:ascii="Cambria Math" w:hAnsi="Cambria Math"/>
                  </w:rPr>
                  <m:t>it</m:t>
                </m:r>
              </m:sub>
            </m:sSub>
          </m:e>
        </m:d>
      </m:oMath>
      <w:r w:rsidRPr="00271CC7">
        <w:t xml:space="preserve"> is the logarithm of the variable “Total.Assets” for individual entity </w:t>
      </w:r>
      <m:oMath>
        <m:r>
          <w:rPr>
            <w:rFonts w:ascii="Cambria Math" w:hAnsi="Cambria Math"/>
          </w:rPr>
          <m:t>i</m:t>
        </m:r>
      </m:oMath>
      <w:r w:rsidRPr="00271CC7">
        <w:t xml:space="preserve"> at time </w:t>
      </w:r>
      <m:oMath>
        <m:r>
          <w:rPr>
            <w:rFonts w:ascii="Cambria Math" w:hAnsi="Cambria Math"/>
          </w:rPr>
          <m:t>t</m:t>
        </m:r>
      </m:oMath>
      <w:r w:rsidRPr="00271CC7">
        <w:t>.</w:t>
      </w:r>
    </w:p>
    <w:p w14:paraId="7566DDE4" w14:textId="77777777" w:rsidR="00A82DD6" w:rsidRPr="00271CC7" w:rsidRDefault="00000000" w:rsidP="00A82DD6">
      <w:pPr>
        <w:numPr>
          <w:ilvl w:val="0"/>
          <w:numId w:val="3"/>
        </w:numPr>
        <w:spacing w:after="200" w:line="240" w:lineRule="auto"/>
        <w:ind w:right="0"/>
        <w:jc w:val="left"/>
      </w:pPr>
      <m:oMath>
        <m:sSub>
          <m:sSubPr>
            <m:ctrlPr>
              <w:rPr>
                <w:rFonts w:ascii="Cambria Math" w:hAnsi="Cambria Math"/>
              </w:rPr>
            </m:ctrlPr>
          </m:sSubPr>
          <m:e>
            <m:r>
              <w:rPr>
                <w:rFonts w:ascii="Cambria Math" w:hAnsi="Cambria Math"/>
              </w:rPr>
              <m:t>β</m:t>
            </m:r>
          </m:e>
          <m:sub>
            <m:r>
              <w:rPr>
                <w:rFonts w:ascii="Cambria Math" w:hAnsi="Cambria Math"/>
              </w:rPr>
              <m:t>0</m:t>
            </m:r>
          </m:sub>
        </m:sSub>
      </m:oMath>
      <w:r w:rsidR="00A82DD6" w:rsidRPr="00271CC7">
        <w:t xml:space="preserve"> represents the intercept term.</w:t>
      </w:r>
    </w:p>
    <w:p w14:paraId="065B6F77" w14:textId="77777777" w:rsidR="00A82DD6" w:rsidRPr="00271CC7" w:rsidRDefault="00000000" w:rsidP="00A82DD6">
      <w:pPr>
        <w:numPr>
          <w:ilvl w:val="0"/>
          <w:numId w:val="3"/>
        </w:numPr>
        <w:spacing w:after="200" w:line="240" w:lineRule="auto"/>
        <w:ind w:right="0"/>
        <w:jc w:val="left"/>
      </w:pP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oMath>
      <w:r w:rsidR="00A82DD6" w:rsidRPr="00271CC7">
        <w:t xml:space="preserve"> are the coefficients corresponding to the respective independent variables.</w:t>
      </w:r>
    </w:p>
    <w:p w14:paraId="7CCFD09D" w14:textId="77777777" w:rsidR="00A82DD6" w:rsidRPr="00271CC7" w:rsidRDefault="00000000" w:rsidP="00A82DD6">
      <w:pPr>
        <w:numPr>
          <w:ilvl w:val="0"/>
          <w:numId w:val="3"/>
        </w:numPr>
        <w:spacing w:after="200" w:line="240" w:lineRule="auto"/>
        <w:ind w:right="0"/>
        <w:jc w:val="left"/>
      </w:pPr>
      <m:oMath>
        <m:sSub>
          <m:sSubPr>
            <m:ctrlPr>
              <w:rPr>
                <w:rFonts w:ascii="Cambria Math" w:hAnsi="Cambria Math"/>
              </w:rPr>
            </m:ctrlPr>
          </m:sSubPr>
          <m:e>
            <m:r>
              <w:rPr>
                <w:rFonts w:ascii="Cambria Math" w:hAnsi="Cambria Math"/>
              </w:rPr>
              <m:t>ε</m:t>
            </m:r>
          </m:e>
          <m:sub>
            <m:r>
              <w:rPr>
                <w:rFonts w:ascii="Cambria Math" w:hAnsi="Cambria Math"/>
              </w:rPr>
              <m:t>it</m:t>
            </m:r>
          </m:sub>
        </m:sSub>
      </m:oMath>
      <w:r w:rsidR="00A82DD6" w:rsidRPr="00271CC7">
        <w:t xml:space="preserve"> denotes the error term capturing unobserved factors and random disturbances.</w:t>
      </w:r>
    </w:p>
    <w:p w14:paraId="4B831391" w14:textId="77777777" w:rsidR="00A82DD6" w:rsidRPr="00271CC7" w:rsidRDefault="00A82DD6" w:rsidP="00A82DD6">
      <w:pPr>
        <w:pStyle w:val="BodyText"/>
        <w:rPr>
          <w:rFonts w:ascii="Times New Roman" w:hAnsi="Times New Roman" w:cs="Times New Roman"/>
        </w:rPr>
      </w:pPr>
      <w:r w:rsidRPr="00271CC7">
        <w:rPr>
          <w:rFonts w:ascii="Times New Roman" w:hAnsi="Times New Roman" w:cs="Times New Roman"/>
        </w:rPr>
        <w:t>The pooled mean group panel model relies on several assumptions for valid inference. These assumptions include:</w:t>
      </w:r>
    </w:p>
    <w:p w14:paraId="7E927751" w14:textId="25BA3AE5" w:rsidR="00A82DD6" w:rsidRPr="00271CC7" w:rsidRDefault="00A82DD6" w:rsidP="00A82DD6">
      <w:pPr>
        <w:numPr>
          <w:ilvl w:val="0"/>
          <w:numId w:val="4"/>
        </w:numPr>
        <w:spacing w:after="200" w:line="240" w:lineRule="auto"/>
        <w:ind w:right="0"/>
        <w:jc w:val="left"/>
      </w:pPr>
      <w:r w:rsidRPr="00271CC7">
        <w:t xml:space="preserve">Strict exogeneity: The error term </w:t>
      </w:r>
      <m:oMath>
        <m:sSub>
          <m:sSubPr>
            <m:ctrlPr>
              <w:rPr>
                <w:rFonts w:ascii="Cambria Math" w:hAnsi="Cambria Math"/>
              </w:rPr>
            </m:ctrlPr>
          </m:sSubPr>
          <m:e>
            <m:r>
              <w:rPr>
                <w:rFonts w:ascii="Cambria Math" w:hAnsi="Cambria Math"/>
              </w:rPr>
              <m:t>ϵ</m:t>
            </m:r>
          </m:e>
          <m:sub>
            <m:r>
              <w:rPr>
                <w:rFonts w:ascii="Cambria Math" w:hAnsi="Cambria Math"/>
              </w:rPr>
              <m:t>it</m:t>
            </m:r>
          </m:sub>
        </m:sSub>
      </m:oMath>
      <w:r w:rsidRPr="00271CC7">
        <w:t xml:space="preserve"> is uncorrelated with the independent variables, conditional on the included covariates.</w:t>
      </w:r>
    </w:p>
    <w:p w14:paraId="53F84FDE" w14:textId="77777777" w:rsidR="00A82DD6" w:rsidRPr="00271CC7" w:rsidRDefault="00A82DD6" w:rsidP="00A82DD6">
      <w:pPr>
        <w:numPr>
          <w:ilvl w:val="0"/>
          <w:numId w:val="4"/>
        </w:numPr>
        <w:spacing w:after="200" w:line="240" w:lineRule="auto"/>
        <w:ind w:right="0"/>
        <w:jc w:val="left"/>
      </w:pPr>
      <w:r w:rsidRPr="00271CC7">
        <w:t>No perfect multicollinearity: The independent variables are not perfectly correlated with each other.</w:t>
      </w:r>
    </w:p>
    <w:p w14:paraId="781CD1C9" w14:textId="77777777" w:rsidR="00A82DD6" w:rsidRPr="00271CC7" w:rsidRDefault="00A82DD6" w:rsidP="00A82DD6">
      <w:pPr>
        <w:numPr>
          <w:ilvl w:val="0"/>
          <w:numId w:val="4"/>
        </w:numPr>
        <w:spacing w:after="200" w:line="240" w:lineRule="auto"/>
        <w:ind w:right="0"/>
        <w:jc w:val="left"/>
      </w:pPr>
      <w:r w:rsidRPr="00271CC7">
        <w:t xml:space="preserve">Homoscedasticity: The error term </w:t>
      </w:r>
      <m:oMath>
        <m:sSub>
          <m:sSubPr>
            <m:ctrlPr>
              <w:rPr>
                <w:rFonts w:ascii="Cambria Math" w:hAnsi="Cambria Math"/>
              </w:rPr>
            </m:ctrlPr>
          </m:sSubPr>
          <m:e>
            <m:r>
              <w:rPr>
                <w:rFonts w:ascii="Cambria Math" w:hAnsi="Cambria Math"/>
              </w:rPr>
              <m:t>ϵ</m:t>
            </m:r>
          </m:e>
          <m:sub>
            <m:r>
              <w:rPr>
                <w:rFonts w:ascii="Cambria Math" w:hAnsi="Cambria Math"/>
              </w:rPr>
              <m:t>it</m:t>
            </m:r>
          </m:sub>
        </m:sSub>
      </m:oMath>
      <w:r w:rsidRPr="00271CC7">
        <w:t xml:space="preserve"> has constant variance across all individual entities and time periods.</w:t>
      </w:r>
    </w:p>
    <w:p w14:paraId="04A8F992" w14:textId="77777777" w:rsidR="00A82DD6" w:rsidRPr="00271CC7" w:rsidRDefault="00A82DD6" w:rsidP="00A82DD6">
      <w:pPr>
        <w:numPr>
          <w:ilvl w:val="0"/>
          <w:numId w:val="4"/>
        </w:numPr>
        <w:spacing w:after="200" w:line="240" w:lineRule="auto"/>
        <w:ind w:right="0"/>
        <w:jc w:val="left"/>
      </w:pPr>
      <w:r w:rsidRPr="00271CC7">
        <w:t>No endogeneity: The independent variables are not endogenous, meaning they are not affected by the error term.</w:t>
      </w:r>
    </w:p>
    <w:p w14:paraId="617AF8BB" w14:textId="77777777" w:rsidR="00A82DD6" w:rsidRPr="00271CC7" w:rsidRDefault="00A82DD6" w:rsidP="00A82DD6">
      <w:pPr>
        <w:numPr>
          <w:ilvl w:val="0"/>
          <w:numId w:val="4"/>
        </w:numPr>
        <w:spacing w:after="200" w:line="240" w:lineRule="auto"/>
        <w:ind w:right="0"/>
        <w:jc w:val="left"/>
      </w:pPr>
      <w:r w:rsidRPr="00271CC7">
        <w:lastRenderedPageBreak/>
        <w:t xml:space="preserve">No serial correlation: There is no correlation between the error term </w:t>
      </w:r>
      <m:oMath>
        <m:r>
          <w:rPr>
            <w:rFonts w:ascii="Cambria Math" w:hAnsi="Cambria Math"/>
          </w:rPr>
          <m:t>epsilo</m:t>
        </m:r>
        <m:sSub>
          <m:sSubPr>
            <m:ctrlPr>
              <w:rPr>
                <w:rFonts w:ascii="Cambria Math" w:hAnsi="Cambria Math"/>
              </w:rPr>
            </m:ctrlPr>
          </m:sSubPr>
          <m:e>
            <m:r>
              <w:rPr>
                <w:rFonts w:ascii="Cambria Math" w:hAnsi="Cambria Math"/>
              </w:rPr>
              <m:t>n</m:t>
            </m:r>
          </m:e>
          <m:sub>
            <m:r>
              <w:rPr>
                <w:rFonts w:ascii="Cambria Math" w:hAnsi="Cambria Math"/>
              </w:rPr>
              <m:t>it</m:t>
            </m:r>
          </m:sub>
        </m:sSub>
      </m:oMath>
      <w:r w:rsidRPr="00271CC7">
        <w:t xml:space="preserve"> and its lagged values.</w:t>
      </w:r>
    </w:p>
    <w:p w14:paraId="45A4FB98" w14:textId="77777777" w:rsidR="00A82DD6" w:rsidRPr="00271CC7" w:rsidRDefault="00A82DD6" w:rsidP="00A82DD6">
      <w:pPr>
        <w:numPr>
          <w:ilvl w:val="0"/>
          <w:numId w:val="4"/>
        </w:numPr>
        <w:spacing w:after="200" w:line="240" w:lineRule="auto"/>
        <w:ind w:right="0"/>
        <w:jc w:val="left"/>
      </w:pPr>
      <w:r w:rsidRPr="00271CC7">
        <w:t xml:space="preserve">No individual-specific heteroscedasticity: The error term </w:t>
      </w:r>
      <m:oMath>
        <m:r>
          <w:rPr>
            <w:rFonts w:ascii="Cambria Math" w:hAnsi="Cambria Math"/>
          </w:rPr>
          <m:t>epsilo</m:t>
        </m:r>
        <m:sSub>
          <m:sSubPr>
            <m:ctrlPr>
              <w:rPr>
                <w:rFonts w:ascii="Cambria Math" w:hAnsi="Cambria Math"/>
              </w:rPr>
            </m:ctrlPr>
          </m:sSubPr>
          <m:e>
            <m:r>
              <w:rPr>
                <w:rFonts w:ascii="Cambria Math" w:hAnsi="Cambria Math"/>
              </w:rPr>
              <m:t>n</m:t>
            </m:r>
          </m:e>
          <m:sub>
            <m:r>
              <w:rPr>
                <w:rFonts w:ascii="Cambria Math" w:hAnsi="Cambria Math"/>
              </w:rPr>
              <m:t>it</m:t>
            </m:r>
          </m:sub>
        </m:sSub>
      </m:oMath>
      <w:r w:rsidRPr="00271CC7">
        <w:t xml:space="preserve"> has constant variance for each individual entity, regardless of time.</w:t>
      </w:r>
    </w:p>
    <w:p w14:paraId="6554D201" w14:textId="77777777" w:rsidR="00A82DD6" w:rsidRPr="00271CC7" w:rsidRDefault="00A82DD6" w:rsidP="00A82DD6">
      <w:pPr>
        <w:numPr>
          <w:ilvl w:val="0"/>
          <w:numId w:val="4"/>
        </w:numPr>
        <w:spacing w:after="200" w:line="240" w:lineRule="auto"/>
        <w:ind w:right="0"/>
        <w:jc w:val="left"/>
      </w:pPr>
      <w:r w:rsidRPr="00271CC7">
        <w:t xml:space="preserve">No cross-sectional dependence: The error term </w:t>
      </w:r>
      <m:oMath>
        <m:sSub>
          <m:sSubPr>
            <m:ctrlPr>
              <w:rPr>
                <w:rFonts w:ascii="Cambria Math" w:hAnsi="Cambria Math"/>
              </w:rPr>
            </m:ctrlPr>
          </m:sSubPr>
          <m:e>
            <m:r>
              <w:rPr>
                <w:rFonts w:ascii="Cambria Math" w:hAnsi="Cambria Math"/>
              </w:rPr>
              <m:t>ϵ</m:t>
            </m:r>
          </m:e>
          <m:sub>
            <m:r>
              <w:rPr>
                <w:rFonts w:ascii="Cambria Math" w:hAnsi="Cambria Math"/>
              </w:rPr>
              <m:t>it</m:t>
            </m:r>
          </m:sub>
        </m:sSub>
      </m:oMath>
      <w:r w:rsidRPr="00271CC7">
        <w:t xml:space="preserve"> is not correlated across different individual entities.</w:t>
      </w:r>
    </w:p>
    <w:p w14:paraId="02095DC3" w14:textId="77777777" w:rsidR="00A82DD6" w:rsidRPr="00271CC7" w:rsidRDefault="00A82DD6" w:rsidP="00A82DD6">
      <w:pPr>
        <w:pStyle w:val="FirstParagraph"/>
        <w:rPr>
          <w:rFonts w:ascii="Times New Roman" w:hAnsi="Times New Roman" w:cs="Times New Roman"/>
        </w:rPr>
      </w:pPr>
      <w:r w:rsidRPr="00271CC7">
        <w:rPr>
          <w:rFonts w:ascii="Times New Roman" w:hAnsi="Times New Roman" w:cs="Times New Roman"/>
        </w:rPr>
        <w:t>These assumptions ensure that the estimated coefficients are consistent and asymptotically normally distributed, enabling valid statistical inference and hypothesis testing.</w:t>
      </w:r>
    </w:p>
    <w:p w14:paraId="5723E2CE" w14:textId="77777777" w:rsidR="009B68EA" w:rsidRDefault="009B1B9B">
      <w:pPr>
        <w:pStyle w:val="Heading4"/>
        <w:ind w:left="-5"/>
      </w:pPr>
      <w:r>
        <w:t>3.5.3.</w:t>
      </w:r>
      <w:r>
        <w:rPr>
          <w:rFonts w:ascii="Arial" w:eastAsia="Arial" w:hAnsi="Arial" w:cs="Arial"/>
        </w:rPr>
        <w:t xml:space="preserve"> </w:t>
      </w:r>
      <w:r>
        <w:t xml:space="preserve">MEASURES OF SYSTEMATIC RISK </w:t>
      </w:r>
    </w:p>
    <w:p w14:paraId="16C0DB98" w14:textId="77777777" w:rsidR="009B68EA" w:rsidRDefault="009B1B9B">
      <w:pPr>
        <w:spacing w:after="44" w:line="358" w:lineRule="auto"/>
        <w:ind w:left="-5" w:right="85"/>
      </w:pPr>
      <w:r>
        <w:t xml:space="preserve"> This study uses Marginal Expected Shortfall and Delta CoVaR (Change in Conditional </w:t>
      </w:r>
      <w:proofErr w:type="spellStart"/>
      <w:r>
        <w:t>VaR</w:t>
      </w:r>
      <w:proofErr w:type="spellEnd"/>
      <w:r>
        <w:t xml:space="preserve">) to measure systematic risk. The measures are constructed as described herein.  </w:t>
      </w:r>
    </w:p>
    <w:p w14:paraId="7FB51920" w14:textId="77777777" w:rsidR="009B68EA" w:rsidRDefault="009B1B9B">
      <w:pPr>
        <w:pStyle w:val="Heading5"/>
        <w:ind w:left="-5"/>
      </w:pPr>
      <w:r>
        <w:t>3.5.3.1.</w:t>
      </w:r>
      <w:r>
        <w:rPr>
          <w:rFonts w:ascii="Arial" w:eastAsia="Arial" w:hAnsi="Arial" w:cs="Arial"/>
        </w:rPr>
        <w:t xml:space="preserve"> </w:t>
      </w:r>
      <w:r>
        <w:t xml:space="preserve">Marginal Expected Shortfall (MES)  </w:t>
      </w:r>
    </w:p>
    <w:p w14:paraId="6191E8B1" w14:textId="77777777" w:rsidR="009B68EA" w:rsidRDefault="009B1B9B">
      <w:pPr>
        <w:spacing w:line="389" w:lineRule="auto"/>
        <w:ind w:left="-5" w:right="85"/>
      </w:pPr>
      <w:r>
        <w:t xml:space="preserve">Let </w:t>
      </w:r>
      <w:r>
        <w:rPr>
          <w:rFonts w:ascii="Cambria Math" w:eastAsia="Cambria Math" w:hAnsi="Cambria Math" w:cs="Cambria Math"/>
        </w:rPr>
        <w:t>𝑅</w:t>
      </w:r>
      <w:r>
        <w:t xml:space="preserve"> be the return of the entire banking sector (as estimated by the sampled banks) and let </w:t>
      </w:r>
      <w:r>
        <w:rPr>
          <w:rFonts w:ascii="Cambria Math" w:eastAsia="Cambria Math" w:hAnsi="Cambria Math" w:cs="Cambria Math"/>
        </w:rPr>
        <w:t>𝑟</w:t>
      </w:r>
      <w:r>
        <w:rPr>
          <w:rFonts w:ascii="Cambria Math" w:eastAsia="Cambria Math" w:hAnsi="Cambria Math" w:cs="Cambria Math"/>
          <w:vertAlign w:val="subscript"/>
        </w:rPr>
        <w:t>𝑖</w:t>
      </w:r>
      <w:r>
        <w:t xml:space="preserve"> be the returns of </w:t>
      </w:r>
      <w:proofErr w:type="gramStart"/>
      <w:r>
        <w:t xml:space="preserve">bank </w:t>
      </w:r>
      <w:r>
        <w:rPr>
          <w:rFonts w:ascii="Cambria Math" w:eastAsia="Cambria Math" w:hAnsi="Cambria Math" w:cs="Cambria Math"/>
        </w:rPr>
        <w:t>𝑖</w:t>
      </w:r>
      <w:proofErr w:type="gramEnd"/>
      <w:r>
        <w:t xml:space="preserve">. Then, </w:t>
      </w:r>
      <w:r>
        <w:rPr>
          <w:rFonts w:ascii="Cambria Math" w:eastAsia="Cambria Math" w:hAnsi="Cambria Math" w:cs="Cambria Math"/>
        </w:rPr>
        <w:t>𝑅 = ∑𝑦</w:t>
      </w:r>
      <w:r>
        <w:rPr>
          <w:rFonts w:ascii="Cambria Math" w:eastAsia="Cambria Math" w:hAnsi="Cambria Math" w:cs="Cambria Math"/>
          <w:vertAlign w:val="subscript"/>
        </w:rPr>
        <w:t>𝑖</w:t>
      </w:r>
      <w:r>
        <w:rPr>
          <w:rFonts w:ascii="Cambria Math" w:eastAsia="Cambria Math" w:hAnsi="Cambria Math" w:cs="Cambria Math"/>
        </w:rPr>
        <w:t>𝑟</w:t>
      </w:r>
      <w:r>
        <w:rPr>
          <w:rFonts w:ascii="Cambria Math" w:eastAsia="Cambria Math" w:hAnsi="Cambria Math" w:cs="Cambria Math"/>
          <w:vertAlign w:val="subscript"/>
        </w:rPr>
        <w:t>𝑖</w:t>
      </w:r>
      <w:r>
        <w:t xml:space="preserve"> where </w:t>
      </w:r>
      <w:r>
        <w:rPr>
          <w:rFonts w:ascii="Cambria Math" w:eastAsia="Cambria Math" w:hAnsi="Cambria Math" w:cs="Cambria Math"/>
        </w:rPr>
        <w:t>𝑦</w:t>
      </w:r>
      <w:r>
        <w:rPr>
          <w:rFonts w:ascii="Cambria Math" w:eastAsia="Cambria Math" w:hAnsi="Cambria Math" w:cs="Cambria Math"/>
          <w:vertAlign w:val="subscript"/>
        </w:rPr>
        <w:t>𝑖</w:t>
      </w:r>
      <w:r>
        <w:t xml:space="preserve"> is the weight of bank </w:t>
      </w:r>
      <w:r>
        <w:rPr>
          <w:rFonts w:ascii="Cambria Math" w:eastAsia="Cambria Math" w:hAnsi="Cambria Math" w:cs="Cambria Math"/>
        </w:rPr>
        <w:t>𝑖</w:t>
      </w:r>
      <w:r>
        <w:t xml:space="preserve"> on the banking-sector portfolio </w:t>
      </w:r>
      <w:proofErr w:type="spellStart"/>
      <w:r>
        <w:t>ie</w:t>
      </w:r>
      <w:proofErr w:type="spellEnd"/>
      <w:r>
        <w:t xml:space="preserve">. </w:t>
      </w:r>
    </w:p>
    <w:p w14:paraId="3598C91C" w14:textId="77777777" w:rsidR="009B68EA" w:rsidRDefault="009B1B9B">
      <w:pPr>
        <w:spacing w:after="3"/>
        <w:ind w:left="460" w:right="138"/>
        <w:jc w:val="center"/>
      </w:pPr>
      <w:r>
        <w:rPr>
          <w:rFonts w:ascii="Cambria Math" w:eastAsia="Cambria Math" w:hAnsi="Cambria Math" w:cs="Cambria Math"/>
        </w:rPr>
        <w:t>𝑀𝑎𝑟𝑘𝑒𝑡 𝐶𝑎𝑝𝑖𝑡𝑎𝑙𝑖𝑧𝑎𝑡𝑖𝑜𝑛 𝑜𝑓 𝑏𝑎𝑛𝑘 𝑖</w:t>
      </w:r>
    </w:p>
    <w:p w14:paraId="416805D9" w14:textId="77777777" w:rsidR="009B68EA" w:rsidRDefault="009B1B9B">
      <w:pPr>
        <w:spacing w:after="3"/>
        <w:ind w:left="460" w:right="584"/>
        <w:jc w:val="center"/>
      </w:pPr>
      <w:r>
        <w:rPr>
          <w:rFonts w:ascii="Cambria Math" w:eastAsia="Cambria Math" w:hAnsi="Cambria Math" w:cs="Cambria Math"/>
        </w:rPr>
        <w:t>𝑦</w:t>
      </w:r>
      <w:r>
        <w:rPr>
          <w:rFonts w:ascii="Cambria Math" w:eastAsia="Cambria Math" w:hAnsi="Cambria Math" w:cs="Cambria Math"/>
          <w:vertAlign w:val="subscript"/>
        </w:rPr>
        <w:t xml:space="preserve">𝑖 </w:t>
      </w:r>
      <w:r>
        <w:rPr>
          <w:rFonts w:ascii="Cambria Math" w:eastAsia="Cambria Math" w:hAnsi="Cambria Math" w:cs="Cambria Math"/>
        </w:rPr>
        <w:t xml:space="preserve">= </w:t>
      </w:r>
      <w:r>
        <w:rPr>
          <w:rFonts w:ascii="Calibri" w:eastAsia="Calibri" w:hAnsi="Calibri" w:cs="Calibri"/>
          <w:noProof/>
          <w:sz w:val="22"/>
        </w:rPr>
        <mc:AlternateContent>
          <mc:Choice Requires="wpg">
            <w:drawing>
              <wp:inline distT="0" distB="0" distL="0" distR="0" wp14:anchorId="2A9CC116" wp14:editId="5AA81F8A">
                <wp:extent cx="3506851" cy="9525"/>
                <wp:effectExtent l="0" t="0" r="0" b="0"/>
                <wp:docPr id="35462" name="Group 35462"/>
                <wp:cNvGraphicFramePr/>
                <a:graphic xmlns:a="http://schemas.openxmlformats.org/drawingml/2006/main">
                  <a:graphicData uri="http://schemas.microsoft.com/office/word/2010/wordprocessingGroup">
                    <wpg:wgp>
                      <wpg:cNvGrpSpPr/>
                      <wpg:grpSpPr>
                        <a:xfrm>
                          <a:off x="0" y="0"/>
                          <a:ext cx="3506851" cy="9525"/>
                          <a:chOff x="0" y="0"/>
                          <a:chExt cx="3506851" cy="9525"/>
                        </a:xfrm>
                      </wpg:grpSpPr>
                      <wps:wsp>
                        <wps:cNvPr id="41024" name="Shape 41024"/>
                        <wps:cNvSpPr/>
                        <wps:spPr>
                          <a:xfrm>
                            <a:off x="0" y="0"/>
                            <a:ext cx="3506851" cy="9525"/>
                          </a:xfrm>
                          <a:custGeom>
                            <a:avLst/>
                            <a:gdLst/>
                            <a:ahLst/>
                            <a:cxnLst/>
                            <a:rect l="0" t="0" r="0" b="0"/>
                            <a:pathLst>
                              <a:path w="3506851" h="9525">
                                <a:moveTo>
                                  <a:pt x="0" y="0"/>
                                </a:moveTo>
                                <a:lnTo>
                                  <a:pt x="3506851" y="0"/>
                                </a:lnTo>
                                <a:lnTo>
                                  <a:pt x="350685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462" style="width:276.13pt;height:0.75pt;mso-position-horizontal-relative:char;mso-position-vertical-relative:line" coordsize="35068,95">
                <v:shape id="Shape 41025" style="position:absolute;width:35068;height:95;left:0;top:0;" coordsize="3506851,9525" path="m0,0l3506851,0l3506851,9525l0,9525l0,0">
                  <v:stroke weight="0pt" endcap="flat" joinstyle="miter" miterlimit="10" on="false" color="#000000" opacity="0"/>
                  <v:fill on="true" color="#000000"/>
                </v:shape>
              </v:group>
            </w:pict>
          </mc:Fallback>
        </mc:AlternateContent>
      </w:r>
      <w:r>
        <w:t xml:space="preserve"> </w:t>
      </w:r>
    </w:p>
    <w:p w14:paraId="4EB52508" w14:textId="77777777" w:rsidR="009B68EA" w:rsidRDefault="009B1B9B">
      <w:pPr>
        <w:pStyle w:val="Heading5"/>
        <w:spacing w:after="109"/>
        <w:ind w:left="2136"/>
      </w:pPr>
      <w:r>
        <w:rPr>
          <w:rFonts w:ascii="Cambria Math" w:eastAsia="Cambria Math" w:hAnsi="Cambria Math" w:cs="Cambria Math"/>
          <w:b w:val="0"/>
          <w:i w:val="0"/>
        </w:rPr>
        <w:t>𝑇𝑜𝑡𝑎𝑙 𝑚𝑎𝑟𝑘𝑒𝑡 𝑐𝑎𝑝𝑖𝑡𝑎𝑙𝑖𝑧𝑎𝑡𝑖𝑜𝑛 𝑜𝑓 𝑎𝑙𝑙 𝑠𝑎𝑚𝑝𝑙𝑒𝑑 𝑏𝑎𝑛𝑘𝑠</w:t>
      </w:r>
    </w:p>
    <w:p w14:paraId="165A7D86" w14:textId="77777777" w:rsidR="009B68EA" w:rsidRDefault="009B1B9B">
      <w:pPr>
        <w:spacing w:after="252"/>
        <w:ind w:left="-5" w:right="85"/>
      </w:pPr>
      <w:r>
        <w:t xml:space="preserve">Therefore, from the definition of expected shortfall, we have that: </w:t>
      </w:r>
    </w:p>
    <w:p w14:paraId="288E3A73" w14:textId="77777777" w:rsidR="009B68EA" w:rsidRDefault="009B1B9B">
      <w:pPr>
        <w:tabs>
          <w:tab w:val="center" w:pos="2885"/>
          <w:tab w:val="center" w:pos="4764"/>
        </w:tabs>
        <w:spacing w:after="81"/>
        <w:ind w:left="0" w:right="0" w:firstLine="0"/>
        <w:jc w:val="left"/>
      </w:pPr>
      <w:r>
        <w:rPr>
          <w:rFonts w:ascii="Calibri" w:eastAsia="Calibri" w:hAnsi="Calibri" w:cs="Calibri"/>
          <w:sz w:val="22"/>
        </w:rPr>
        <w:tab/>
      </w:r>
      <w:r>
        <w:rPr>
          <w:rFonts w:ascii="Cambria Math" w:eastAsia="Cambria Math" w:hAnsi="Cambria Math" w:cs="Cambria Math"/>
        </w:rPr>
        <w:t>𝐸𝑆</w:t>
      </w:r>
      <w:r>
        <w:rPr>
          <w:rFonts w:ascii="Cambria Math" w:eastAsia="Cambria Math" w:hAnsi="Cambria Math" w:cs="Cambria Math"/>
          <w:vertAlign w:val="subscript"/>
        </w:rPr>
        <w:t>𝛼</w:t>
      </w:r>
      <w:r>
        <w:rPr>
          <w:rFonts w:ascii="Cambria Math" w:eastAsia="Cambria Math" w:hAnsi="Cambria Math" w:cs="Cambria Math"/>
          <w:vertAlign w:val="subscript"/>
        </w:rPr>
        <w:tab/>
      </w:r>
      <w:r>
        <w:rPr>
          <w:rFonts w:ascii="Cambria Math" w:eastAsia="Cambria Math" w:hAnsi="Cambria Math" w:cs="Cambria Math"/>
        </w:rPr>
        <w:t>= − ∑ 𝑦</w:t>
      </w:r>
      <w:r>
        <w:rPr>
          <w:rFonts w:ascii="Cambria Math" w:eastAsia="Cambria Math" w:hAnsi="Cambria Math" w:cs="Cambria Math"/>
          <w:vertAlign w:val="subscript"/>
        </w:rPr>
        <w:t xml:space="preserve">𝑖 </w:t>
      </w:r>
      <w:r>
        <w:rPr>
          <w:rFonts w:ascii="Cambria Math" w:eastAsia="Cambria Math" w:hAnsi="Cambria Math" w:cs="Cambria Math"/>
        </w:rPr>
        <w:t>𝐸[𝑟</w:t>
      </w:r>
      <w:r>
        <w:rPr>
          <w:rFonts w:ascii="Cambria Math" w:eastAsia="Cambria Math" w:hAnsi="Cambria Math" w:cs="Cambria Math"/>
          <w:vertAlign w:val="subscript"/>
        </w:rPr>
        <w:t>𝑖</w:t>
      </w:r>
      <w:r>
        <w:rPr>
          <w:rFonts w:ascii="Cambria Math" w:eastAsia="Cambria Math" w:hAnsi="Cambria Math" w:cs="Cambria Math"/>
        </w:rPr>
        <w:t>|𝑅 ≤ −𝑉𝑎𝑅</w:t>
      </w:r>
      <w:r>
        <w:rPr>
          <w:rFonts w:ascii="Cambria Math" w:eastAsia="Cambria Math" w:hAnsi="Cambria Math" w:cs="Cambria Math"/>
          <w:vertAlign w:val="subscript"/>
        </w:rPr>
        <w:t>𝛼</w:t>
      </w:r>
      <w:r>
        <w:rPr>
          <w:rFonts w:ascii="Cambria Math" w:eastAsia="Cambria Math" w:hAnsi="Cambria Math" w:cs="Cambria Math"/>
        </w:rPr>
        <w:t>]</w:t>
      </w:r>
    </w:p>
    <w:p w14:paraId="73650D2A" w14:textId="77777777" w:rsidR="009B68EA" w:rsidRDefault="009B1B9B">
      <w:pPr>
        <w:tabs>
          <w:tab w:val="center" w:pos="3956"/>
          <w:tab w:val="center" w:pos="6563"/>
        </w:tabs>
        <w:spacing w:after="134"/>
        <w:ind w:left="0" w:right="0" w:firstLine="0"/>
        <w:jc w:val="left"/>
      </w:pPr>
      <w:r>
        <w:rPr>
          <w:rFonts w:ascii="Calibri" w:eastAsia="Calibri" w:hAnsi="Calibri" w:cs="Calibri"/>
          <w:sz w:val="22"/>
        </w:rPr>
        <w:tab/>
      </w:r>
      <w:r>
        <w:rPr>
          <w:rFonts w:ascii="Cambria Math" w:eastAsia="Cambria Math" w:hAnsi="Cambria Math" w:cs="Cambria Math"/>
          <w:sz w:val="17"/>
        </w:rPr>
        <w:t>𝑖</w:t>
      </w:r>
      <w:r>
        <w:rPr>
          <w:rFonts w:ascii="Cambria Math" w:eastAsia="Cambria Math" w:hAnsi="Cambria Math" w:cs="Cambria Math"/>
          <w:sz w:val="17"/>
        </w:rPr>
        <w:tab/>
      </w:r>
      <w:r>
        <w:t xml:space="preserve"> </w:t>
      </w:r>
    </w:p>
    <w:p w14:paraId="06B6F7BA" w14:textId="77777777" w:rsidR="009B68EA" w:rsidRDefault="009B1B9B">
      <w:pPr>
        <w:spacing w:after="3"/>
        <w:ind w:left="460" w:right="0"/>
        <w:jc w:val="center"/>
      </w:pPr>
      <w:r>
        <w:rPr>
          <w:rFonts w:ascii="Cambria Math" w:eastAsia="Cambria Math" w:hAnsi="Cambria Math" w:cs="Cambria Math"/>
        </w:rPr>
        <w:t>= − ∑ 𝑦</w:t>
      </w:r>
      <w:r>
        <w:rPr>
          <w:rFonts w:ascii="Cambria Math" w:eastAsia="Cambria Math" w:hAnsi="Cambria Math" w:cs="Cambria Math"/>
          <w:vertAlign w:val="subscript"/>
        </w:rPr>
        <w:t xml:space="preserve">𝑖 </w:t>
      </w:r>
      <w:r>
        <w:rPr>
          <w:rFonts w:ascii="Cambria Math" w:eastAsia="Cambria Math" w:hAnsi="Cambria Math" w:cs="Cambria Math"/>
        </w:rPr>
        <w:t>𝐸[𝑟</w:t>
      </w:r>
      <w:r>
        <w:rPr>
          <w:rFonts w:ascii="Cambria Math" w:eastAsia="Cambria Math" w:hAnsi="Cambria Math" w:cs="Cambria Math"/>
          <w:vertAlign w:val="subscript"/>
        </w:rPr>
        <w:t>𝑖</w:t>
      </w:r>
      <w:r>
        <w:rPr>
          <w:rFonts w:ascii="Cambria Math" w:eastAsia="Cambria Math" w:hAnsi="Cambria Math" w:cs="Cambria Math"/>
        </w:rPr>
        <w:t>|∑𝑦</w:t>
      </w:r>
      <w:r>
        <w:rPr>
          <w:rFonts w:ascii="Cambria Math" w:eastAsia="Cambria Math" w:hAnsi="Cambria Math" w:cs="Cambria Math"/>
          <w:vertAlign w:val="subscript"/>
        </w:rPr>
        <w:t>𝑖</w:t>
      </w:r>
      <w:r>
        <w:rPr>
          <w:rFonts w:ascii="Cambria Math" w:eastAsia="Cambria Math" w:hAnsi="Cambria Math" w:cs="Cambria Math"/>
        </w:rPr>
        <w:t>𝑟</w:t>
      </w:r>
      <w:r>
        <w:rPr>
          <w:rFonts w:ascii="Cambria Math" w:eastAsia="Cambria Math" w:hAnsi="Cambria Math" w:cs="Cambria Math"/>
          <w:vertAlign w:val="subscript"/>
        </w:rPr>
        <w:t xml:space="preserve">𝑖 </w:t>
      </w:r>
      <w:r>
        <w:rPr>
          <w:rFonts w:ascii="Cambria Math" w:eastAsia="Cambria Math" w:hAnsi="Cambria Math" w:cs="Cambria Math"/>
        </w:rPr>
        <w:t>≤ −𝑉𝑎𝑅</w:t>
      </w:r>
      <w:r>
        <w:rPr>
          <w:rFonts w:ascii="Cambria Math" w:eastAsia="Cambria Math" w:hAnsi="Cambria Math" w:cs="Cambria Math"/>
          <w:vertAlign w:val="subscript"/>
        </w:rPr>
        <w:t>𝛼</w:t>
      </w:r>
      <w:r>
        <w:rPr>
          <w:rFonts w:ascii="Cambria Math" w:eastAsia="Cambria Math" w:hAnsi="Cambria Math" w:cs="Cambria Math"/>
        </w:rPr>
        <w:t>]</w:t>
      </w:r>
    </w:p>
    <w:p w14:paraId="344A4A9A" w14:textId="77777777" w:rsidR="009B68EA" w:rsidRDefault="009B1B9B">
      <w:pPr>
        <w:spacing w:after="0"/>
        <w:ind w:left="3927" w:right="0" w:firstLine="0"/>
        <w:jc w:val="left"/>
      </w:pPr>
      <w:r>
        <w:rPr>
          <w:rFonts w:ascii="Cambria Math" w:eastAsia="Cambria Math" w:hAnsi="Cambria Math" w:cs="Cambria Math"/>
          <w:sz w:val="17"/>
        </w:rPr>
        <w:t>𝑖</w:t>
      </w:r>
    </w:p>
    <w:p w14:paraId="211CB9FB" w14:textId="77777777" w:rsidR="009B68EA" w:rsidRDefault="009B1B9B">
      <w:pPr>
        <w:spacing w:after="128"/>
        <w:ind w:left="-5" w:right="85"/>
      </w:pPr>
      <w:r>
        <w:t xml:space="preserve">This implies that the sensitivity of bank </w:t>
      </w:r>
      <w:r>
        <w:rPr>
          <w:rFonts w:ascii="Cambria Math" w:eastAsia="Cambria Math" w:hAnsi="Cambria Math" w:cs="Cambria Math"/>
        </w:rPr>
        <w:t>𝑖</w:t>
      </w:r>
      <w:r>
        <w:t xml:space="preserve"> to overall risk of the group is: </w:t>
      </w:r>
    </w:p>
    <w:p w14:paraId="6617A953" w14:textId="77777777" w:rsidR="009B68EA" w:rsidRDefault="009B1B9B">
      <w:pPr>
        <w:spacing w:after="3"/>
        <w:ind w:left="460" w:right="708"/>
        <w:jc w:val="center"/>
      </w:pPr>
      <w:r>
        <w:rPr>
          <w:noProof/>
        </w:rPr>
        <w:drawing>
          <wp:inline distT="0" distB="0" distL="0" distR="0" wp14:anchorId="7ECED3F6" wp14:editId="5FA6749C">
            <wp:extent cx="749808" cy="228600"/>
            <wp:effectExtent l="0" t="0" r="0" b="0"/>
            <wp:docPr id="39973" name="Picture 39973"/>
            <wp:cNvGraphicFramePr/>
            <a:graphic xmlns:a="http://schemas.openxmlformats.org/drawingml/2006/main">
              <a:graphicData uri="http://schemas.openxmlformats.org/drawingml/2006/picture">
                <pic:pic xmlns:pic="http://schemas.openxmlformats.org/drawingml/2006/picture">
                  <pic:nvPicPr>
                    <pic:cNvPr id="39973" name="Picture 39973"/>
                    <pic:cNvPicPr/>
                  </pic:nvPicPr>
                  <pic:blipFill>
                    <a:blip r:embed="rId13"/>
                    <a:stretch>
                      <a:fillRect/>
                    </a:stretch>
                  </pic:blipFill>
                  <pic:spPr>
                    <a:xfrm>
                      <a:off x="0" y="0"/>
                      <a:ext cx="749808" cy="228600"/>
                    </a:xfrm>
                    <a:prstGeom prst="rect">
                      <a:avLst/>
                    </a:prstGeom>
                  </pic:spPr>
                </pic:pic>
              </a:graphicData>
            </a:graphic>
          </wp:inline>
        </w:drawing>
      </w:r>
      <w:r>
        <w:rPr>
          <w:rFonts w:ascii="Cambria Math" w:eastAsia="Cambria Math" w:hAnsi="Cambria Math" w:cs="Cambria Math"/>
        </w:rPr>
        <w:t>[𝑟</w:t>
      </w:r>
      <w:r>
        <w:rPr>
          <w:rFonts w:ascii="Cambria Math" w:eastAsia="Cambria Math" w:hAnsi="Cambria Math" w:cs="Cambria Math"/>
          <w:vertAlign w:val="subscript"/>
        </w:rPr>
        <w:t>𝑖</w:t>
      </w:r>
      <w:r>
        <w:rPr>
          <w:rFonts w:ascii="Cambria Math" w:eastAsia="Cambria Math" w:hAnsi="Cambria Math" w:cs="Cambria Math"/>
        </w:rPr>
        <w:t>|𝑅 ≤ −𝑉𝑎𝑅</w:t>
      </w:r>
      <w:r>
        <w:rPr>
          <w:rFonts w:ascii="Cambria Math" w:eastAsia="Cambria Math" w:hAnsi="Cambria Math" w:cs="Cambria Math"/>
          <w:vertAlign w:val="subscript"/>
        </w:rPr>
        <w:t>𝛼</w:t>
      </w:r>
      <w:r>
        <w:rPr>
          <w:rFonts w:ascii="Cambria Math" w:eastAsia="Cambria Math" w:hAnsi="Cambria Math" w:cs="Cambria Math"/>
        </w:rPr>
        <w:t>] = 𝑀𝐸𝑆</w:t>
      </w:r>
      <w:r>
        <w:rPr>
          <w:rFonts w:ascii="Cambria Math" w:eastAsia="Cambria Math" w:hAnsi="Cambria Math" w:cs="Cambria Math"/>
          <w:vertAlign w:val="subscript"/>
        </w:rPr>
        <w:t>𝛼</w:t>
      </w:r>
      <w:r>
        <w:rPr>
          <w:rFonts w:ascii="Cambria Math" w:eastAsia="Cambria Math" w:hAnsi="Cambria Math" w:cs="Cambria Math"/>
          <w:vertAlign w:val="superscript"/>
        </w:rPr>
        <w:t>𝑖</w:t>
      </w:r>
      <w:r>
        <w:t xml:space="preserve"> </w:t>
      </w:r>
    </w:p>
    <w:p w14:paraId="34C7B882" w14:textId="77777777" w:rsidR="009B68EA" w:rsidRDefault="009B1B9B">
      <w:pPr>
        <w:pStyle w:val="Heading5"/>
        <w:spacing w:after="145"/>
        <w:ind w:left="2872"/>
      </w:pPr>
      <w:r>
        <w:rPr>
          <w:rFonts w:ascii="Cambria Math" w:eastAsia="Cambria Math" w:hAnsi="Cambria Math" w:cs="Cambria Math"/>
          <w:b w:val="0"/>
          <w:i w:val="0"/>
        </w:rPr>
        <w:t>∂𝑦</w:t>
      </w:r>
      <w:r>
        <w:rPr>
          <w:rFonts w:ascii="Cambria Math" w:eastAsia="Cambria Math" w:hAnsi="Cambria Math" w:cs="Cambria Math"/>
          <w:b w:val="0"/>
          <w:i w:val="0"/>
          <w:vertAlign w:val="subscript"/>
        </w:rPr>
        <w:t>𝑖</w:t>
      </w:r>
    </w:p>
    <w:p w14:paraId="6CFE2785" w14:textId="77777777" w:rsidR="009B68EA" w:rsidRDefault="009B1B9B">
      <w:pPr>
        <w:spacing w:after="154"/>
        <w:ind w:left="-5" w:right="85"/>
      </w:pPr>
      <w:r>
        <w:t xml:space="preserve">where </w:t>
      </w:r>
      <w:r>
        <w:rPr>
          <w:rFonts w:ascii="Cambria Math" w:eastAsia="Cambria Math" w:hAnsi="Cambria Math" w:cs="Cambria Math"/>
        </w:rPr>
        <w:t>𝑀𝐸𝑆</w:t>
      </w:r>
      <w:r>
        <w:rPr>
          <w:rFonts w:ascii="Cambria Math" w:eastAsia="Cambria Math" w:hAnsi="Cambria Math" w:cs="Cambria Math"/>
          <w:vertAlign w:val="subscript"/>
        </w:rPr>
        <w:t>𝛼</w:t>
      </w:r>
      <w:r>
        <w:rPr>
          <w:rFonts w:ascii="Cambria Math" w:eastAsia="Cambria Math" w:hAnsi="Cambria Math" w:cs="Cambria Math"/>
          <w:vertAlign w:val="superscript"/>
        </w:rPr>
        <w:t>𝑖</w:t>
      </w:r>
      <w:r>
        <w:t xml:space="preserve"> is the marginal expected shortfall of bank </w:t>
      </w:r>
      <w:r>
        <w:rPr>
          <w:rFonts w:ascii="Cambria Math" w:eastAsia="Cambria Math" w:hAnsi="Cambria Math" w:cs="Cambria Math"/>
        </w:rPr>
        <w:t>𝑖</w:t>
      </w:r>
      <w:r>
        <w:t xml:space="preserve">. </w:t>
      </w:r>
    </w:p>
    <w:p w14:paraId="6D3F006A" w14:textId="77777777" w:rsidR="009B68EA" w:rsidRDefault="009B1B9B">
      <w:pPr>
        <w:spacing w:after="177"/>
        <w:ind w:left="-5" w:right="85"/>
      </w:pPr>
      <w:r>
        <w:t xml:space="preserve">We then have that: </w:t>
      </w:r>
    </w:p>
    <w:p w14:paraId="24FFE050" w14:textId="77777777" w:rsidR="009B68EA" w:rsidRDefault="009B1B9B">
      <w:pPr>
        <w:spacing w:after="144"/>
        <w:ind w:left="460" w:right="666"/>
        <w:jc w:val="center"/>
      </w:pPr>
      <w:r>
        <w:rPr>
          <w:rFonts w:ascii="Cambria Math" w:eastAsia="Cambria Math" w:hAnsi="Cambria Math" w:cs="Cambria Math"/>
        </w:rPr>
        <w:t>𝑆𝐸𝑆 = ∑𝑦</w:t>
      </w:r>
      <w:r>
        <w:rPr>
          <w:rFonts w:ascii="Cambria Math" w:eastAsia="Cambria Math" w:hAnsi="Cambria Math" w:cs="Cambria Math"/>
          <w:vertAlign w:val="subscript"/>
        </w:rPr>
        <w:t xml:space="preserve">𝑖 </w:t>
      </w:r>
      <w:r>
        <w:rPr>
          <w:rFonts w:ascii="Cambria Math" w:eastAsia="Cambria Math" w:hAnsi="Cambria Math" w:cs="Cambria Math"/>
        </w:rPr>
        <w:t>× 𝑀𝐸𝑆</w:t>
      </w:r>
      <w:r>
        <w:rPr>
          <w:rFonts w:ascii="Cambria Math" w:eastAsia="Cambria Math" w:hAnsi="Cambria Math" w:cs="Cambria Math"/>
          <w:vertAlign w:val="subscript"/>
        </w:rPr>
        <w:t>𝛼</w:t>
      </w:r>
      <w:r>
        <w:rPr>
          <w:rFonts w:ascii="Cambria Math" w:eastAsia="Cambria Math" w:hAnsi="Cambria Math" w:cs="Cambria Math"/>
          <w:vertAlign w:val="superscript"/>
        </w:rPr>
        <w:t>𝑖</w:t>
      </w:r>
      <w:r>
        <w:t xml:space="preserve"> </w:t>
      </w:r>
    </w:p>
    <w:p w14:paraId="074D3602" w14:textId="77777777" w:rsidR="009B68EA" w:rsidRDefault="009B1B9B">
      <w:pPr>
        <w:spacing w:after="115"/>
        <w:ind w:left="0" w:right="0" w:firstLine="0"/>
        <w:jc w:val="left"/>
      </w:pPr>
      <w:r>
        <w:rPr>
          <w:i/>
        </w:rPr>
        <w:t xml:space="preserve"> </w:t>
      </w:r>
    </w:p>
    <w:p w14:paraId="381D8F24" w14:textId="77777777" w:rsidR="009B68EA" w:rsidRDefault="009B1B9B">
      <w:pPr>
        <w:spacing w:after="158"/>
        <w:ind w:left="0" w:right="0" w:firstLine="0"/>
        <w:jc w:val="left"/>
      </w:pPr>
      <w:r>
        <w:rPr>
          <w:i/>
        </w:rPr>
        <w:t xml:space="preserve"> </w:t>
      </w:r>
    </w:p>
    <w:p w14:paraId="61093C8E" w14:textId="77777777" w:rsidR="009B68EA" w:rsidRDefault="009B1B9B">
      <w:pPr>
        <w:pStyle w:val="Heading6"/>
        <w:spacing w:after="65"/>
        <w:ind w:left="-5"/>
      </w:pPr>
      <w:r>
        <w:lastRenderedPageBreak/>
        <w:t>3.5.3.2.</w:t>
      </w:r>
      <w:r>
        <w:rPr>
          <w:rFonts w:ascii="Arial" w:eastAsia="Arial" w:hAnsi="Arial" w:cs="Arial"/>
        </w:rPr>
        <w:t xml:space="preserve"> </w:t>
      </w:r>
      <w:r>
        <w:t xml:space="preserve">Delta CoVaR  </w:t>
      </w:r>
    </w:p>
    <w:p w14:paraId="3A6503AE" w14:textId="77777777" w:rsidR="009B68EA" w:rsidRDefault="009B1B9B">
      <w:pPr>
        <w:spacing w:line="484" w:lineRule="auto"/>
        <w:ind w:left="-5" w:right="85"/>
      </w:pPr>
      <w:r w:rsidRPr="00575933">
        <w:rPr>
          <w:lang/>
        </w:rPr>
        <w:t xml:space="preserve">Recall that </w:t>
      </w:r>
      <w:r w:rsidRPr="00575933">
        <w:rPr>
          <w:rFonts w:ascii="Cambria Math" w:eastAsia="Cambria Math" w:hAnsi="Cambria Math" w:cs="Cambria Math"/>
          <w:lang/>
        </w:rPr>
        <w:t>𝑉𝑎𝑅</w:t>
      </w:r>
      <w:r w:rsidRPr="00575933">
        <w:rPr>
          <w:rFonts w:ascii="Cambria Math" w:eastAsia="Cambria Math" w:hAnsi="Cambria Math" w:cs="Cambria Math"/>
          <w:vertAlign w:val="subscript"/>
          <w:lang/>
        </w:rPr>
        <w:t>𝑞</w:t>
      </w:r>
      <w:r w:rsidRPr="00575933">
        <w:rPr>
          <w:rFonts w:ascii="Cambria Math" w:eastAsia="Cambria Math" w:hAnsi="Cambria Math" w:cs="Cambria Math"/>
          <w:vertAlign w:val="superscript"/>
          <w:lang/>
        </w:rPr>
        <w:t>𝑖</w:t>
      </w:r>
      <w:r w:rsidRPr="00575933">
        <w:rPr>
          <w:lang/>
        </w:rPr>
        <w:t xml:space="preserve"> is the q-quantile i.e </w:t>
      </w:r>
      <w:r w:rsidRPr="00575933">
        <w:rPr>
          <w:rFonts w:ascii="Cambria Math" w:eastAsia="Cambria Math" w:hAnsi="Cambria Math" w:cs="Cambria Math"/>
          <w:lang/>
        </w:rPr>
        <w:t>𝑃𝑟(𝑋</w:t>
      </w:r>
      <w:r w:rsidRPr="00575933">
        <w:rPr>
          <w:rFonts w:ascii="Cambria Math" w:eastAsia="Cambria Math" w:hAnsi="Cambria Math" w:cs="Cambria Math"/>
          <w:vertAlign w:val="superscript"/>
          <w:lang/>
        </w:rPr>
        <w:t xml:space="preserve">𝑖 </w:t>
      </w:r>
      <w:r w:rsidRPr="00575933">
        <w:rPr>
          <w:rFonts w:ascii="Cambria Math" w:eastAsia="Cambria Math" w:hAnsi="Cambria Math" w:cs="Cambria Math"/>
          <w:lang/>
        </w:rPr>
        <w:t>≤ 𝑉𝑎𝑅</w:t>
      </w:r>
      <w:r w:rsidRPr="00575933">
        <w:rPr>
          <w:rFonts w:ascii="Cambria Math" w:eastAsia="Cambria Math" w:hAnsi="Cambria Math" w:cs="Cambria Math"/>
          <w:vertAlign w:val="subscript"/>
          <w:lang/>
        </w:rPr>
        <w:t>𝑞</w:t>
      </w:r>
      <w:r w:rsidRPr="00575933">
        <w:rPr>
          <w:rFonts w:ascii="Cambria Math" w:eastAsia="Cambria Math" w:hAnsi="Cambria Math" w:cs="Cambria Math"/>
          <w:vertAlign w:val="superscript"/>
          <w:lang/>
        </w:rPr>
        <w:t xml:space="preserve">𝑖 </w:t>
      </w:r>
      <w:r w:rsidRPr="00575933">
        <w:rPr>
          <w:rFonts w:ascii="Cambria Math" w:eastAsia="Cambria Math" w:hAnsi="Cambria Math" w:cs="Cambria Math"/>
          <w:lang/>
        </w:rPr>
        <w:t>) = 𝑞</w:t>
      </w:r>
      <w:r w:rsidRPr="00575933">
        <w:rPr>
          <w:lang/>
        </w:rPr>
        <w:t xml:space="preserve">. </w:t>
      </w:r>
      <w:r>
        <w:t xml:space="preserve">Now, denote by </w:t>
      </w:r>
      <w:r>
        <w:rPr>
          <w:rFonts w:ascii="Cambria Math" w:eastAsia="Cambria Math" w:hAnsi="Cambria Math" w:cs="Cambria Math"/>
        </w:rPr>
        <w:t>𝐶𝑜𝑉𝑎𝑅</w:t>
      </w:r>
      <w:r>
        <w:rPr>
          <w:rFonts w:ascii="Cambria Math" w:eastAsia="Cambria Math" w:hAnsi="Cambria Math" w:cs="Cambria Math"/>
          <w:vertAlign w:val="subscript"/>
        </w:rPr>
        <w:t>𝑞</w:t>
      </w:r>
      <w:r>
        <w:rPr>
          <w:rFonts w:ascii="Cambria Math" w:eastAsia="Cambria Math" w:hAnsi="Cambria Math" w:cs="Cambria Math"/>
          <w:vertAlign w:val="superscript"/>
        </w:rPr>
        <w:t>𝑗|𝑖</w:t>
      </w:r>
      <w:r>
        <w:t xml:space="preserve"> the </w:t>
      </w:r>
      <w:proofErr w:type="spellStart"/>
      <w:r>
        <w:t>VaR</w:t>
      </w:r>
      <w:proofErr w:type="spellEnd"/>
      <w:r>
        <w:t xml:space="preserve"> of bank </w:t>
      </w:r>
      <w:r>
        <w:rPr>
          <w:rFonts w:ascii="Cambria Math" w:eastAsia="Cambria Math" w:hAnsi="Cambria Math" w:cs="Cambria Math"/>
        </w:rPr>
        <w:t>𝑗</w:t>
      </w:r>
      <w:r>
        <w:t xml:space="preserve"> conditional on some event </w:t>
      </w:r>
      <w:r>
        <w:rPr>
          <w:rFonts w:ascii="Cambria Math" w:eastAsia="Cambria Math" w:hAnsi="Cambria Math" w:cs="Cambria Math"/>
        </w:rPr>
        <w:t>𝑋</w:t>
      </w:r>
      <w:r>
        <w:rPr>
          <w:rFonts w:ascii="Cambria Math" w:eastAsia="Cambria Math" w:hAnsi="Cambria Math" w:cs="Cambria Math"/>
          <w:vertAlign w:val="superscript"/>
        </w:rPr>
        <w:t>𝑖</w:t>
      </w:r>
      <w:r>
        <w:t xml:space="preserve"> such as </w:t>
      </w:r>
      <w:r>
        <w:rPr>
          <w:rFonts w:ascii="Cambria Math" w:eastAsia="Cambria Math" w:hAnsi="Cambria Math" w:cs="Cambria Math"/>
        </w:rPr>
        <w:t>𝑋</w:t>
      </w:r>
      <w:r>
        <w:rPr>
          <w:rFonts w:ascii="Cambria Math" w:eastAsia="Cambria Math" w:hAnsi="Cambria Math" w:cs="Cambria Math"/>
          <w:vertAlign w:val="superscript"/>
        </w:rPr>
        <w:t xml:space="preserve">𝑖 </w:t>
      </w:r>
      <w:r>
        <w:rPr>
          <w:rFonts w:ascii="Cambria Math" w:eastAsia="Cambria Math" w:hAnsi="Cambria Math" w:cs="Cambria Math"/>
        </w:rPr>
        <w:t xml:space="preserve">= </w:t>
      </w:r>
      <w:proofErr w:type="gramStart"/>
      <w:r>
        <w:rPr>
          <w:rFonts w:ascii="Cambria Math" w:eastAsia="Cambria Math" w:hAnsi="Cambria Math" w:cs="Cambria Math"/>
        </w:rPr>
        <w:t>𝑉𝑎𝑅</w:t>
      </w:r>
      <w:r>
        <w:rPr>
          <w:rFonts w:ascii="Cambria Math" w:eastAsia="Cambria Math" w:hAnsi="Cambria Math" w:cs="Cambria Math"/>
          <w:vertAlign w:val="subscript"/>
        </w:rPr>
        <w:t>𝑞</w:t>
      </w:r>
      <w:r>
        <w:rPr>
          <w:rFonts w:ascii="Cambria Math" w:eastAsia="Cambria Math" w:hAnsi="Cambria Math" w:cs="Cambria Math"/>
          <w:vertAlign w:val="superscript"/>
        </w:rPr>
        <w:t xml:space="preserve">𝑖 </w:t>
      </w:r>
      <w:r>
        <w:t>.</w:t>
      </w:r>
      <w:proofErr w:type="gramEnd"/>
      <w:r>
        <w:t xml:space="preserve"> This means that </w:t>
      </w:r>
      <w:r>
        <w:rPr>
          <w:rFonts w:ascii="Cambria Math" w:eastAsia="Cambria Math" w:hAnsi="Cambria Math" w:cs="Cambria Math"/>
        </w:rPr>
        <w:t>𝐶𝑜𝑉𝑎𝑅</w:t>
      </w:r>
      <w:r>
        <w:rPr>
          <w:rFonts w:ascii="Cambria Math" w:eastAsia="Cambria Math" w:hAnsi="Cambria Math" w:cs="Cambria Math"/>
          <w:vertAlign w:val="subscript"/>
        </w:rPr>
        <w:t>𝑞</w:t>
      </w:r>
      <w:r>
        <w:rPr>
          <w:rFonts w:ascii="Cambria Math" w:eastAsia="Cambria Math" w:hAnsi="Cambria Math" w:cs="Cambria Math"/>
          <w:vertAlign w:val="superscript"/>
        </w:rPr>
        <w:t>𝑗|𝑖</w:t>
      </w:r>
      <w:r>
        <w:t xml:space="preserve"> is the </w:t>
      </w:r>
      <w:proofErr w:type="spellStart"/>
      <w:r>
        <w:t>qquantile</w:t>
      </w:r>
      <w:proofErr w:type="spellEnd"/>
      <w:r>
        <w:t xml:space="preserve"> of the conditional distribution: </w:t>
      </w:r>
    </w:p>
    <w:p w14:paraId="504AF9DC" w14:textId="77777777" w:rsidR="009B68EA" w:rsidRDefault="009B1B9B">
      <w:pPr>
        <w:spacing w:after="326"/>
        <w:ind w:left="460" w:right="655"/>
        <w:jc w:val="center"/>
      </w:pPr>
      <w:r>
        <w:rPr>
          <w:rFonts w:ascii="Cambria Math" w:eastAsia="Cambria Math" w:hAnsi="Cambria Math" w:cs="Cambria Math"/>
        </w:rPr>
        <w:t>𝑃𝑟 (𝑋</w:t>
      </w:r>
      <w:r>
        <w:rPr>
          <w:rFonts w:ascii="Cambria Math" w:eastAsia="Cambria Math" w:hAnsi="Cambria Math" w:cs="Cambria Math"/>
          <w:vertAlign w:val="superscript"/>
        </w:rPr>
        <w:t xml:space="preserve">𝑗 </w:t>
      </w:r>
      <w:r>
        <w:rPr>
          <w:rFonts w:ascii="Cambria Math" w:eastAsia="Cambria Math" w:hAnsi="Cambria Math" w:cs="Cambria Math"/>
        </w:rPr>
        <w:t>≤ 𝐶𝑜𝑉𝑎𝑅</w:t>
      </w:r>
      <w:r>
        <w:rPr>
          <w:rFonts w:ascii="Cambria Math" w:eastAsia="Cambria Math" w:hAnsi="Cambria Math" w:cs="Cambria Math"/>
          <w:vertAlign w:val="superscript"/>
        </w:rPr>
        <w:t>𝑗|𝐶(𝑋</w:t>
      </w:r>
      <w:r>
        <w:rPr>
          <w:rFonts w:ascii="Cambria Math" w:eastAsia="Cambria Math" w:hAnsi="Cambria Math" w:cs="Cambria Math"/>
          <w:sz w:val="22"/>
          <w:vertAlign w:val="superscript"/>
        </w:rPr>
        <w:t>𝑖</w:t>
      </w:r>
      <w:r>
        <w:rPr>
          <w:rFonts w:ascii="Cambria Math" w:eastAsia="Cambria Math" w:hAnsi="Cambria Math" w:cs="Cambria Math"/>
          <w:vertAlign w:val="superscript"/>
        </w:rPr>
        <w:t>)</w:t>
      </w:r>
      <w:r>
        <w:rPr>
          <w:rFonts w:ascii="Cambria Math" w:eastAsia="Cambria Math" w:hAnsi="Cambria Math" w:cs="Cambria Math"/>
        </w:rPr>
        <w:t>|𝐶(𝑋</w:t>
      </w:r>
      <w:r>
        <w:rPr>
          <w:rFonts w:ascii="Cambria Math" w:eastAsia="Cambria Math" w:hAnsi="Cambria Math" w:cs="Cambria Math"/>
          <w:vertAlign w:val="superscript"/>
        </w:rPr>
        <w:t>𝑖</w:t>
      </w:r>
      <w:r>
        <w:rPr>
          <w:rFonts w:ascii="Cambria Math" w:eastAsia="Cambria Math" w:hAnsi="Cambria Math" w:cs="Cambria Math"/>
        </w:rPr>
        <w:t>)) = 𝑞</w:t>
      </w:r>
      <w:r>
        <w:t xml:space="preserve"> </w:t>
      </w:r>
    </w:p>
    <w:p w14:paraId="676049FB" w14:textId="77777777" w:rsidR="009B68EA" w:rsidRDefault="009B1B9B">
      <w:pPr>
        <w:spacing w:after="184"/>
        <w:ind w:left="-5" w:right="85"/>
      </w:pPr>
      <w:r>
        <w:t xml:space="preserve">We, therefore, have that bank </w:t>
      </w:r>
      <w:r>
        <w:rPr>
          <w:rFonts w:ascii="Cambria Math" w:eastAsia="Cambria Math" w:hAnsi="Cambria Math" w:cs="Cambria Math"/>
        </w:rPr>
        <w:t>𝑗</w:t>
      </w:r>
      <w:r>
        <w:t xml:space="preserve">’s contribution to the systematic risk is given by: </w:t>
      </w:r>
    </w:p>
    <w:p w14:paraId="740312F3" w14:textId="77777777" w:rsidR="009B68EA" w:rsidRDefault="009B1B9B">
      <w:pPr>
        <w:spacing w:after="329"/>
        <w:ind w:right="212"/>
        <w:jc w:val="center"/>
      </w:pPr>
      <w:r>
        <w:rPr>
          <w:rFonts w:ascii="Cambria Math" w:eastAsia="Cambria Math" w:hAnsi="Cambria Math" w:cs="Cambria Math"/>
        </w:rPr>
        <w:t>𝛥𝐶𝑜𝑉𝑎𝑅</w:t>
      </w:r>
      <w:r>
        <w:rPr>
          <w:rFonts w:ascii="Cambria Math" w:eastAsia="Cambria Math" w:hAnsi="Cambria Math" w:cs="Cambria Math"/>
          <w:sz w:val="17"/>
        </w:rPr>
        <w:t xml:space="preserve">𝑞𝑗|𝑖 </w:t>
      </w:r>
      <w:r>
        <w:rPr>
          <w:rFonts w:ascii="Cambria Math" w:eastAsia="Cambria Math" w:hAnsi="Cambria Math" w:cs="Cambria Math"/>
        </w:rPr>
        <w:t>= 𝐶𝑜𝑉𝑎𝑅</w:t>
      </w:r>
      <w:r>
        <w:rPr>
          <w:rFonts w:ascii="Cambria Math" w:eastAsia="Cambria Math" w:hAnsi="Cambria Math" w:cs="Cambria Math"/>
          <w:sz w:val="17"/>
        </w:rPr>
        <w:t>𝑗|𝑋</w:t>
      </w:r>
      <w:r>
        <w:rPr>
          <w:rFonts w:ascii="Cambria Math" w:eastAsia="Cambria Math" w:hAnsi="Cambria Math" w:cs="Cambria Math"/>
          <w:sz w:val="14"/>
        </w:rPr>
        <w:t>𝑖</w:t>
      </w:r>
      <w:r>
        <w:rPr>
          <w:rFonts w:ascii="Cambria Math" w:eastAsia="Cambria Math" w:hAnsi="Cambria Math" w:cs="Cambria Math"/>
          <w:sz w:val="17"/>
        </w:rPr>
        <w:t>=𝑉𝑎𝑅</w:t>
      </w:r>
      <w:r>
        <w:rPr>
          <w:rFonts w:ascii="Cambria Math" w:eastAsia="Cambria Math" w:hAnsi="Cambria Math" w:cs="Cambria Math"/>
          <w:sz w:val="14"/>
        </w:rPr>
        <w:t xml:space="preserve">𝑞𝑖 </w:t>
      </w:r>
      <w:r>
        <w:rPr>
          <w:rFonts w:ascii="Cambria Math" w:eastAsia="Cambria Math" w:hAnsi="Cambria Math" w:cs="Cambria Math"/>
        </w:rPr>
        <w:t>− 𝐶𝑜𝑉𝑎𝑅</w:t>
      </w:r>
      <w:r>
        <w:rPr>
          <w:rFonts w:ascii="Cambria Math" w:eastAsia="Cambria Math" w:hAnsi="Cambria Math" w:cs="Cambria Math"/>
          <w:sz w:val="17"/>
        </w:rPr>
        <w:t>𝑗|𝑋</w:t>
      </w:r>
      <w:r>
        <w:rPr>
          <w:rFonts w:ascii="Cambria Math" w:eastAsia="Cambria Math" w:hAnsi="Cambria Math" w:cs="Cambria Math"/>
          <w:sz w:val="14"/>
        </w:rPr>
        <w:t>𝑖</w:t>
      </w:r>
      <w:r>
        <w:rPr>
          <w:rFonts w:ascii="Cambria Math" w:eastAsia="Cambria Math" w:hAnsi="Cambria Math" w:cs="Cambria Math"/>
          <w:sz w:val="17"/>
        </w:rPr>
        <w:t>=𝑀𝑒𝑑𝑖𝑎𝑛</w:t>
      </w:r>
      <w:r>
        <w:rPr>
          <w:rFonts w:ascii="Cambria Math" w:eastAsia="Cambria Math" w:hAnsi="Cambria Math" w:cs="Cambria Math"/>
          <w:sz w:val="14"/>
        </w:rPr>
        <w:t>𝑖</w:t>
      </w:r>
      <w:r>
        <w:t xml:space="preserve"> </w:t>
      </w:r>
    </w:p>
    <w:p w14:paraId="34FADC47" w14:textId="77777777" w:rsidR="009B68EA" w:rsidRDefault="009B1B9B">
      <w:pPr>
        <w:spacing w:line="397" w:lineRule="auto"/>
        <w:ind w:left="-5" w:right="85"/>
      </w:pPr>
      <w:r>
        <w:t xml:space="preserve">For each bank </w:t>
      </w:r>
      <w:r>
        <w:rPr>
          <w:rFonts w:ascii="Cambria Math" w:eastAsia="Cambria Math" w:hAnsi="Cambria Math" w:cs="Cambria Math"/>
        </w:rPr>
        <w:t>𝑖</w:t>
      </w:r>
      <w:r>
        <w:t xml:space="preserve">, </w:t>
      </w:r>
      <w:r>
        <w:rPr>
          <w:rFonts w:ascii="Cambria Math" w:eastAsia="Cambria Math" w:hAnsi="Cambria Math" w:cs="Cambria Math"/>
        </w:rPr>
        <w:t>𝑋</w:t>
      </w:r>
      <w:r>
        <w:rPr>
          <w:rFonts w:ascii="Cambria Math" w:eastAsia="Cambria Math" w:hAnsi="Cambria Math" w:cs="Cambria Math"/>
          <w:vertAlign w:val="subscript"/>
        </w:rPr>
        <w:t>𝑡</w:t>
      </w:r>
      <w:r>
        <w:rPr>
          <w:rFonts w:ascii="Cambria Math" w:eastAsia="Cambria Math" w:hAnsi="Cambria Math" w:cs="Cambria Math"/>
          <w:vertAlign w:val="superscript"/>
        </w:rPr>
        <w:t>𝑖</w:t>
      </w:r>
      <w:r>
        <w:t xml:space="preserve"> represents the log-return of the market value of equity, the share price. Let </w:t>
      </w:r>
      <w:r>
        <w:rPr>
          <w:rFonts w:ascii="Cambria Math" w:eastAsia="Cambria Math" w:hAnsi="Cambria Math" w:cs="Cambria Math"/>
        </w:rPr>
        <w:t>𝑠𝑦𝑠</w:t>
      </w:r>
      <w:r>
        <w:t xml:space="preserve"> refer to the banking-sector portfolio. Then, the nonparametric Delta CoVaR is obtained as follows:  </w:t>
      </w:r>
    </w:p>
    <w:p w14:paraId="16E16E21" w14:textId="77777777" w:rsidR="009B68EA" w:rsidRDefault="009B1B9B">
      <w:pPr>
        <w:numPr>
          <w:ilvl w:val="0"/>
          <w:numId w:val="2"/>
        </w:numPr>
        <w:spacing w:after="234"/>
        <w:ind w:right="445" w:hanging="720"/>
      </w:pPr>
      <w:r>
        <w:t xml:space="preserve">Run a q-quantile regression of </w:t>
      </w:r>
      <w:r>
        <w:rPr>
          <w:rFonts w:ascii="Cambria Math" w:eastAsia="Cambria Math" w:hAnsi="Cambria Math" w:cs="Cambria Math"/>
        </w:rPr>
        <w:t>𝑋</w:t>
      </w:r>
      <w:r>
        <w:rPr>
          <w:rFonts w:ascii="Cambria Math" w:eastAsia="Cambria Math" w:hAnsi="Cambria Math" w:cs="Cambria Math"/>
          <w:vertAlign w:val="superscript"/>
        </w:rPr>
        <w:t>𝑠𝑦𝑠</w:t>
      </w:r>
      <w:r>
        <w:t xml:space="preserve"> on </w:t>
      </w:r>
      <w:r>
        <w:rPr>
          <w:rFonts w:ascii="Cambria Math" w:eastAsia="Cambria Math" w:hAnsi="Cambria Math" w:cs="Cambria Math"/>
        </w:rPr>
        <w:t>𝑋</w:t>
      </w:r>
      <w:r>
        <w:rPr>
          <w:rFonts w:ascii="Cambria Math" w:eastAsia="Cambria Math" w:hAnsi="Cambria Math" w:cs="Cambria Math"/>
          <w:vertAlign w:val="superscript"/>
        </w:rPr>
        <w:t>𝑖</w:t>
      </w:r>
      <w:r>
        <w:t xml:space="preserve"> to get </w:t>
      </w:r>
      <w:r>
        <w:rPr>
          <w:rFonts w:ascii="Cambria Math" w:eastAsia="Cambria Math" w:hAnsi="Cambria Math" w:cs="Cambria Math"/>
        </w:rPr>
        <w:t>𝛽̂</w:t>
      </w:r>
      <w:r>
        <w:rPr>
          <w:rFonts w:ascii="Cambria Math" w:eastAsia="Cambria Math" w:hAnsi="Cambria Math" w:cs="Cambria Math"/>
          <w:vertAlign w:val="subscript"/>
        </w:rPr>
        <w:t>𝑞</w:t>
      </w:r>
      <w:r>
        <w:t xml:space="preserve">.  </w:t>
      </w:r>
    </w:p>
    <w:p w14:paraId="614AB5C3" w14:textId="77777777" w:rsidR="009B68EA" w:rsidRDefault="009B1B9B">
      <w:pPr>
        <w:numPr>
          <w:ilvl w:val="0"/>
          <w:numId w:val="2"/>
        </w:numPr>
        <w:spacing w:after="29" w:line="431" w:lineRule="auto"/>
        <w:ind w:right="445" w:hanging="720"/>
      </w:pPr>
      <w:r>
        <w:t xml:space="preserve">Estimate the </w:t>
      </w:r>
      <w:r>
        <w:rPr>
          <w:rFonts w:ascii="Cambria Math" w:eastAsia="Cambria Math" w:hAnsi="Cambria Math" w:cs="Cambria Math"/>
        </w:rPr>
        <w:t>𝑞</w:t>
      </w:r>
      <w:r>
        <w:rPr>
          <w:rFonts w:ascii="Cambria Math" w:eastAsia="Cambria Math" w:hAnsi="Cambria Math" w:cs="Cambria Math"/>
          <w:vertAlign w:val="superscript"/>
        </w:rPr>
        <w:t>𝑡ℎ</w:t>
      </w:r>
      <w:r>
        <w:t xml:space="preserve"> sample quantile and the median </w:t>
      </w:r>
      <w:proofErr w:type="spellStart"/>
      <w:r>
        <w:t>VaR</w:t>
      </w:r>
      <w:proofErr w:type="spellEnd"/>
      <w:r>
        <w:t xml:space="preserve"> </w:t>
      </w:r>
      <w:proofErr w:type="spellStart"/>
      <w:r>
        <w:t>i.e</w:t>
      </w:r>
      <w:proofErr w:type="spellEnd"/>
      <w:r>
        <w:t xml:space="preserve"> </w:t>
      </w:r>
      <w:proofErr w:type="gramStart"/>
      <w:r>
        <w:rPr>
          <w:rFonts w:ascii="Cambria Math" w:eastAsia="Cambria Math" w:hAnsi="Cambria Math" w:cs="Cambria Math"/>
        </w:rPr>
        <w:t>𝑉𝑎𝑅</w:t>
      </w:r>
      <w:r>
        <w:rPr>
          <w:rFonts w:ascii="Cambria Math" w:eastAsia="Cambria Math" w:hAnsi="Cambria Math" w:cs="Cambria Math"/>
          <w:vertAlign w:val="subscript"/>
        </w:rPr>
        <w:t>𝑞</w:t>
      </w:r>
      <w:r>
        <w:rPr>
          <w:rFonts w:ascii="Cambria Math" w:eastAsia="Cambria Math" w:hAnsi="Cambria Math" w:cs="Cambria Math"/>
          <w:vertAlign w:val="superscript"/>
        </w:rPr>
        <w:t xml:space="preserve">𝑖 </w:t>
      </w:r>
      <w:r>
        <w:rPr>
          <w:rFonts w:ascii="Cambria Math" w:eastAsia="Cambria Math" w:hAnsi="Cambria Math" w:cs="Cambria Math"/>
          <w:vertAlign w:val="subscript"/>
        </w:rPr>
        <w:t>,𝑡</w:t>
      </w:r>
      <w:proofErr w:type="gramEnd"/>
      <w:r>
        <w:rPr>
          <w:rFonts w:ascii="Cambria Math" w:eastAsia="Cambria Math" w:hAnsi="Cambria Math" w:cs="Cambria Math"/>
        </w:rPr>
        <w:t>, 𝑉𝑎𝑅</w:t>
      </w:r>
      <w:r>
        <w:rPr>
          <w:rFonts w:ascii="Cambria Math" w:eastAsia="Cambria Math" w:hAnsi="Cambria Math" w:cs="Cambria Math"/>
          <w:vertAlign w:val="subscript"/>
        </w:rPr>
        <w:t>0</w:t>
      </w:r>
      <w:r>
        <w:rPr>
          <w:rFonts w:ascii="Cambria Math" w:eastAsia="Cambria Math" w:hAnsi="Cambria Math" w:cs="Cambria Math"/>
          <w:vertAlign w:val="superscript"/>
        </w:rPr>
        <w:t xml:space="preserve">𝑖 </w:t>
      </w:r>
      <w:r>
        <w:rPr>
          <w:rFonts w:ascii="Cambria Math" w:eastAsia="Cambria Math" w:hAnsi="Cambria Math" w:cs="Cambria Math"/>
          <w:vertAlign w:val="subscript"/>
        </w:rPr>
        <w:t>.5,𝑡</w:t>
      </w:r>
      <w:r>
        <w:t xml:space="preserve">  (iii)</w:t>
      </w:r>
      <w:r>
        <w:rPr>
          <w:rFonts w:ascii="Arial" w:eastAsia="Arial" w:hAnsi="Arial" w:cs="Arial"/>
        </w:rPr>
        <w:t xml:space="preserve"> </w:t>
      </w:r>
      <w:r>
        <w:rPr>
          <w:rFonts w:ascii="Arial" w:eastAsia="Arial" w:hAnsi="Arial" w:cs="Arial"/>
        </w:rPr>
        <w:tab/>
      </w:r>
      <w:r>
        <w:t xml:space="preserve">Define the nonparametric Delta CoVaR as: </w:t>
      </w:r>
    </w:p>
    <w:p w14:paraId="0A2BE883" w14:textId="77777777" w:rsidR="009B68EA" w:rsidRDefault="009B1B9B">
      <w:pPr>
        <w:spacing w:after="3"/>
        <w:ind w:left="460" w:right="642"/>
        <w:jc w:val="center"/>
      </w:pPr>
      <w:proofErr w:type="gramStart"/>
      <w:r>
        <w:rPr>
          <w:rFonts w:ascii="Cambria Math" w:eastAsia="Cambria Math" w:hAnsi="Cambria Math" w:cs="Cambria Math"/>
        </w:rPr>
        <w:t>𝛥𝐶𝑜𝑉𝑎𝑅</w:t>
      </w:r>
      <w:r>
        <w:rPr>
          <w:rFonts w:ascii="Cambria Math" w:eastAsia="Cambria Math" w:hAnsi="Cambria Math" w:cs="Cambria Math"/>
          <w:sz w:val="17"/>
        </w:rPr>
        <w:t>𝑞𝑖 ,𝑡</w:t>
      </w:r>
      <w:proofErr w:type="gramEnd"/>
      <w:r>
        <w:rPr>
          <w:rFonts w:ascii="Cambria Math" w:eastAsia="Cambria Math" w:hAnsi="Cambria Math" w:cs="Cambria Math"/>
          <w:sz w:val="17"/>
        </w:rPr>
        <w:t xml:space="preserve"> </w:t>
      </w:r>
      <w:r>
        <w:rPr>
          <w:rFonts w:ascii="Cambria Math" w:eastAsia="Cambria Math" w:hAnsi="Cambria Math" w:cs="Cambria Math"/>
        </w:rPr>
        <w:t>= 𝛽̂</w:t>
      </w:r>
      <w:r>
        <w:rPr>
          <w:rFonts w:ascii="Cambria Math" w:eastAsia="Cambria Math" w:hAnsi="Cambria Math" w:cs="Cambria Math"/>
          <w:sz w:val="17"/>
        </w:rPr>
        <w:t>𝑞</w:t>
      </w:r>
      <w:r>
        <w:rPr>
          <w:rFonts w:ascii="Cambria Math" w:eastAsia="Cambria Math" w:hAnsi="Cambria Math" w:cs="Cambria Math"/>
        </w:rPr>
        <w:t>(𝑉𝑎𝑅</w:t>
      </w:r>
      <w:r>
        <w:rPr>
          <w:rFonts w:ascii="Cambria Math" w:eastAsia="Cambria Math" w:hAnsi="Cambria Math" w:cs="Cambria Math"/>
          <w:sz w:val="17"/>
        </w:rPr>
        <w:t xml:space="preserve">𝑞𝑖 ,𝑡 </w:t>
      </w:r>
      <w:r>
        <w:rPr>
          <w:rFonts w:ascii="Cambria Math" w:eastAsia="Cambria Math" w:hAnsi="Cambria Math" w:cs="Cambria Math"/>
        </w:rPr>
        <w:t>− 𝑉𝑎𝑅</w:t>
      </w:r>
      <w:r>
        <w:rPr>
          <w:rFonts w:ascii="Cambria Math" w:eastAsia="Cambria Math" w:hAnsi="Cambria Math" w:cs="Cambria Math"/>
          <w:sz w:val="17"/>
        </w:rPr>
        <w:t>0𝑖 .5,𝑡</w:t>
      </w:r>
      <w:r>
        <w:rPr>
          <w:rFonts w:ascii="Cambria Math" w:eastAsia="Cambria Math" w:hAnsi="Cambria Math" w:cs="Cambria Math"/>
        </w:rPr>
        <w:t>)</w:t>
      </w:r>
      <w:r>
        <w:t xml:space="preserve"> </w:t>
      </w:r>
    </w:p>
    <w:p w14:paraId="7934C91C" w14:textId="77777777" w:rsidR="002C149D" w:rsidRDefault="002C149D">
      <w:pPr>
        <w:spacing w:after="0" w:line="240" w:lineRule="auto"/>
        <w:ind w:left="0" w:right="0" w:firstLine="0"/>
        <w:jc w:val="left"/>
        <w:rPr>
          <w:b/>
          <w:sz w:val="28"/>
          <w:lang w:eastAsia="en-GB" w:bidi="hi-IN"/>
        </w:rPr>
      </w:pPr>
      <w:r>
        <w:br w:type="page"/>
      </w:r>
    </w:p>
    <w:p w14:paraId="5183A7EE" w14:textId="5678F3FB" w:rsidR="009B68EA" w:rsidRDefault="009B1B9B">
      <w:pPr>
        <w:pStyle w:val="Heading2"/>
        <w:ind w:left="-5"/>
      </w:pPr>
      <w:bookmarkStart w:id="18" w:name="_Toc138448118"/>
      <w:r>
        <w:lastRenderedPageBreak/>
        <w:t>4.</w:t>
      </w:r>
      <w:r>
        <w:rPr>
          <w:rFonts w:ascii="Arial" w:eastAsia="Arial" w:hAnsi="Arial" w:cs="Arial"/>
        </w:rPr>
        <w:t xml:space="preserve"> </w:t>
      </w:r>
      <w:r>
        <w:t>RESULTS</w:t>
      </w:r>
      <w:bookmarkEnd w:id="18"/>
      <w:r>
        <w:t xml:space="preserve"> </w:t>
      </w:r>
    </w:p>
    <w:p w14:paraId="42CE3418" w14:textId="77777777" w:rsidR="009B68EA" w:rsidRDefault="009B1B9B">
      <w:pPr>
        <w:pStyle w:val="Heading3"/>
        <w:ind w:left="-5" w:right="0"/>
      </w:pPr>
      <w:bookmarkStart w:id="19" w:name="_Toc138448119"/>
      <w:r>
        <w:t>4.1.</w:t>
      </w:r>
      <w:r>
        <w:rPr>
          <w:rFonts w:ascii="Arial" w:eastAsia="Arial" w:hAnsi="Arial" w:cs="Arial"/>
        </w:rPr>
        <w:t xml:space="preserve"> </w:t>
      </w:r>
      <w:r>
        <w:t>INTRODUCTION</w:t>
      </w:r>
      <w:bookmarkEnd w:id="19"/>
      <w:r>
        <w:t xml:space="preserve"> </w:t>
      </w:r>
    </w:p>
    <w:p w14:paraId="7BB1665D" w14:textId="77777777" w:rsidR="009B68EA" w:rsidRDefault="009B1B9B">
      <w:pPr>
        <w:spacing w:after="225" w:line="357" w:lineRule="auto"/>
        <w:ind w:left="-5" w:right="85"/>
      </w:pPr>
      <w:r>
        <w:t xml:space="preserve">This study seeks to determine the effects of the capital transitional arrangements of bank systematic risk in Kenya. Towards this aim, share price and market capitalization data for nine listed Kenyan banks was collected from Refinitiv for the period 2010 to 2021. The banks included in this study were </w:t>
      </w:r>
      <w:r>
        <w:rPr>
          <w:i/>
        </w:rPr>
        <w:t xml:space="preserve">ABSA Bank Kenya, </w:t>
      </w:r>
      <w:proofErr w:type="spellStart"/>
      <w:r>
        <w:rPr>
          <w:i/>
        </w:rPr>
        <w:t>CfC</w:t>
      </w:r>
      <w:proofErr w:type="spellEnd"/>
      <w:r>
        <w:rPr>
          <w:i/>
        </w:rPr>
        <w:t xml:space="preserve"> Stanbic Holdings, Cooperative Bank of Kenya, Diamond Trust Bank Group, Equity Group Holdings, Housing Finance Company of Kenya, I&amp;M Holding Limited, Kenya Commercial Bank Group, and Standard Chartered Bank of Kenya.</w:t>
      </w:r>
      <w:r>
        <w:t xml:space="preserve"> The capital transitional period in Kenya begun in January 2019 following a directive from the Central Bank of Kenya. A dummy variable was used to represent the different periods. Bank systematic risk was calculated using the Marginal Expected Shortfall and the CoVaR of each of the banks. These were the dependent variables. The independent variables were 10-year-2-year bond yield differential, inflation, broad money, and the CAT dummy variable.  </w:t>
      </w:r>
    </w:p>
    <w:p w14:paraId="5FB10255" w14:textId="77777777" w:rsidR="009B68EA" w:rsidRDefault="009B1B9B">
      <w:pPr>
        <w:pStyle w:val="Heading3"/>
        <w:spacing w:after="180"/>
        <w:ind w:left="-5" w:right="0"/>
      </w:pPr>
      <w:bookmarkStart w:id="20" w:name="_Toc138448120"/>
      <w:r>
        <w:t>4.2.</w:t>
      </w:r>
      <w:r>
        <w:rPr>
          <w:rFonts w:ascii="Arial" w:eastAsia="Arial" w:hAnsi="Arial" w:cs="Arial"/>
        </w:rPr>
        <w:t xml:space="preserve"> </w:t>
      </w:r>
      <w:r>
        <w:t>DESCRIPTIVE STATISTICS</w:t>
      </w:r>
      <w:bookmarkEnd w:id="20"/>
      <w:r>
        <w:t xml:space="preserve"> </w:t>
      </w:r>
    </w:p>
    <w:p w14:paraId="4AB87C87" w14:textId="77777777" w:rsidR="00542BA7" w:rsidRDefault="009B1B9B" w:rsidP="00542BA7">
      <w:pPr>
        <w:keepNext/>
        <w:spacing w:after="210"/>
        <w:ind w:left="-1" w:right="420" w:firstLine="0"/>
        <w:jc w:val="right"/>
      </w:pPr>
      <w:r>
        <w:rPr>
          <w:noProof/>
        </w:rPr>
        <w:drawing>
          <wp:inline distT="0" distB="0" distL="0" distR="0" wp14:anchorId="0FD46269" wp14:editId="61D01289">
            <wp:extent cx="5695950" cy="3554095"/>
            <wp:effectExtent l="0" t="0" r="0" b="0"/>
            <wp:docPr id="4271" name="Picture 4271" descr="Chart, scatter chart&#10;&#10;Description automatically generated"/>
            <wp:cNvGraphicFramePr/>
            <a:graphic xmlns:a="http://schemas.openxmlformats.org/drawingml/2006/main">
              <a:graphicData uri="http://schemas.openxmlformats.org/drawingml/2006/picture">
                <pic:pic xmlns:pic="http://schemas.openxmlformats.org/drawingml/2006/picture">
                  <pic:nvPicPr>
                    <pic:cNvPr id="4271" name="Picture 4271"/>
                    <pic:cNvPicPr/>
                  </pic:nvPicPr>
                  <pic:blipFill>
                    <a:blip r:embed="rId14"/>
                    <a:stretch>
                      <a:fillRect/>
                    </a:stretch>
                  </pic:blipFill>
                  <pic:spPr>
                    <a:xfrm>
                      <a:off x="0" y="0"/>
                      <a:ext cx="5695950" cy="3554095"/>
                    </a:xfrm>
                    <a:prstGeom prst="rect">
                      <a:avLst/>
                    </a:prstGeom>
                  </pic:spPr>
                </pic:pic>
              </a:graphicData>
            </a:graphic>
          </wp:inline>
        </w:drawing>
      </w:r>
    </w:p>
    <w:p w14:paraId="228E2F58" w14:textId="32521878" w:rsidR="00542BA7" w:rsidRDefault="00542BA7" w:rsidP="00542BA7">
      <w:pPr>
        <w:pStyle w:val="Caption"/>
      </w:pPr>
      <w:bookmarkStart w:id="21" w:name="_Toc138448130"/>
      <w:r>
        <w:t xml:space="preserve">Figure </w:t>
      </w:r>
      <w:r>
        <w:fldChar w:fldCharType="begin"/>
      </w:r>
      <w:r>
        <w:instrText xml:space="preserve"> SEQ Figure \* ARABIC </w:instrText>
      </w:r>
      <w:r>
        <w:fldChar w:fldCharType="separate"/>
      </w:r>
      <w:r>
        <w:rPr>
          <w:noProof/>
        </w:rPr>
        <w:t>1</w:t>
      </w:r>
      <w:r>
        <w:fldChar w:fldCharType="end"/>
      </w:r>
      <w:r>
        <w:t>:</w:t>
      </w:r>
      <w:r w:rsidRPr="00A71D03">
        <w:t>MES for each of the banks in the study's sample</w:t>
      </w:r>
      <w:bookmarkEnd w:id="21"/>
    </w:p>
    <w:p w14:paraId="10099F0D" w14:textId="52DEDC5B" w:rsidR="009B68EA" w:rsidRPr="00542BA7" w:rsidRDefault="009B1B9B" w:rsidP="00542BA7">
      <w:pPr>
        <w:spacing w:after="210"/>
        <w:ind w:left="-1" w:right="420" w:firstLine="0"/>
        <w:jc w:val="right"/>
      </w:pPr>
      <w:r>
        <w:t xml:space="preserve"> </w:t>
      </w:r>
    </w:p>
    <w:p w14:paraId="6FE190DA" w14:textId="7F41B5B7" w:rsidR="009B68EA" w:rsidRDefault="009B1B9B" w:rsidP="003C56BE">
      <w:pPr>
        <w:spacing w:before="240" w:after="146" w:line="358" w:lineRule="auto"/>
        <w:ind w:left="-5" w:right="85"/>
      </w:pPr>
      <w:r>
        <w:lastRenderedPageBreak/>
        <w:t xml:space="preserve">Table 1 presents some summary statistics for the study variables. It shows that the average MES was 1% (SD = 1%) with a median of 1% and ranged from -1% to 6%. The MES was also positively skewed and had a positive excess kurtosis indicating that it was not normally distributed. However, the Jarque-Bera statistic which was not statistically significant therefore the null hypothesis of normality could not be rejected at a 5% level of significance. The ADF statistic for MES was not statistically significant at 5%, therefore, the null hypothesis of the presence of a unit root could not be rejected.   </w:t>
      </w:r>
    </w:p>
    <w:p w14:paraId="04EB11E1" w14:textId="725C05DE" w:rsidR="003C56BE" w:rsidRDefault="003C56BE" w:rsidP="003C56BE">
      <w:pPr>
        <w:pStyle w:val="Caption"/>
        <w:keepNext/>
      </w:pPr>
      <w:bookmarkStart w:id="22" w:name="_Toc138448003"/>
      <w:r>
        <w:t xml:space="preserve">Table </w:t>
      </w:r>
      <w:r>
        <w:fldChar w:fldCharType="begin"/>
      </w:r>
      <w:r>
        <w:instrText xml:space="preserve"> SEQ Table \* ARABIC </w:instrText>
      </w:r>
      <w:r>
        <w:fldChar w:fldCharType="separate"/>
      </w:r>
      <w:r>
        <w:rPr>
          <w:noProof/>
        </w:rPr>
        <w:t>1</w:t>
      </w:r>
      <w:r>
        <w:fldChar w:fldCharType="end"/>
      </w:r>
      <w:r>
        <w:t>:</w:t>
      </w:r>
      <w:r w:rsidRPr="00A52DA9">
        <w:t>Descriptive Statistic of the Study Variables</w:t>
      </w:r>
      <w:bookmarkEnd w:id="22"/>
    </w:p>
    <w:tbl>
      <w:tblPr>
        <w:tblStyle w:val="TableGrid"/>
        <w:tblW w:w="9438" w:type="dxa"/>
        <w:tblInd w:w="5" w:type="dxa"/>
        <w:tblCellMar>
          <w:top w:w="3" w:type="dxa"/>
          <w:left w:w="110" w:type="dxa"/>
          <w:bottom w:w="5" w:type="dxa"/>
        </w:tblCellMar>
        <w:tblLook w:val="04A0" w:firstRow="1" w:lastRow="0" w:firstColumn="1" w:lastColumn="0" w:noHBand="0" w:noVBand="1"/>
      </w:tblPr>
      <w:tblGrid>
        <w:gridCol w:w="1384"/>
        <w:gridCol w:w="1309"/>
        <w:gridCol w:w="1366"/>
        <w:gridCol w:w="1469"/>
        <w:gridCol w:w="1396"/>
        <w:gridCol w:w="1361"/>
        <w:gridCol w:w="1153"/>
      </w:tblGrid>
      <w:tr w:rsidR="008738CA" w14:paraId="48C0084E" w14:textId="62F69456" w:rsidTr="008738CA">
        <w:trPr>
          <w:trHeight w:val="515"/>
        </w:trPr>
        <w:tc>
          <w:tcPr>
            <w:tcW w:w="1384" w:type="dxa"/>
            <w:tcBorders>
              <w:top w:val="single" w:sz="4" w:space="0" w:color="000000"/>
              <w:left w:val="single" w:sz="4" w:space="0" w:color="000000"/>
              <w:bottom w:val="single" w:sz="4" w:space="0" w:color="000000"/>
              <w:right w:val="single" w:sz="4" w:space="0" w:color="000000"/>
            </w:tcBorders>
          </w:tcPr>
          <w:p w14:paraId="3B7EE42C" w14:textId="77777777" w:rsidR="008738CA" w:rsidRDefault="008738CA">
            <w:pPr>
              <w:spacing w:after="0"/>
              <w:ind w:left="0" w:right="0" w:firstLine="0"/>
              <w:jc w:val="left"/>
            </w:pPr>
            <w:r>
              <w:rPr>
                <w:b/>
                <w:sz w:val="22"/>
              </w:rPr>
              <w:t>Statistic</w:t>
            </w:r>
            <w:r>
              <w:rPr>
                <w:b/>
              </w:rPr>
              <w:t xml:space="preserve"> </w:t>
            </w:r>
          </w:p>
        </w:tc>
        <w:tc>
          <w:tcPr>
            <w:tcW w:w="1309" w:type="dxa"/>
            <w:tcBorders>
              <w:top w:val="single" w:sz="4" w:space="0" w:color="000000"/>
              <w:left w:val="single" w:sz="4" w:space="0" w:color="000000"/>
              <w:bottom w:val="single" w:sz="4" w:space="0" w:color="000000"/>
              <w:right w:val="single" w:sz="4" w:space="0" w:color="000000"/>
            </w:tcBorders>
            <w:vAlign w:val="bottom"/>
          </w:tcPr>
          <w:p w14:paraId="0E0431E5" w14:textId="77777777" w:rsidR="008738CA" w:rsidRDefault="008738CA">
            <w:pPr>
              <w:spacing w:after="0"/>
              <w:ind w:left="0" w:right="108" w:firstLine="0"/>
              <w:jc w:val="right"/>
            </w:pPr>
            <w:r>
              <w:rPr>
                <w:b/>
                <w:sz w:val="22"/>
              </w:rPr>
              <w:t>MES</w:t>
            </w:r>
            <w:r>
              <w:rPr>
                <w:b/>
              </w:rPr>
              <w:t xml:space="preserve"> </w:t>
            </w:r>
          </w:p>
        </w:tc>
        <w:tc>
          <w:tcPr>
            <w:tcW w:w="1366" w:type="dxa"/>
            <w:tcBorders>
              <w:top w:val="single" w:sz="4" w:space="0" w:color="000000"/>
              <w:left w:val="single" w:sz="4" w:space="0" w:color="000000"/>
              <w:bottom w:val="single" w:sz="4" w:space="0" w:color="000000"/>
              <w:right w:val="single" w:sz="4" w:space="0" w:color="000000"/>
            </w:tcBorders>
            <w:vAlign w:val="bottom"/>
          </w:tcPr>
          <w:p w14:paraId="51FAE3B9" w14:textId="77777777" w:rsidR="008738CA" w:rsidRDefault="008738CA">
            <w:pPr>
              <w:spacing w:after="0"/>
              <w:ind w:left="0" w:right="107" w:firstLine="0"/>
              <w:jc w:val="right"/>
            </w:pPr>
            <w:r>
              <w:rPr>
                <w:b/>
                <w:sz w:val="22"/>
              </w:rPr>
              <w:t>CoVaR</w:t>
            </w:r>
            <w:r>
              <w:rPr>
                <w:b/>
              </w:rPr>
              <w:t xml:space="preserve"> </w:t>
            </w:r>
          </w:p>
        </w:tc>
        <w:tc>
          <w:tcPr>
            <w:tcW w:w="1469" w:type="dxa"/>
            <w:tcBorders>
              <w:top w:val="single" w:sz="4" w:space="0" w:color="000000"/>
              <w:left w:val="single" w:sz="4" w:space="0" w:color="000000"/>
              <w:bottom w:val="single" w:sz="4" w:space="0" w:color="000000"/>
              <w:right w:val="single" w:sz="4" w:space="0" w:color="000000"/>
            </w:tcBorders>
          </w:tcPr>
          <w:p w14:paraId="20FF1FA1" w14:textId="77777777" w:rsidR="008738CA" w:rsidRDefault="008738CA">
            <w:pPr>
              <w:spacing w:after="0"/>
              <w:ind w:left="0" w:right="105" w:firstLine="0"/>
              <w:jc w:val="right"/>
            </w:pPr>
            <w:r>
              <w:rPr>
                <w:b/>
                <w:sz w:val="22"/>
              </w:rPr>
              <w:t>Yield Differential</w:t>
            </w:r>
            <w:r>
              <w:rPr>
                <w:b/>
              </w:rPr>
              <w:t xml:space="preserve"> </w:t>
            </w:r>
          </w:p>
        </w:tc>
        <w:tc>
          <w:tcPr>
            <w:tcW w:w="1396" w:type="dxa"/>
            <w:tcBorders>
              <w:top w:val="single" w:sz="4" w:space="0" w:color="000000"/>
              <w:left w:val="single" w:sz="4" w:space="0" w:color="000000"/>
              <w:bottom w:val="single" w:sz="4" w:space="0" w:color="000000"/>
              <w:right w:val="single" w:sz="4" w:space="0" w:color="000000"/>
            </w:tcBorders>
            <w:vAlign w:val="bottom"/>
          </w:tcPr>
          <w:p w14:paraId="766D1AC8" w14:textId="77777777" w:rsidR="008738CA" w:rsidRDefault="008738CA">
            <w:pPr>
              <w:spacing w:after="0"/>
              <w:ind w:left="0" w:right="108" w:firstLine="0"/>
              <w:jc w:val="right"/>
            </w:pPr>
            <w:r>
              <w:rPr>
                <w:b/>
                <w:sz w:val="22"/>
              </w:rPr>
              <w:t>Inflation</w:t>
            </w:r>
            <w:r>
              <w:rPr>
                <w:b/>
              </w:rPr>
              <w:t xml:space="preserve"> </w:t>
            </w:r>
          </w:p>
        </w:tc>
        <w:tc>
          <w:tcPr>
            <w:tcW w:w="1361" w:type="dxa"/>
            <w:tcBorders>
              <w:top w:val="single" w:sz="4" w:space="0" w:color="000000"/>
              <w:left w:val="single" w:sz="4" w:space="0" w:color="000000"/>
              <w:bottom w:val="single" w:sz="4" w:space="0" w:color="000000"/>
              <w:right w:val="single" w:sz="4" w:space="0" w:color="000000"/>
            </w:tcBorders>
          </w:tcPr>
          <w:p w14:paraId="5A166805" w14:textId="77777777" w:rsidR="008738CA" w:rsidRDefault="008738CA">
            <w:pPr>
              <w:spacing w:after="0"/>
              <w:ind w:left="135" w:right="0" w:hanging="120"/>
              <w:jc w:val="left"/>
              <w:rPr>
                <w:b/>
                <w:sz w:val="22"/>
              </w:rPr>
            </w:pPr>
            <w:r>
              <w:rPr>
                <w:b/>
                <w:sz w:val="22"/>
              </w:rPr>
              <w:t>Broad</w:t>
            </w:r>
          </w:p>
          <w:p w14:paraId="524EBA26" w14:textId="77777777" w:rsidR="008738CA" w:rsidRDefault="008738CA">
            <w:pPr>
              <w:spacing w:after="0"/>
              <w:ind w:left="135" w:right="0" w:hanging="120"/>
              <w:jc w:val="left"/>
              <w:rPr>
                <w:b/>
                <w:sz w:val="22"/>
              </w:rPr>
            </w:pPr>
            <w:r>
              <w:rPr>
                <w:b/>
                <w:sz w:val="22"/>
              </w:rPr>
              <w:t xml:space="preserve">Money </w:t>
            </w:r>
          </w:p>
          <w:p w14:paraId="52A96CCE" w14:textId="3AAB2651" w:rsidR="008738CA" w:rsidRDefault="008738CA">
            <w:pPr>
              <w:spacing w:after="0"/>
              <w:ind w:left="135" w:right="0" w:hanging="120"/>
              <w:jc w:val="left"/>
            </w:pPr>
            <w:r>
              <w:rPr>
                <w:b/>
              </w:rPr>
              <w:t>(</w:t>
            </w:r>
            <w:r>
              <w:rPr>
                <w:b/>
                <w:sz w:val="22"/>
              </w:rPr>
              <w:t xml:space="preserve">in </w:t>
            </w:r>
            <w:proofErr w:type="spellStart"/>
            <w:r>
              <w:rPr>
                <w:b/>
                <w:sz w:val="22"/>
              </w:rPr>
              <w:t>Kshs</w:t>
            </w:r>
            <w:proofErr w:type="spellEnd"/>
            <w:r>
              <w:rPr>
                <w:b/>
                <w:sz w:val="22"/>
              </w:rPr>
              <w:t xml:space="preserve"> Tn)</w:t>
            </w:r>
            <w:r>
              <w:rPr>
                <w:b/>
              </w:rPr>
              <w:t xml:space="preserve"> </w:t>
            </w:r>
          </w:p>
        </w:tc>
        <w:tc>
          <w:tcPr>
            <w:tcW w:w="1153" w:type="dxa"/>
            <w:tcBorders>
              <w:top w:val="single" w:sz="4" w:space="0" w:color="000000"/>
              <w:left w:val="single" w:sz="4" w:space="0" w:color="000000"/>
              <w:bottom w:val="single" w:sz="4" w:space="0" w:color="000000"/>
              <w:right w:val="single" w:sz="4" w:space="0" w:color="000000"/>
            </w:tcBorders>
          </w:tcPr>
          <w:p w14:paraId="2986C0F6" w14:textId="77777777" w:rsidR="008738CA" w:rsidRDefault="008738CA">
            <w:pPr>
              <w:spacing w:after="0"/>
              <w:ind w:left="135" w:right="0" w:hanging="120"/>
              <w:jc w:val="left"/>
              <w:rPr>
                <w:b/>
                <w:sz w:val="22"/>
              </w:rPr>
            </w:pPr>
            <w:r>
              <w:rPr>
                <w:b/>
                <w:sz w:val="22"/>
              </w:rPr>
              <w:t>Total</w:t>
            </w:r>
          </w:p>
          <w:p w14:paraId="28A58953" w14:textId="1274E520" w:rsidR="008738CA" w:rsidRDefault="008738CA">
            <w:pPr>
              <w:spacing w:after="0"/>
              <w:ind w:left="135" w:right="0" w:hanging="120"/>
              <w:jc w:val="left"/>
              <w:rPr>
                <w:b/>
                <w:sz w:val="22"/>
              </w:rPr>
            </w:pPr>
            <w:r>
              <w:rPr>
                <w:b/>
                <w:sz w:val="22"/>
              </w:rPr>
              <w:t>Assets</w:t>
            </w:r>
          </w:p>
        </w:tc>
      </w:tr>
      <w:tr w:rsidR="008738CA" w14:paraId="72543CDB" w14:textId="71920612" w:rsidTr="00FD0308">
        <w:trPr>
          <w:trHeight w:val="369"/>
        </w:trPr>
        <w:tc>
          <w:tcPr>
            <w:tcW w:w="1384" w:type="dxa"/>
            <w:tcBorders>
              <w:top w:val="single" w:sz="4" w:space="0" w:color="000000"/>
              <w:left w:val="single" w:sz="4" w:space="0" w:color="000000"/>
              <w:bottom w:val="nil"/>
              <w:right w:val="single" w:sz="4" w:space="0" w:color="000000"/>
            </w:tcBorders>
          </w:tcPr>
          <w:p w14:paraId="0A0B80A4" w14:textId="77777777" w:rsidR="008738CA" w:rsidRDefault="008738CA" w:rsidP="008738CA">
            <w:pPr>
              <w:spacing w:after="0"/>
              <w:ind w:left="0" w:right="0" w:firstLine="0"/>
              <w:jc w:val="left"/>
            </w:pPr>
            <w:r>
              <w:rPr>
                <w:sz w:val="22"/>
              </w:rPr>
              <w:t>Mean</w:t>
            </w:r>
            <w:r>
              <w:t xml:space="preserve"> </w:t>
            </w:r>
          </w:p>
        </w:tc>
        <w:tc>
          <w:tcPr>
            <w:tcW w:w="1309" w:type="dxa"/>
            <w:tcBorders>
              <w:top w:val="single" w:sz="4" w:space="0" w:color="000000"/>
              <w:left w:val="single" w:sz="4" w:space="0" w:color="000000"/>
              <w:bottom w:val="nil"/>
              <w:right w:val="single" w:sz="4" w:space="0" w:color="000000"/>
            </w:tcBorders>
            <w:vAlign w:val="bottom"/>
          </w:tcPr>
          <w:p w14:paraId="7652C10E" w14:textId="77777777" w:rsidR="008738CA" w:rsidRDefault="008738CA" w:rsidP="008738CA">
            <w:pPr>
              <w:spacing w:after="0"/>
              <w:ind w:left="0" w:right="110" w:firstLine="0"/>
              <w:jc w:val="right"/>
            </w:pPr>
            <w:r>
              <w:rPr>
                <w:sz w:val="22"/>
              </w:rPr>
              <w:t>0.01</w:t>
            </w:r>
            <w:r>
              <w:t xml:space="preserve"> </w:t>
            </w:r>
          </w:p>
        </w:tc>
        <w:tc>
          <w:tcPr>
            <w:tcW w:w="1366" w:type="dxa"/>
            <w:tcBorders>
              <w:top w:val="single" w:sz="4" w:space="0" w:color="000000"/>
              <w:left w:val="single" w:sz="4" w:space="0" w:color="000000"/>
              <w:bottom w:val="nil"/>
              <w:right w:val="single" w:sz="4" w:space="0" w:color="000000"/>
            </w:tcBorders>
            <w:vAlign w:val="bottom"/>
          </w:tcPr>
          <w:p w14:paraId="5FC5401A" w14:textId="77777777" w:rsidR="008738CA" w:rsidRDefault="008738CA" w:rsidP="008738CA">
            <w:pPr>
              <w:spacing w:after="0"/>
              <w:ind w:left="0" w:right="110" w:firstLine="0"/>
              <w:jc w:val="right"/>
            </w:pPr>
            <w:r>
              <w:rPr>
                <w:sz w:val="22"/>
              </w:rPr>
              <w:t>0.00</w:t>
            </w:r>
            <w:r>
              <w:t xml:space="preserve"> </w:t>
            </w:r>
          </w:p>
        </w:tc>
        <w:tc>
          <w:tcPr>
            <w:tcW w:w="1469" w:type="dxa"/>
            <w:tcBorders>
              <w:top w:val="single" w:sz="4" w:space="0" w:color="000000"/>
              <w:left w:val="single" w:sz="4" w:space="0" w:color="000000"/>
              <w:bottom w:val="nil"/>
              <w:right w:val="single" w:sz="4" w:space="0" w:color="000000"/>
            </w:tcBorders>
            <w:vAlign w:val="bottom"/>
          </w:tcPr>
          <w:p w14:paraId="2D3915C4" w14:textId="77777777" w:rsidR="008738CA" w:rsidRDefault="008738CA" w:rsidP="008738CA">
            <w:pPr>
              <w:spacing w:after="0"/>
              <w:ind w:left="0" w:right="110" w:firstLine="0"/>
              <w:jc w:val="right"/>
            </w:pPr>
            <w:r>
              <w:rPr>
                <w:sz w:val="22"/>
              </w:rPr>
              <w:t>1.31</w:t>
            </w:r>
            <w:r>
              <w:t xml:space="preserve"> </w:t>
            </w:r>
          </w:p>
        </w:tc>
        <w:tc>
          <w:tcPr>
            <w:tcW w:w="1396" w:type="dxa"/>
            <w:tcBorders>
              <w:top w:val="single" w:sz="4" w:space="0" w:color="000000"/>
              <w:left w:val="single" w:sz="4" w:space="0" w:color="000000"/>
              <w:bottom w:val="nil"/>
              <w:right w:val="single" w:sz="4" w:space="0" w:color="000000"/>
            </w:tcBorders>
            <w:vAlign w:val="bottom"/>
          </w:tcPr>
          <w:p w14:paraId="0204BE66" w14:textId="77777777" w:rsidR="008738CA" w:rsidRDefault="008738CA" w:rsidP="008738CA">
            <w:pPr>
              <w:spacing w:after="0"/>
              <w:ind w:left="0" w:right="110" w:firstLine="0"/>
              <w:jc w:val="right"/>
            </w:pPr>
            <w:r>
              <w:rPr>
                <w:sz w:val="22"/>
              </w:rPr>
              <w:t>0.07</w:t>
            </w:r>
            <w:r>
              <w:t xml:space="preserve"> </w:t>
            </w:r>
          </w:p>
        </w:tc>
        <w:tc>
          <w:tcPr>
            <w:tcW w:w="1361" w:type="dxa"/>
            <w:tcBorders>
              <w:top w:val="single" w:sz="4" w:space="0" w:color="000000"/>
              <w:left w:val="single" w:sz="4" w:space="0" w:color="000000"/>
              <w:bottom w:val="nil"/>
              <w:right w:val="single" w:sz="4" w:space="0" w:color="000000"/>
            </w:tcBorders>
            <w:vAlign w:val="bottom"/>
          </w:tcPr>
          <w:p w14:paraId="0B08F965" w14:textId="77777777" w:rsidR="008738CA" w:rsidRDefault="008738CA" w:rsidP="008738CA">
            <w:pPr>
              <w:spacing w:after="0"/>
              <w:ind w:left="0" w:right="110" w:firstLine="0"/>
              <w:jc w:val="right"/>
            </w:pPr>
            <w:r>
              <w:rPr>
                <w:sz w:val="22"/>
              </w:rPr>
              <w:t>2.90</w:t>
            </w:r>
            <w:r>
              <w:t xml:space="preserve"> </w:t>
            </w:r>
          </w:p>
        </w:tc>
        <w:tc>
          <w:tcPr>
            <w:tcW w:w="1153" w:type="dxa"/>
            <w:tcBorders>
              <w:top w:val="single" w:sz="4" w:space="0" w:color="000000"/>
              <w:left w:val="single" w:sz="4" w:space="0" w:color="000000"/>
              <w:bottom w:val="nil"/>
              <w:right w:val="single" w:sz="4" w:space="0" w:color="000000"/>
            </w:tcBorders>
            <w:vAlign w:val="bottom"/>
          </w:tcPr>
          <w:p w14:paraId="09FFE757" w14:textId="68844F68" w:rsidR="008738CA" w:rsidRDefault="008738CA" w:rsidP="008738CA">
            <w:pPr>
              <w:spacing w:after="0"/>
              <w:ind w:left="0" w:right="110" w:firstLine="0"/>
              <w:jc w:val="right"/>
              <w:rPr>
                <w:sz w:val="22"/>
              </w:rPr>
            </w:pPr>
            <w:r>
              <w:rPr>
                <w:rFonts w:ascii="Calibri" w:hAnsi="Calibri" w:cs="Calibri"/>
                <w:sz w:val="22"/>
                <w:szCs w:val="22"/>
              </w:rPr>
              <w:t>224.77</w:t>
            </w:r>
          </w:p>
        </w:tc>
      </w:tr>
      <w:tr w:rsidR="008738CA" w14:paraId="1C993D27" w14:textId="395A9F64" w:rsidTr="00FD0308">
        <w:trPr>
          <w:trHeight w:val="505"/>
        </w:trPr>
        <w:tc>
          <w:tcPr>
            <w:tcW w:w="1384" w:type="dxa"/>
            <w:tcBorders>
              <w:top w:val="nil"/>
              <w:left w:val="single" w:sz="4" w:space="0" w:color="000000"/>
              <w:bottom w:val="nil"/>
              <w:right w:val="single" w:sz="4" w:space="0" w:color="000000"/>
            </w:tcBorders>
          </w:tcPr>
          <w:p w14:paraId="24AF91FD" w14:textId="77777777" w:rsidR="008738CA" w:rsidRDefault="008738CA" w:rsidP="008738CA">
            <w:pPr>
              <w:spacing w:after="0"/>
              <w:ind w:left="0" w:right="0" w:firstLine="0"/>
              <w:jc w:val="left"/>
            </w:pPr>
            <w:r>
              <w:rPr>
                <w:sz w:val="22"/>
              </w:rPr>
              <w:t>Standard Deviation</w:t>
            </w:r>
            <w:r>
              <w:t xml:space="preserve"> </w:t>
            </w:r>
          </w:p>
        </w:tc>
        <w:tc>
          <w:tcPr>
            <w:tcW w:w="1309" w:type="dxa"/>
            <w:tcBorders>
              <w:top w:val="nil"/>
              <w:left w:val="single" w:sz="4" w:space="0" w:color="000000"/>
              <w:bottom w:val="nil"/>
              <w:right w:val="single" w:sz="4" w:space="0" w:color="000000"/>
            </w:tcBorders>
            <w:vAlign w:val="bottom"/>
          </w:tcPr>
          <w:p w14:paraId="7E806BF3" w14:textId="77777777" w:rsidR="008738CA" w:rsidRDefault="008738CA" w:rsidP="008738CA">
            <w:pPr>
              <w:spacing w:after="0"/>
              <w:ind w:left="0" w:right="110" w:firstLine="0"/>
              <w:jc w:val="right"/>
            </w:pPr>
            <w:r>
              <w:rPr>
                <w:sz w:val="22"/>
              </w:rPr>
              <w:t>0.01</w:t>
            </w:r>
            <w:r>
              <w:t xml:space="preserve"> </w:t>
            </w:r>
          </w:p>
        </w:tc>
        <w:tc>
          <w:tcPr>
            <w:tcW w:w="1366" w:type="dxa"/>
            <w:tcBorders>
              <w:top w:val="nil"/>
              <w:left w:val="single" w:sz="4" w:space="0" w:color="000000"/>
              <w:bottom w:val="nil"/>
              <w:right w:val="single" w:sz="4" w:space="0" w:color="000000"/>
            </w:tcBorders>
            <w:vAlign w:val="bottom"/>
          </w:tcPr>
          <w:p w14:paraId="1FBA4FB3" w14:textId="77777777" w:rsidR="008738CA" w:rsidRDefault="008738CA" w:rsidP="008738CA">
            <w:pPr>
              <w:spacing w:after="0"/>
              <w:ind w:left="0" w:right="110" w:firstLine="0"/>
              <w:jc w:val="right"/>
            </w:pPr>
            <w:r>
              <w:rPr>
                <w:sz w:val="22"/>
              </w:rPr>
              <w:t>0.00</w:t>
            </w:r>
            <w:r>
              <w:t xml:space="preserve"> </w:t>
            </w:r>
          </w:p>
        </w:tc>
        <w:tc>
          <w:tcPr>
            <w:tcW w:w="1469" w:type="dxa"/>
            <w:tcBorders>
              <w:top w:val="nil"/>
              <w:left w:val="single" w:sz="4" w:space="0" w:color="000000"/>
              <w:bottom w:val="nil"/>
              <w:right w:val="single" w:sz="4" w:space="0" w:color="000000"/>
            </w:tcBorders>
            <w:vAlign w:val="bottom"/>
          </w:tcPr>
          <w:p w14:paraId="49905AC5" w14:textId="77777777" w:rsidR="008738CA" w:rsidRDefault="008738CA" w:rsidP="008738CA">
            <w:pPr>
              <w:spacing w:after="0"/>
              <w:ind w:left="0" w:right="110" w:firstLine="0"/>
              <w:jc w:val="right"/>
            </w:pPr>
            <w:r>
              <w:rPr>
                <w:sz w:val="22"/>
              </w:rPr>
              <w:t>2.82</w:t>
            </w:r>
            <w:r>
              <w:t xml:space="preserve"> </w:t>
            </w:r>
          </w:p>
        </w:tc>
        <w:tc>
          <w:tcPr>
            <w:tcW w:w="1396" w:type="dxa"/>
            <w:tcBorders>
              <w:top w:val="nil"/>
              <w:left w:val="single" w:sz="4" w:space="0" w:color="000000"/>
              <w:bottom w:val="nil"/>
              <w:right w:val="single" w:sz="4" w:space="0" w:color="000000"/>
            </w:tcBorders>
            <w:vAlign w:val="bottom"/>
          </w:tcPr>
          <w:p w14:paraId="41F7221D" w14:textId="77777777" w:rsidR="008738CA" w:rsidRDefault="008738CA" w:rsidP="008738CA">
            <w:pPr>
              <w:spacing w:after="0"/>
              <w:ind w:left="0" w:right="110" w:firstLine="0"/>
              <w:jc w:val="right"/>
            </w:pPr>
            <w:r>
              <w:rPr>
                <w:sz w:val="22"/>
              </w:rPr>
              <w:t>0.03</w:t>
            </w:r>
            <w:r>
              <w:t xml:space="preserve"> </w:t>
            </w:r>
          </w:p>
        </w:tc>
        <w:tc>
          <w:tcPr>
            <w:tcW w:w="1361" w:type="dxa"/>
            <w:tcBorders>
              <w:top w:val="nil"/>
              <w:left w:val="single" w:sz="4" w:space="0" w:color="000000"/>
              <w:bottom w:val="nil"/>
              <w:right w:val="single" w:sz="4" w:space="0" w:color="000000"/>
            </w:tcBorders>
            <w:vAlign w:val="bottom"/>
          </w:tcPr>
          <w:p w14:paraId="40E4979D" w14:textId="77777777" w:rsidR="008738CA" w:rsidRDefault="008738CA" w:rsidP="008738CA">
            <w:pPr>
              <w:spacing w:after="0"/>
              <w:ind w:left="0" w:right="110" w:firstLine="0"/>
              <w:jc w:val="right"/>
            </w:pPr>
            <w:r>
              <w:rPr>
                <w:sz w:val="22"/>
              </w:rPr>
              <w:t>1.05</w:t>
            </w:r>
            <w:r>
              <w:t xml:space="preserve"> </w:t>
            </w:r>
          </w:p>
        </w:tc>
        <w:tc>
          <w:tcPr>
            <w:tcW w:w="1153" w:type="dxa"/>
            <w:tcBorders>
              <w:top w:val="nil"/>
              <w:left w:val="single" w:sz="4" w:space="0" w:color="000000"/>
              <w:bottom w:val="nil"/>
              <w:right w:val="single" w:sz="4" w:space="0" w:color="000000"/>
            </w:tcBorders>
            <w:vAlign w:val="bottom"/>
          </w:tcPr>
          <w:p w14:paraId="64A18E4D" w14:textId="36E73222" w:rsidR="008738CA" w:rsidRDefault="008738CA" w:rsidP="008738CA">
            <w:pPr>
              <w:spacing w:after="0"/>
              <w:ind w:left="0" w:right="110" w:firstLine="0"/>
              <w:jc w:val="right"/>
              <w:rPr>
                <w:sz w:val="22"/>
              </w:rPr>
            </w:pPr>
            <w:r>
              <w:rPr>
                <w:rFonts w:ascii="Calibri" w:hAnsi="Calibri" w:cs="Calibri"/>
                <w:sz w:val="22"/>
                <w:szCs w:val="22"/>
              </w:rPr>
              <w:t>216.40</w:t>
            </w:r>
          </w:p>
        </w:tc>
      </w:tr>
      <w:tr w:rsidR="008738CA" w14:paraId="48099258" w14:textId="24DD0B0C" w:rsidTr="00FD0308">
        <w:trPr>
          <w:trHeight w:val="360"/>
        </w:trPr>
        <w:tc>
          <w:tcPr>
            <w:tcW w:w="1384" w:type="dxa"/>
            <w:tcBorders>
              <w:top w:val="nil"/>
              <w:left w:val="single" w:sz="4" w:space="0" w:color="000000"/>
              <w:bottom w:val="nil"/>
              <w:right w:val="single" w:sz="4" w:space="0" w:color="000000"/>
            </w:tcBorders>
          </w:tcPr>
          <w:p w14:paraId="3DCBAFD9" w14:textId="77777777" w:rsidR="008738CA" w:rsidRDefault="008738CA" w:rsidP="008738CA">
            <w:pPr>
              <w:spacing w:after="0"/>
              <w:ind w:left="0" w:right="0" w:firstLine="0"/>
              <w:jc w:val="left"/>
            </w:pPr>
            <w:r>
              <w:rPr>
                <w:sz w:val="22"/>
              </w:rPr>
              <w:t>Min</w:t>
            </w:r>
            <w:r>
              <w:t xml:space="preserve"> </w:t>
            </w:r>
          </w:p>
        </w:tc>
        <w:tc>
          <w:tcPr>
            <w:tcW w:w="1309" w:type="dxa"/>
            <w:tcBorders>
              <w:top w:val="nil"/>
              <w:left w:val="single" w:sz="4" w:space="0" w:color="000000"/>
              <w:bottom w:val="nil"/>
              <w:right w:val="single" w:sz="4" w:space="0" w:color="000000"/>
            </w:tcBorders>
            <w:vAlign w:val="bottom"/>
          </w:tcPr>
          <w:p w14:paraId="4A25F7E4" w14:textId="77777777" w:rsidR="008738CA" w:rsidRDefault="008738CA" w:rsidP="008738CA">
            <w:pPr>
              <w:spacing w:after="0"/>
              <w:ind w:left="0" w:right="110" w:firstLine="0"/>
              <w:jc w:val="right"/>
            </w:pPr>
            <w:r>
              <w:rPr>
                <w:sz w:val="22"/>
              </w:rPr>
              <w:t>-0.01</w:t>
            </w:r>
            <w:r>
              <w:t xml:space="preserve"> </w:t>
            </w:r>
          </w:p>
        </w:tc>
        <w:tc>
          <w:tcPr>
            <w:tcW w:w="1366" w:type="dxa"/>
            <w:tcBorders>
              <w:top w:val="nil"/>
              <w:left w:val="single" w:sz="4" w:space="0" w:color="000000"/>
              <w:bottom w:val="nil"/>
              <w:right w:val="single" w:sz="4" w:space="0" w:color="000000"/>
            </w:tcBorders>
            <w:vAlign w:val="bottom"/>
          </w:tcPr>
          <w:p w14:paraId="2DA3BA6C" w14:textId="77777777" w:rsidR="008738CA" w:rsidRDefault="008738CA" w:rsidP="008738CA">
            <w:pPr>
              <w:spacing w:after="0"/>
              <w:ind w:left="0" w:right="110" w:firstLine="0"/>
              <w:jc w:val="right"/>
            </w:pPr>
            <w:r>
              <w:rPr>
                <w:sz w:val="22"/>
              </w:rPr>
              <w:t>0.00</w:t>
            </w:r>
            <w:r>
              <w:t xml:space="preserve"> </w:t>
            </w:r>
          </w:p>
        </w:tc>
        <w:tc>
          <w:tcPr>
            <w:tcW w:w="1469" w:type="dxa"/>
            <w:tcBorders>
              <w:top w:val="nil"/>
              <w:left w:val="single" w:sz="4" w:space="0" w:color="000000"/>
              <w:bottom w:val="nil"/>
              <w:right w:val="single" w:sz="4" w:space="0" w:color="000000"/>
            </w:tcBorders>
            <w:vAlign w:val="bottom"/>
          </w:tcPr>
          <w:p w14:paraId="7D339DD8" w14:textId="77777777" w:rsidR="008738CA" w:rsidRDefault="008738CA" w:rsidP="008738CA">
            <w:pPr>
              <w:spacing w:after="0"/>
              <w:ind w:left="0" w:right="110" w:firstLine="0"/>
              <w:jc w:val="right"/>
            </w:pPr>
            <w:r>
              <w:rPr>
                <w:sz w:val="22"/>
              </w:rPr>
              <w:t>-6.92</w:t>
            </w:r>
            <w:r>
              <w:t xml:space="preserve"> </w:t>
            </w:r>
          </w:p>
        </w:tc>
        <w:tc>
          <w:tcPr>
            <w:tcW w:w="1396" w:type="dxa"/>
            <w:tcBorders>
              <w:top w:val="nil"/>
              <w:left w:val="single" w:sz="4" w:space="0" w:color="000000"/>
              <w:bottom w:val="nil"/>
              <w:right w:val="single" w:sz="4" w:space="0" w:color="000000"/>
            </w:tcBorders>
            <w:vAlign w:val="bottom"/>
          </w:tcPr>
          <w:p w14:paraId="403B54CA" w14:textId="77777777" w:rsidR="008738CA" w:rsidRDefault="008738CA" w:rsidP="008738CA">
            <w:pPr>
              <w:spacing w:after="0"/>
              <w:ind w:left="0" w:right="110" w:firstLine="0"/>
              <w:jc w:val="right"/>
            </w:pPr>
            <w:r>
              <w:rPr>
                <w:sz w:val="22"/>
              </w:rPr>
              <w:t>0.04</w:t>
            </w:r>
            <w:r>
              <w:t xml:space="preserve"> </w:t>
            </w:r>
          </w:p>
        </w:tc>
        <w:tc>
          <w:tcPr>
            <w:tcW w:w="1361" w:type="dxa"/>
            <w:tcBorders>
              <w:top w:val="nil"/>
              <w:left w:val="single" w:sz="4" w:space="0" w:color="000000"/>
              <w:bottom w:val="nil"/>
              <w:right w:val="single" w:sz="4" w:space="0" w:color="000000"/>
            </w:tcBorders>
            <w:vAlign w:val="bottom"/>
          </w:tcPr>
          <w:p w14:paraId="3F30A3D2" w14:textId="77777777" w:rsidR="008738CA" w:rsidRDefault="008738CA" w:rsidP="008738CA">
            <w:pPr>
              <w:spacing w:after="0"/>
              <w:ind w:left="0" w:right="110" w:firstLine="0"/>
              <w:jc w:val="right"/>
            </w:pPr>
            <w:r>
              <w:rPr>
                <w:sz w:val="22"/>
              </w:rPr>
              <w:t>1.28</w:t>
            </w:r>
            <w:r>
              <w:t xml:space="preserve"> </w:t>
            </w:r>
          </w:p>
        </w:tc>
        <w:tc>
          <w:tcPr>
            <w:tcW w:w="1153" w:type="dxa"/>
            <w:tcBorders>
              <w:top w:val="nil"/>
              <w:left w:val="single" w:sz="4" w:space="0" w:color="000000"/>
              <w:bottom w:val="nil"/>
              <w:right w:val="single" w:sz="4" w:space="0" w:color="000000"/>
            </w:tcBorders>
            <w:vAlign w:val="bottom"/>
          </w:tcPr>
          <w:p w14:paraId="4EFD947D" w14:textId="5E7B1BAA" w:rsidR="008738CA" w:rsidRDefault="008738CA" w:rsidP="008738CA">
            <w:pPr>
              <w:spacing w:after="0"/>
              <w:ind w:left="0" w:right="110" w:firstLine="0"/>
              <w:jc w:val="right"/>
              <w:rPr>
                <w:sz w:val="22"/>
              </w:rPr>
            </w:pPr>
            <w:r>
              <w:rPr>
                <w:rFonts w:ascii="Calibri" w:hAnsi="Calibri" w:cs="Calibri"/>
                <w:sz w:val="22"/>
                <w:szCs w:val="22"/>
              </w:rPr>
              <w:t>5.38</w:t>
            </w:r>
          </w:p>
        </w:tc>
      </w:tr>
      <w:tr w:rsidR="008738CA" w14:paraId="1E11B1A8" w14:textId="71366409" w:rsidTr="00FD0308">
        <w:trPr>
          <w:trHeight w:val="360"/>
        </w:trPr>
        <w:tc>
          <w:tcPr>
            <w:tcW w:w="1384" w:type="dxa"/>
            <w:tcBorders>
              <w:top w:val="nil"/>
              <w:left w:val="single" w:sz="4" w:space="0" w:color="000000"/>
              <w:bottom w:val="nil"/>
              <w:right w:val="single" w:sz="4" w:space="0" w:color="000000"/>
            </w:tcBorders>
          </w:tcPr>
          <w:p w14:paraId="324018C1" w14:textId="77777777" w:rsidR="008738CA" w:rsidRDefault="008738CA" w:rsidP="008738CA">
            <w:pPr>
              <w:spacing w:after="0"/>
              <w:ind w:left="0" w:right="0" w:firstLine="0"/>
              <w:jc w:val="left"/>
            </w:pPr>
            <w:r>
              <w:rPr>
                <w:sz w:val="22"/>
              </w:rPr>
              <w:t>Max</w:t>
            </w:r>
            <w:r>
              <w:t xml:space="preserve"> </w:t>
            </w:r>
          </w:p>
        </w:tc>
        <w:tc>
          <w:tcPr>
            <w:tcW w:w="1309" w:type="dxa"/>
            <w:tcBorders>
              <w:top w:val="nil"/>
              <w:left w:val="single" w:sz="4" w:space="0" w:color="000000"/>
              <w:bottom w:val="nil"/>
              <w:right w:val="single" w:sz="4" w:space="0" w:color="000000"/>
            </w:tcBorders>
            <w:vAlign w:val="bottom"/>
          </w:tcPr>
          <w:p w14:paraId="60027555" w14:textId="77777777" w:rsidR="008738CA" w:rsidRDefault="008738CA" w:rsidP="008738CA">
            <w:pPr>
              <w:spacing w:after="0"/>
              <w:ind w:left="0" w:right="110" w:firstLine="0"/>
              <w:jc w:val="right"/>
            </w:pPr>
            <w:r>
              <w:rPr>
                <w:sz w:val="22"/>
              </w:rPr>
              <w:t>0.06</w:t>
            </w:r>
            <w:r>
              <w:t xml:space="preserve"> </w:t>
            </w:r>
          </w:p>
        </w:tc>
        <w:tc>
          <w:tcPr>
            <w:tcW w:w="1366" w:type="dxa"/>
            <w:tcBorders>
              <w:top w:val="nil"/>
              <w:left w:val="single" w:sz="4" w:space="0" w:color="000000"/>
              <w:bottom w:val="nil"/>
              <w:right w:val="single" w:sz="4" w:space="0" w:color="000000"/>
            </w:tcBorders>
            <w:vAlign w:val="bottom"/>
          </w:tcPr>
          <w:p w14:paraId="595C3A2F" w14:textId="77777777" w:rsidR="008738CA" w:rsidRDefault="008738CA" w:rsidP="008738CA">
            <w:pPr>
              <w:spacing w:after="0"/>
              <w:ind w:left="0" w:right="110" w:firstLine="0"/>
              <w:jc w:val="right"/>
            </w:pPr>
            <w:r>
              <w:rPr>
                <w:sz w:val="22"/>
              </w:rPr>
              <w:t>0.00</w:t>
            </w:r>
            <w:r>
              <w:t xml:space="preserve"> </w:t>
            </w:r>
          </w:p>
        </w:tc>
        <w:tc>
          <w:tcPr>
            <w:tcW w:w="1469" w:type="dxa"/>
            <w:tcBorders>
              <w:top w:val="nil"/>
              <w:left w:val="single" w:sz="4" w:space="0" w:color="000000"/>
              <w:bottom w:val="nil"/>
              <w:right w:val="single" w:sz="4" w:space="0" w:color="000000"/>
            </w:tcBorders>
            <w:vAlign w:val="bottom"/>
          </w:tcPr>
          <w:p w14:paraId="42310407" w14:textId="77777777" w:rsidR="008738CA" w:rsidRDefault="008738CA" w:rsidP="008738CA">
            <w:pPr>
              <w:spacing w:after="0"/>
              <w:ind w:left="0" w:right="110" w:firstLine="0"/>
              <w:jc w:val="right"/>
            </w:pPr>
            <w:r>
              <w:rPr>
                <w:sz w:val="22"/>
              </w:rPr>
              <w:t>5.54</w:t>
            </w:r>
            <w:r>
              <w:t xml:space="preserve"> </w:t>
            </w:r>
          </w:p>
        </w:tc>
        <w:tc>
          <w:tcPr>
            <w:tcW w:w="1396" w:type="dxa"/>
            <w:tcBorders>
              <w:top w:val="nil"/>
              <w:left w:val="single" w:sz="4" w:space="0" w:color="000000"/>
              <w:bottom w:val="nil"/>
              <w:right w:val="single" w:sz="4" w:space="0" w:color="000000"/>
            </w:tcBorders>
            <w:vAlign w:val="bottom"/>
          </w:tcPr>
          <w:p w14:paraId="6D744A0C" w14:textId="77777777" w:rsidR="008738CA" w:rsidRDefault="008738CA" w:rsidP="008738CA">
            <w:pPr>
              <w:spacing w:after="0"/>
              <w:ind w:left="0" w:right="110" w:firstLine="0"/>
              <w:jc w:val="right"/>
            </w:pPr>
            <w:r>
              <w:rPr>
                <w:sz w:val="22"/>
              </w:rPr>
              <w:t>0.14</w:t>
            </w:r>
            <w:r>
              <w:t xml:space="preserve"> </w:t>
            </w:r>
          </w:p>
        </w:tc>
        <w:tc>
          <w:tcPr>
            <w:tcW w:w="1361" w:type="dxa"/>
            <w:tcBorders>
              <w:top w:val="nil"/>
              <w:left w:val="single" w:sz="4" w:space="0" w:color="000000"/>
              <w:bottom w:val="nil"/>
              <w:right w:val="single" w:sz="4" w:space="0" w:color="000000"/>
            </w:tcBorders>
            <w:vAlign w:val="bottom"/>
          </w:tcPr>
          <w:p w14:paraId="21498F78" w14:textId="77777777" w:rsidR="008738CA" w:rsidRDefault="008738CA" w:rsidP="008738CA">
            <w:pPr>
              <w:spacing w:after="0"/>
              <w:ind w:left="0" w:right="110" w:firstLine="0"/>
              <w:jc w:val="right"/>
            </w:pPr>
            <w:r>
              <w:rPr>
                <w:sz w:val="22"/>
              </w:rPr>
              <w:t>4.41</w:t>
            </w:r>
            <w:r>
              <w:t xml:space="preserve"> </w:t>
            </w:r>
          </w:p>
        </w:tc>
        <w:tc>
          <w:tcPr>
            <w:tcW w:w="1153" w:type="dxa"/>
            <w:tcBorders>
              <w:top w:val="nil"/>
              <w:left w:val="single" w:sz="4" w:space="0" w:color="000000"/>
              <w:bottom w:val="nil"/>
              <w:right w:val="single" w:sz="4" w:space="0" w:color="000000"/>
            </w:tcBorders>
            <w:vAlign w:val="bottom"/>
          </w:tcPr>
          <w:p w14:paraId="4EA8AB4C" w14:textId="33E13661" w:rsidR="008738CA" w:rsidRDefault="008738CA" w:rsidP="008738CA">
            <w:pPr>
              <w:spacing w:after="0"/>
              <w:ind w:left="0" w:right="110" w:firstLine="0"/>
              <w:jc w:val="right"/>
              <w:rPr>
                <w:sz w:val="22"/>
              </w:rPr>
            </w:pPr>
            <w:r>
              <w:rPr>
                <w:rFonts w:ascii="Calibri" w:hAnsi="Calibri" w:cs="Calibri"/>
                <w:sz w:val="22"/>
                <w:szCs w:val="22"/>
              </w:rPr>
              <w:t>1139.67</w:t>
            </w:r>
          </w:p>
        </w:tc>
      </w:tr>
      <w:tr w:rsidR="008738CA" w14:paraId="2A2286E4" w14:textId="37C07088" w:rsidTr="00FD0308">
        <w:trPr>
          <w:trHeight w:val="360"/>
        </w:trPr>
        <w:tc>
          <w:tcPr>
            <w:tcW w:w="1384" w:type="dxa"/>
            <w:tcBorders>
              <w:top w:val="nil"/>
              <w:left w:val="single" w:sz="4" w:space="0" w:color="000000"/>
              <w:bottom w:val="nil"/>
              <w:right w:val="single" w:sz="4" w:space="0" w:color="000000"/>
            </w:tcBorders>
          </w:tcPr>
          <w:p w14:paraId="27D94350" w14:textId="77777777" w:rsidR="008738CA" w:rsidRDefault="008738CA" w:rsidP="008738CA">
            <w:pPr>
              <w:spacing w:after="0"/>
              <w:ind w:left="0" w:right="0" w:firstLine="0"/>
              <w:jc w:val="left"/>
            </w:pPr>
            <w:r>
              <w:rPr>
                <w:sz w:val="22"/>
              </w:rPr>
              <w:t>Median</w:t>
            </w:r>
            <w:r>
              <w:t xml:space="preserve"> </w:t>
            </w:r>
          </w:p>
        </w:tc>
        <w:tc>
          <w:tcPr>
            <w:tcW w:w="1309" w:type="dxa"/>
            <w:tcBorders>
              <w:top w:val="nil"/>
              <w:left w:val="single" w:sz="4" w:space="0" w:color="000000"/>
              <w:bottom w:val="nil"/>
              <w:right w:val="single" w:sz="4" w:space="0" w:color="000000"/>
            </w:tcBorders>
            <w:vAlign w:val="bottom"/>
          </w:tcPr>
          <w:p w14:paraId="54F82043" w14:textId="77777777" w:rsidR="008738CA" w:rsidRDefault="008738CA" w:rsidP="008738CA">
            <w:pPr>
              <w:spacing w:after="0"/>
              <w:ind w:left="0" w:right="110" w:firstLine="0"/>
              <w:jc w:val="right"/>
            </w:pPr>
            <w:r>
              <w:rPr>
                <w:sz w:val="22"/>
              </w:rPr>
              <w:t>0.01</w:t>
            </w:r>
            <w:r>
              <w:t xml:space="preserve"> </w:t>
            </w:r>
          </w:p>
        </w:tc>
        <w:tc>
          <w:tcPr>
            <w:tcW w:w="1366" w:type="dxa"/>
            <w:tcBorders>
              <w:top w:val="nil"/>
              <w:left w:val="single" w:sz="4" w:space="0" w:color="000000"/>
              <w:bottom w:val="nil"/>
              <w:right w:val="single" w:sz="4" w:space="0" w:color="000000"/>
            </w:tcBorders>
            <w:vAlign w:val="bottom"/>
          </w:tcPr>
          <w:p w14:paraId="4DFAA020" w14:textId="77777777" w:rsidR="008738CA" w:rsidRDefault="008738CA" w:rsidP="008738CA">
            <w:pPr>
              <w:spacing w:after="0"/>
              <w:ind w:left="0" w:right="110" w:firstLine="0"/>
              <w:jc w:val="right"/>
            </w:pPr>
            <w:r>
              <w:rPr>
                <w:sz w:val="22"/>
              </w:rPr>
              <w:t>0.00</w:t>
            </w:r>
            <w:r>
              <w:t xml:space="preserve"> </w:t>
            </w:r>
          </w:p>
        </w:tc>
        <w:tc>
          <w:tcPr>
            <w:tcW w:w="1469" w:type="dxa"/>
            <w:tcBorders>
              <w:top w:val="nil"/>
              <w:left w:val="single" w:sz="4" w:space="0" w:color="000000"/>
              <w:bottom w:val="nil"/>
              <w:right w:val="single" w:sz="4" w:space="0" w:color="000000"/>
            </w:tcBorders>
            <w:vAlign w:val="bottom"/>
          </w:tcPr>
          <w:p w14:paraId="22DDDA25" w14:textId="77777777" w:rsidR="008738CA" w:rsidRDefault="008738CA" w:rsidP="008738CA">
            <w:pPr>
              <w:spacing w:after="0"/>
              <w:ind w:left="0" w:right="110" w:firstLine="0"/>
              <w:jc w:val="right"/>
            </w:pPr>
            <w:r>
              <w:rPr>
                <w:sz w:val="22"/>
              </w:rPr>
              <w:t>1.71</w:t>
            </w:r>
            <w:r>
              <w:t xml:space="preserve"> </w:t>
            </w:r>
          </w:p>
        </w:tc>
        <w:tc>
          <w:tcPr>
            <w:tcW w:w="1396" w:type="dxa"/>
            <w:tcBorders>
              <w:top w:val="nil"/>
              <w:left w:val="single" w:sz="4" w:space="0" w:color="000000"/>
              <w:bottom w:val="nil"/>
              <w:right w:val="single" w:sz="4" w:space="0" w:color="000000"/>
            </w:tcBorders>
            <w:vAlign w:val="bottom"/>
          </w:tcPr>
          <w:p w14:paraId="34069436" w14:textId="77777777" w:rsidR="008738CA" w:rsidRDefault="008738CA" w:rsidP="008738CA">
            <w:pPr>
              <w:spacing w:after="0"/>
              <w:ind w:left="0" w:right="110" w:firstLine="0"/>
              <w:jc w:val="right"/>
            </w:pPr>
            <w:r>
              <w:rPr>
                <w:sz w:val="22"/>
              </w:rPr>
              <w:t>0.06</w:t>
            </w:r>
            <w:r>
              <w:t xml:space="preserve"> </w:t>
            </w:r>
          </w:p>
        </w:tc>
        <w:tc>
          <w:tcPr>
            <w:tcW w:w="1361" w:type="dxa"/>
            <w:tcBorders>
              <w:top w:val="nil"/>
              <w:left w:val="single" w:sz="4" w:space="0" w:color="000000"/>
              <w:bottom w:val="nil"/>
              <w:right w:val="single" w:sz="4" w:space="0" w:color="000000"/>
            </w:tcBorders>
            <w:vAlign w:val="bottom"/>
          </w:tcPr>
          <w:p w14:paraId="7B709C21" w14:textId="77777777" w:rsidR="008738CA" w:rsidRDefault="008738CA" w:rsidP="008738CA">
            <w:pPr>
              <w:spacing w:after="0"/>
              <w:ind w:left="0" w:right="110" w:firstLine="0"/>
              <w:jc w:val="right"/>
            </w:pPr>
            <w:r>
              <w:rPr>
                <w:sz w:val="22"/>
              </w:rPr>
              <w:t>3.01</w:t>
            </w:r>
            <w:r>
              <w:t xml:space="preserve"> </w:t>
            </w:r>
          </w:p>
        </w:tc>
        <w:tc>
          <w:tcPr>
            <w:tcW w:w="1153" w:type="dxa"/>
            <w:tcBorders>
              <w:top w:val="nil"/>
              <w:left w:val="single" w:sz="4" w:space="0" w:color="000000"/>
              <w:bottom w:val="nil"/>
              <w:right w:val="single" w:sz="4" w:space="0" w:color="000000"/>
            </w:tcBorders>
            <w:vAlign w:val="bottom"/>
          </w:tcPr>
          <w:p w14:paraId="6CA9D6CA" w14:textId="61EFF71C" w:rsidR="008738CA" w:rsidRDefault="008738CA" w:rsidP="008738CA">
            <w:pPr>
              <w:spacing w:after="0"/>
              <w:ind w:left="0" w:right="110" w:firstLine="0"/>
              <w:jc w:val="right"/>
              <w:rPr>
                <w:sz w:val="22"/>
              </w:rPr>
            </w:pPr>
            <w:r>
              <w:rPr>
                <w:rFonts w:ascii="Calibri" w:hAnsi="Calibri" w:cs="Calibri"/>
                <w:sz w:val="22"/>
                <w:szCs w:val="22"/>
              </w:rPr>
              <w:t>184.39</w:t>
            </w:r>
          </w:p>
        </w:tc>
      </w:tr>
      <w:tr w:rsidR="008738CA" w14:paraId="4259838B" w14:textId="4AA1E4DD" w:rsidTr="00FD0308">
        <w:trPr>
          <w:trHeight w:val="360"/>
        </w:trPr>
        <w:tc>
          <w:tcPr>
            <w:tcW w:w="1384" w:type="dxa"/>
            <w:tcBorders>
              <w:top w:val="nil"/>
              <w:left w:val="single" w:sz="4" w:space="0" w:color="000000"/>
              <w:bottom w:val="nil"/>
              <w:right w:val="single" w:sz="4" w:space="0" w:color="000000"/>
            </w:tcBorders>
          </w:tcPr>
          <w:p w14:paraId="099D97B2" w14:textId="77777777" w:rsidR="008738CA" w:rsidRDefault="008738CA" w:rsidP="008738CA">
            <w:pPr>
              <w:spacing w:after="0"/>
              <w:ind w:left="0" w:right="0" w:firstLine="0"/>
              <w:jc w:val="left"/>
            </w:pPr>
            <w:r>
              <w:rPr>
                <w:sz w:val="22"/>
              </w:rPr>
              <w:t>Skewness</w:t>
            </w:r>
            <w:r>
              <w:t xml:space="preserve"> </w:t>
            </w:r>
          </w:p>
        </w:tc>
        <w:tc>
          <w:tcPr>
            <w:tcW w:w="1309" w:type="dxa"/>
            <w:tcBorders>
              <w:top w:val="nil"/>
              <w:left w:val="single" w:sz="4" w:space="0" w:color="000000"/>
              <w:bottom w:val="nil"/>
              <w:right w:val="single" w:sz="4" w:space="0" w:color="000000"/>
            </w:tcBorders>
            <w:vAlign w:val="bottom"/>
          </w:tcPr>
          <w:p w14:paraId="7DD14A59" w14:textId="77777777" w:rsidR="008738CA" w:rsidRDefault="008738CA" w:rsidP="008738CA">
            <w:pPr>
              <w:spacing w:after="0"/>
              <w:ind w:left="0" w:right="110" w:firstLine="0"/>
              <w:jc w:val="right"/>
            </w:pPr>
            <w:r>
              <w:rPr>
                <w:sz w:val="22"/>
              </w:rPr>
              <w:t>1.07</w:t>
            </w:r>
            <w:r>
              <w:t xml:space="preserve"> </w:t>
            </w:r>
          </w:p>
        </w:tc>
        <w:tc>
          <w:tcPr>
            <w:tcW w:w="1366" w:type="dxa"/>
            <w:tcBorders>
              <w:top w:val="nil"/>
              <w:left w:val="single" w:sz="4" w:space="0" w:color="000000"/>
              <w:bottom w:val="nil"/>
              <w:right w:val="single" w:sz="4" w:space="0" w:color="000000"/>
            </w:tcBorders>
            <w:vAlign w:val="bottom"/>
          </w:tcPr>
          <w:p w14:paraId="611E2B7F" w14:textId="77777777" w:rsidR="008738CA" w:rsidRDefault="008738CA" w:rsidP="008738CA">
            <w:pPr>
              <w:spacing w:after="0"/>
              <w:ind w:left="0" w:right="110" w:firstLine="0"/>
              <w:jc w:val="right"/>
            </w:pPr>
            <w:r>
              <w:rPr>
                <w:sz w:val="22"/>
              </w:rPr>
              <w:t>-0.76</w:t>
            </w:r>
            <w:r>
              <w:t xml:space="preserve"> </w:t>
            </w:r>
          </w:p>
        </w:tc>
        <w:tc>
          <w:tcPr>
            <w:tcW w:w="1469" w:type="dxa"/>
            <w:tcBorders>
              <w:top w:val="nil"/>
              <w:left w:val="single" w:sz="4" w:space="0" w:color="000000"/>
              <w:bottom w:val="nil"/>
              <w:right w:val="single" w:sz="4" w:space="0" w:color="000000"/>
            </w:tcBorders>
            <w:vAlign w:val="bottom"/>
          </w:tcPr>
          <w:p w14:paraId="5D778804" w14:textId="77777777" w:rsidR="008738CA" w:rsidRDefault="008738CA" w:rsidP="008738CA">
            <w:pPr>
              <w:spacing w:after="0"/>
              <w:ind w:left="0" w:right="110" w:firstLine="0"/>
              <w:jc w:val="right"/>
            </w:pPr>
            <w:r>
              <w:rPr>
                <w:sz w:val="22"/>
              </w:rPr>
              <w:t>-1.77</w:t>
            </w:r>
            <w:r>
              <w:t xml:space="preserve"> </w:t>
            </w:r>
          </w:p>
        </w:tc>
        <w:tc>
          <w:tcPr>
            <w:tcW w:w="1396" w:type="dxa"/>
            <w:tcBorders>
              <w:top w:val="nil"/>
              <w:left w:val="single" w:sz="4" w:space="0" w:color="000000"/>
              <w:bottom w:val="nil"/>
              <w:right w:val="single" w:sz="4" w:space="0" w:color="000000"/>
            </w:tcBorders>
            <w:vAlign w:val="bottom"/>
          </w:tcPr>
          <w:p w14:paraId="4DA9FC56" w14:textId="77777777" w:rsidR="008738CA" w:rsidRDefault="008738CA" w:rsidP="008738CA">
            <w:pPr>
              <w:spacing w:after="0"/>
              <w:ind w:left="0" w:right="110" w:firstLine="0"/>
              <w:jc w:val="right"/>
            </w:pPr>
            <w:r>
              <w:rPr>
                <w:sz w:val="22"/>
              </w:rPr>
              <w:t>1.66</w:t>
            </w:r>
            <w:r>
              <w:t xml:space="preserve"> </w:t>
            </w:r>
          </w:p>
        </w:tc>
        <w:tc>
          <w:tcPr>
            <w:tcW w:w="1361" w:type="dxa"/>
            <w:tcBorders>
              <w:top w:val="nil"/>
              <w:left w:val="single" w:sz="4" w:space="0" w:color="000000"/>
              <w:bottom w:val="nil"/>
              <w:right w:val="single" w:sz="4" w:space="0" w:color="000000"/>
            </w:tcBorders>
            <w:vAlign w:val="bottom"/>
          </w:tcPr>
          <w:p w14:paraId="0D4244E3" w14:textId="77777777" w:rsidR="008738CA" w:rsidRDefault="008738CA" w:rsidP="008738CA">
            <w:pPr>
              <w:spacing w:after="0"/>
              <w:ind w:left="0" w:right="110" w:firstLine="0"/>
              <w:jc w:val="right"/>
            </w:pPr>
            <w:r>
              <w:rPr>
                <w:sz w:val="22"/>
              </w:rPr>
              <w:t>-0.06</w:t>
            </w:r>
            <w:r>
              <w:t xml:space="preserve"> </w:t>
            </w:r>
          </w:p>
        </w:tc>
        <w:tc>
          <w:tcPr>
            <w:tcW w:w="1153" w:type="dxa"/>
            <w:tcBorders>
              <w:top w:val="nil"/>
              <w:left w:val="single" w:sz="4" w:space="0" w:color="000000"/>
              <w:bottom w:val="nil"/>
              <w:right w:val="single" w:sz="4" w:space="0" w:color="000000"/>
            </w:tcBorders>
            <w:vAlign w:val="bottom"/>
          </w:tcPr>
          <w:p w14:paraId="3FD5D843" w14:textId="4DE7DF23" w:rsidR="008738CA" w:rsidRDefault="008738CA" w:rsidP="008738CA">
            <w:pPr>
              <w:spacing w:after="0"/>
              <w:ind w:left="0" w:right="110" w:firstLine="0"/>
              <w:jc w:val="right"/>
              <w:rPr>
                <w:sz w:val="22"/>
              </w:rPr>
            </w:pPr>
            <w:r>
              <w:rPr>
                <w:rFonts w:ascii="Calibri" w:hAnsi="Calibri" w:cs="Calibri"/>
                <w:sz w:val="22"/>
                <w:szCs w:val="22"/>
              </w:rPr>
              <w:t>0.00</w:t>
            </w:r>
          </w:p>
        </w:tc>
      </w:tr>
      <w:tr w:rsidR="008738CA" w14:paraId="51620DD3" w14:textId="09D6645A" w:rsidTr="00FD0308">
        <w:trPr>
          <w:trHeight w:val="360"/>
        </w:trPr>
        <w:tc>
          <w:tcPr>
            <w:tcW w:w="1384" w:type="dxa"/>
            <w:tcBorders>
              <w:top w:val="nil"/>
              <w:left w:val="single" w:sz="4" w:space="0" w:color="000000"/>
              <w:bottom w:val="nil"/>
              <w:right w:val="single" w:sz="4" w:space="0" w:color="000000"/>
            </w:tcBorders>
          </w:tcPr>
          <w:p w14:paraId="7F18457B" w14:textId="77777777" w:rsidR="008738CA" w:rsidRDefault="008738CA" w:rsidP="008738CA">
            <w:pPr>
              <w:spacing w:after="0"/>
              <w:ind w:left="0" w:right="0" w:firstLine="0"/>
              <w:jc w:val="left"/>
            </w:pPr>
            <w:r>
              <w:rPr>
                <w:sz w:val="22"/>
              </w:rPr>
              <w:t>Kurtosis</w:t>
            </w:r>
            <w:r>
              <w:t xml:space="preserve"> </w:t>
            </w:r>
          </w:p>
        </w:tc>
        <w:tc>
          <w:tcPr>
            <w:tcW w:w="1309" w:type="dxa"/>
            <w:tcBorders>
              <w:top w:val="nil"/>
              <w:left w:val="single" w:sz="4" w:space="0" w:color="000000"/>
              <w:bottom w:val="nil"/>
              <w:right w:val="single" w:sz="4" w:space="0" w:color="000000"/>
            </w:tcBorders>
            <w:vAlign w:val="bottom"/>
          </w:tcPr>
          <w:p w14:paraId="612E85A7" w14:textId="77777777" w:rsidR="008738CA" w:rsidRDefault="008738CA" w:rsidP="008738CA">
            <w:pPr>
              <w:spacing w:after="0"/>
              <w:ind w:left="0" w:right="110" w:firstLine="0"/>
              <w:jc w:val="right"/>
            </w:pPr>
            <w:r>
              <w:rPr>
                <w:sz w:val="22"/>
              </w:rPr>
              <w:t>1.52</w:t>
            </w:r>
            <w:r>
              <w:t xml:space="preserve"> </w:t>
            </w:r>
          </w:p>
        </w:tc>
        <w:tc>
          <w:tcPr>
            <w:tcW w:w="1366" w:type="dxa"/>
            <w:tcBorders>
              <w:top w:val="nil"/>
              <w:left w:val="single" w:sz="4" w:space="0" w:color="000000"/>
              <w:bottom w:val="nil"/>
              <w:right w:val="single" w:sz="4" w:space="0" w:color="000000"/>
            </w:tcBorders>
            <w:vAlign w:val="bottom"/>
          </w:tcPr>
          <w:p w14:paraId="50CA4F2E" w14:textId="77777777" w:rsidR="008738CA" w:rsidRDefault="008738CA" w:rsidP="008738CA">
            <w:pPr>
              <w:spacing w:after="0"/>
              <w:ind w:left="0" w:right="110" w:firstLine="0"/>
              <w:jc w:val="right"/>
            </w:pPr>
            <w:r>
              <w:rPr>
                <w:sz w:val="22"/>
              </w:rPr>
              <w:t>2.37</w:t>
            </w:r>
            <w:r>
              <w:t xml:space="preserve"> </w:t>
            </w:r>
          </w:p>
        </w:tc>
        <w:tc>
          <w:tcPr>
            <w:tcW w:w="1469" w:type="dxa"/>
            <w:tcBorders>
              <w:top w:val="nil"/>
              <w:left w:val="single" w:sz="4" w:space="0" w:color="000000"/>
              <w:bottom w:val="nil"/>
              <w:right w:val="single" w:sz="4" w:space="0" w:color="000000"/>
            </w:tcBorders>
            <w:vAlign w:val="bottom"/>
          </w:tcPr>
          <w:p w14:paraId="7C4C66AF" w14:textId="77777777" w:rsidR="008738CA" w:rsidRDefault="008738CA" w:rsidP="008738CA">
            <w:pPr>
              <w:spacing w:after="0"/>
              <w:ind w:left="0" w:right="110" w:firstLine="0"/>
              <w:jc w:val="right"/>
            </w:pPr>
            <w:r>
              <w:rPr>
                <w:sz w:val="22"/>
              </w:rPr>
              <w:t>3.50</w:t>
            </w:r>
            <w:r>
              <w:t xml:space="preserve"> </w:t>
            </w:r>
          </w:p>
        </w:tc>
        <w:tc>
          <w:tcPr>
            <w:tcW w:w="1396" w:type="dxa"/>
            <w:tcBorders>
              <w:top w:val="nil"/>
              <w:left w:val="single" w:sz="4" w:space="0" w:color="000000"/>
              <w:bottom w:val="nil"/>
              <w:right w:val="single" w:sz="4" w:space="0" w:color="000000"/>
            </w:tcBorders>
            <w:vAlign w:val="bottom"/>
          </w:tcPr>
          <w:p w14:paraId="1A0C32A6" w14:textId="77777777" w:rsidR="008738CA" w:rsidRDefault="008738CA" w:rsidP="008738CA">
            <w:pPr>
              <w:spacing w:after="0"/>
              <w:ind w:left="0" w:right="110" w:firstLine="0"/>
              <w:jc w:val="right"/>
            </w:pPr>
            <w:r>
              <w:rPr>
                <w:sz w:val="22"/>
              </w:rPr>
              <w:t>2.24</w:t>
            </w:r>
            <w:r>
              <w:t xml:space="preserve"> </w:t>
            </w:r>
          </w:p>
        </w:tc>
        <w:tc>
          <w:tcPr>
            <w:tcW w:w="1361" w:type="dxa"/>
            <w:tcBorders>
              <w:top w:val="nil"/>
              <w:left w:val="single" w:sz="4" w:space="0" w:color="000000"/>
              <w:bottom w:val="nil"/>
              <w:right w:val="single" w:sz="4" w:space="0" w:color="000000"/>
            </w:tcBorders>
            <w:vAlign w:val="bottom"/>
          </w:tcPr>
          <w:p w14:paraId="60FFD382" w14:textId="77777777" w:rsidR="008738CA" w:rsidRDefault="008738CA" w:rsidP="008738CA">
            <w:pPr>
              <w:spacing w:after="0"/>
              <w:ind w:left="0" w:right="110" w:firstLine="0"/>
              <w:jc w:val="right"/>
            </w:pPr>
            <w:r>
              <w:rPr>
                <w:sz w:val="22"/>
              </w:rPr>
              <w:t>-1.32</w:t>
            </w:r>
            <w:r>
              <w:t xml:space="preserve"> </w:t>
            </w:r>
          </w:p>
        </w:tc>
        <w:tc>
          <w:tcPr>
            <w:tcW w:w="1153" w:type="dxa"/>
            <w:tcBorders>
              <w:top w:val="nil"/>
              <w:left w:val="single" w:sz="4" w:space="0" w:color="000000"/>
              <w:bottom w:val="nil"/>
              <w:right w:val="single" w:sz="4" w:space="0" w:color="000000"/>
            </w:tcBorders>
            <w:vAlign w:val="bottom"/>
          </w:tcPr>
          <w:p w14:paraId="00D4744A" w14:textId="5368261E" w:rsidR="008738CA" w:rsidRDefault="008738CA" w:rsidP="008738CA">
            <w:pPr>
              <w:spacing w:after="0"/>
              <w:ind w:left="0" w:right="110" w:firstLine="0"/>
              <w:jc w:val="right"/>
              <w:rPr>
                <w:sz w:val="22"/>
              </w:rPr>
            </w:pPr>
            <w:r>
              <w:rPr>
                <w:rFonts w:ascii="Calibri" w:hAnsi="Calibri" w:cs="Calibri"/>
                <w:sz w:val="22"/>
                <w:szCs w:val="22"/>
              </w:rPr>
              <w:t>0.00</w:t>
            </w:r>
          </w:p>
        </w:tc>
      </w:tr>
      <w:tr w:rsidR="008738CA" w14:paraId="02C63094" w14:textId="717DF912" w:rsidTr="00FD0308">
        <w:trPr>
          <w:trHeight w:val="360"/>
        </w:trPr>
        <w:tc>
          <w:tcPr>
            <w:tcW w:w="1384" w:type="dxa"/>
            <w:tcBorders>
              <w:top w:val="nil"/>
              <w:left w:val="single" w:sz="4" w:space="0" w:color="000000"/>
              <w:bottom w:val="nil"/>
              <w:right w:val="single" w:sz="4" w:space="0" w:color="000000"/>
            </w:tcBorders>
          </w:tcPr>
          <w:p w14:paraId="39B92B33" w14:textId="77777777" w:rsidR="008738CA" w:rsidRDefault="008738CA" w:rsidP="008738CA">
            <w:pPr>
              <w:spacing w:after="0"/>
              <w:ind w:left="0" w:right="0" w:firstLine="0"/>
              <w:jc w:val="left"/>
            </w:pPr>
            <w:r>
              <w:rPr>
                <w:sz w:val="22"/>
              </w:rPr>
              <w:t>ADF</w:t>
            </w:r>
            <w:r>
              <w:t xml:space="preserve"> </w:t>
            </w:r>
          </w:p>
        </w:tc>
        <w:tc>
          <w:tcPr>
            <w:tcW w:w="1309" w:type="dxa"/>
            <w:tcBorders>
              <w:top w:val="nil"/>
              <w:left w:val="single" w:sz="4" w:space="0" w:color="000000"/>
              <w:bottom w:val="nil"/>
              <w:right w:val="single" w:sz="4" w:space="0" w:color="000000"/>
            </w:tcBorders>
            <w:vAlign w:val="bottom"/>
          </w:tcPr>
          <w:p w14:paraId="0FBB0B50" w14:textId="77777777" w:rsidR="008738CA" w:rsidRDefault="008738CA" w:rsidP="008738CA">
            <w:pPr>
              <w:spacing w:after="0"/>
              <w:ind w:left="0" w:right="110" w:firstLine="0"/>
              <w:jc w:val="right"/>
            </w:pPr>
            <w:r>
              <w:rPr>
                <w:sz w:val="22"/>
              </w:rPr>
              <w:t>-3.46</w:t>
            </w:r>
            <w:r>
              <w:t xml:space="preserve"> </w:t>
            </w:r>
          </w:p>
        </w:tc>
        <w:tc>
          <w:tcPr>
            <w:tcW w:w="1366" w:type="dxa"/>
            <w:tcBorders>
              <w:top w:val="nil"/>
              <w:left w:val="single" w:sz="4" w:space="0" w:color="000000"/>
              <w:bottom w:val="nil"/>
              <w:right w:val="single" w:sz="4" w:space="0" w:color="000000"/>
            </w:tcBorders>
            <w:vAlign w:val="bottom"/>
          </w:tcPr>
          <w:p w14:paraId="15ADAFFE" w14:textId="77777777" w:rsidR="008738CA" w:rsidRDefault="008738CA" w:rsidP="008738CA">
            <w:pPr>
              <w:spacing w:after="0"/>
              <w:ind w:left="0" w:right="110" w:firstLine="0"/>
              <w:jc w:val="right"/>
            </w:pPr>
            <w:r>
              <w:rPr>
                <w:sz w:val="22"/>
              </w:rPr>
              <w:t>-3.70</w:t>
            </w:r>
            <w:r>
              <w:t xml:space="preserve"> </w:t>
            </w:r>
          </w:p>
        </w:tc>
        <w:tc>
          <w:tcPr>
            <w:tcW w:w="1469" w:type="dxa"/>
            <w:tcBorders>
              <w:top w:val="nil"/>
              <w:left w:val="single" w:sz="4" w:space="0" w:color="000000"/>
              <w:bottom w:val="nil"/>
              <w:right w:val="single" w:sz="4" w:space="0" w:color="000000"/>
            </w:tcBorders>
            <w:vAlign w:val="bottom"/>
          </w:tcPr>
          <w:p w14:paraId="43455207" w14:textId="77777777" w:rsidR="008738CA" w:rsidRDefault="008738CA" w:rsidP="008738CA">
            <w:pPr>
              <w:spacing w:after="0"/>
              <w:ind w:left="0" w:right="110" w:firstLine="0"/>
              <w:jc w:val="right"/>
            </w:pPr>
            <w:r>
              <w:rPr>
                <w:sz w:val="22"/>
              </w:rPr>
              <w:t>-5.86</w:t>
            </w:r>
            <w:r>
              <w:t xml:space="preserve"> </w:t>
            </w:r>
          </w:p>
        </w:tc>
        <w:tc>
          <w:tcPr>
            <w:tcW w:w="1396" w:type="dxa"/>
            <w:tcBorders>
              <w:top w:val="nil"/>
              <w:left w:val="single" w:sz="4" w:space="0" w:color="000000"/>
              <w:bottom w:val="nil"/>
              <w:right w:val="single" w:sz="4" w:space="0" w:color="000000"/>
            </w:tcBorders>
            <w:vAlign w:val="bottom"/>
          </w:tcPr>
          <w:p w14:paraId="5568BD92" w14:textId="77777777" w:rsidR="008738CA" w:rsidRDefault="008738CA" w:rsidP="008738CA">
            <w:pPr>
              <w:spacing w:after="0"/>
              <w:ind w:left="0" w:right="110" w:firstLine="0"/>
              <w:jc w:val="right"/>
            </w:pPr>
            <w:r>
              <w:rPr>
                <w:sz w:val="22"/>
              </w:rPr>
              <w:t>-6.89</w:t>
            </w:r>
            <w:r>
              <w:t xml:space="preserve"> </w:t>
            </w:r>
          </w:p>
        </w:tc>
        <w:tc>
          <w:tcPr>
            <w:tcW w:w="1361" w:type="dxa"/>
            <w:tcBorders>
              <w:top w:val="nil"/>
              <w:left w:val="single" w:sz="4" w:space="0" w:color="000000"/>
              <w:bottom w:val="nil"/>
              <w:right w:val="single" w:sz="4" w:space="0" w:color="000000"/>
            </w:tcBorders>
            <w:vAlign w:val="bottom"/>
          </w:tcPr>
          <w:p w14:paraId="2E3D5A83" w14:textId="77777777" w:rsidR="008738CA" w:rsidRDefault="008738CA" w:rsidP="008738CA">
            <w:pPr>
              <w:spacing w:after="0"/>
              <w:ind w:left="0" w:right="110" w:firstLine="0"/>
              <w:jc w:val="right"/>
            </w:pPr>
            <w:r>
              <w:rPr>
                <w:sz w:val="22"/>
              </w:rPr>
              <w:t>-6.40</w:t>
            </w:r>
            <w:r>
              <w:t xml:space="preserve"> </w:t>
            </w:r>
          </w:p>
        </w:tc>
        <w:tc>
          <w:tcPr>
            <w:tcW w:w="1153" w:type="dxa"/>
            <w:tcBorders>
              <w:top w:val="nil"/>
              <w:left w:val="single" w:sz="4" w:space="0" w:color="000000"/>
              <w:bottom w:val="nil"/>
              <w:right w:val="single" w:sz="4" w:space="0" w:color="000000"/>
            </w:tcBorders>
            <w:vAlign w:val="bottom"/>
          </w:tcPr>
          <w:p w14:paraId="08C91E9B" w14:textId="5D8B3605" w:rsidR="008738CA" w:rsidRDefault="008738CA" w:rsidP="008738CA">
            <w:pPr>
              <w:spacing w:after="0"/>
              <w:ind w:left="0" w:right="110" w:firstLine="0"/>
              <w:jc w:val="right"/>
              <w:rPr>
                <w:sz w:val="22"/>
              </w:rPr>
            </w:pPr>
            <w:r>
              <w:rPr>
                <w:rFonts w:ascii="Calibri" w:hAnsi="Calibri" w:cs="Calibri"/>
                <w:sz w:val="22"/>
                <w:szCs w:val="22"/>
              </w:rPr>
              <w:t>0.00</w:t>
            </w:r>
          </w:p>
        </w:tc>
      </w:tr>
      <w:tr w:rsidR="008738CA" w14:paraId="05E715B1" w14:textId="26A7D117" w:rsidTr="00FD0308">
        <w:trPr>
          <w:trHeight w:val="360"/>
        </w:trPr>
        <w:tc>
          <w:tcPr>
            <w:tcW w:w="1384" w:type="dxa"/>
            <w:tcBorders>
              <w:top w:val="nil"/>
              <w:left w:val="single" w:sz="4" w:space="0" w:color="000000"/>
              <w:bottom w:val="nil"/>
              <w:right w:val="single" w:sz="4" w:space="0" w:color="000000"/>
            </w:tcBorders>
          </w:tcPr>
          <w:p w14:paraId="08426134" w14:textId="77777777" w:rsidR="008738CA" w:rsidRDefault="008738CA" w:rsidP="008738CA">
            <w:pPr>
              <w:spacing w:after="0"/>
              <w:ind w:left="0" w:right="0" w:firstLine="0"/>
              <w:jc w:val="left"/>
            </w:pPr>
            <w:r>
              <w:rPr>
                <w:sz w:val="22"/>
              </w:rPr>
              <w:t>p-value</w:t>
            </w:r>
            <w:r>
              <w:t xml:space="preserve"> </w:t>
            </w:r>
          </w:p>
        </w:tc>
        <w:tc>
          <w:tcPr>
            <w:tcW w:w="1309" w:type="dxa"/>
            <w:tcBorders>
              <w:top w:val="nil"/>
              <w:left w:val="single" w:sz="4" w:space="0" w:color="000000"/>
              <w:bottom w:val="nil"/>
              <w:right w:val="single" w:sz="4" w:space="0" w:color="000000"/>
            </w:tcBorders>
            <w:vAlign w:val="bottom"/>
          </w:tcPr>
          <w:p w14:paraId="7597CDA6" w14:textId="77777777" w:rsidR="008738CA" w:rsidRDefault="008738CA" w:rsidP="008738CA">
            <w:pPr>
              <w:spacing w:after="0"/>
              <w:ind w:left="0" w:right="110" w:firstLine="0"/>
              <w:jc w:val="right"/>
            </w:pPr>
            <w:r>
              <w:rPr>
                <w:sz w:val="22"/>
              </w:rPr>
              <w:t>0.05</w:t>
            </w:r>
            <w:r>
              <w:t xml:space="preserve"> </w:t>
            </w:r>
          </w:p>
        </w:tc>
        <w:tc>
          <w:tcPr>
            <w:tcW w:w="1366" w:type="dxa"/>
            <w:tcBorders>
              <w:top w:val="nil"/>
              <w:left w:val="single" w:sz="4" w:space="0" w:color="000000"/>
              <w:bottom w:val="nil"/>
              <w:right w:val="single" w:sz="4" w:space="0" w:color="000000"/>
            </w:tcBorders>
            <w:vAlign w:val="bottom"/>
          </w:tcPr>
          <w:p w14:paraId="5BB94E42" w14:textId="77777777" w:rsidR="008738CA" w:rsidRDefault="008738CA" w:rsidP="008738CA">
            <w:pPr>
              <w:spacing w:after="0"/>
              <w:ind w:left="0" w:right="110" w:firstLine="0"/>
              <w:jc w:val="right"/>
            </w:pPr>
            <w:r>
              <w:rPr>
                <w:sz w:val="22"/>
              </w:rPr>
              <w:t>0.03</w:t>
            </w:r>
            <w:r>
              <w:t xml:space="preserve"> </w:t>
            </w:r>
          </w:p>
        </w:tc>
        <w:tc>
          <w:tcPr>
            <w:tcW w:w="1469" w:type="dxa"/>
            <w:tcBorders>
              <w:top w:val="nil"/>
              <w:left w:val="single" w:sz="4" w:space="0" w:color="000000"/>
              <w:bottom w:val="nil"/>
              <w:right w:val="single" w:sz="4" w:space="0" w:color="000000"/>
            </w:tcBorders>
            <w:vAlign w:val="bottom"/>
          </w:tcPr>
          <w:p w14:paraId="6EFC195C" w14:textId="77777777" w:rsidR="008738CA" w:rsidRDefault="008738CA" w:rsidP="008738CA">
            <w:pPr>
              <w:spacing w:after="0"/>
              <w:ind w:left="0" w:right="110" w:firstLine="0"/>
              <w:jc w:val="right"/>
            </w:pPr>
            <w:r>
              <w:rPr>
                <w:sz w:val="22"/>
              </w:rPr>
              <w:t>0.01</w:t>
            </w:r>
            <w:r>
              <w:t xml:space="preserve"> </w:t>
            </w:r>
          </w:p>
        </w:tc>
        <w:tc>
          <w:tcPr>
            <w:tcW w:w="1396" w:type="dxa"/>
            <w:tcBorders>
              <w:top w:val="nil"/>
              <w:left w:val="single" w:sz="4" w:space="0" w:color="000000"/>
              <w:bottom w:val="nil"/>
              <w:right w:val="single" w:sz="4" w:space="0" w:color="000000"/>
            </w:tcBorders>
            <w:vAlign w:val="bottom"/>
          </w:tcPr>
          <w:p w14:paraId="5865C107" w14:textId="77777777" w:rsidR="008738CA" w:rsidRDefault="008738CA" w:rsidP="008738CA">
            <w:pPr>
              <w:spacing w:after="0"/>
              <w:ind w:left="0" w:right="110" w:firstLine="0"/>
              <w:jc w:val="right"/>
            </w:pPr>
            <w:r>
              <w:rPr>
                <w:sz w:val="22"/>
              </w:rPr>
              <w:t>0.01</w:t>
            </w:r>
            <w:r>
              <w:t xml:space="preserve"> </w:t>
            </w:r>
          </w:p>
        </w:tc>
        <w:tc>
          <w:tcPr>
            <w:tcW w:w="1361" w:type="dxa"/>
            <w:tcBorders>
              <w:top w:val="nil"/>
              <w:left w:val="single" w:sz="4" w:space="0" w:color="000000"/>
              <w:bottom w:val="nil"/>
              <w:right w:val="single" w:sz="4" w:space="0" w:color="000000"/>
            </w:tcBorders>
            <w:vAlign w:val="bottom"/>
          </w:tcPr>
          <w:p w14:paraId="52AB04E1" w14:textId="77777777" w:rsidR="008738CA" w:rsidRDefault="008738CA" w:rsidP="008738CA">
            <w:pPr>
              <w:spacing w:after="0"/>
              <w:ind w:left="0" w:right="110" w:firstLine="0"/>
              <w:jc w:val="right"/>
            </w:pPr>
            <w:r>
              <w:rPr>
                <w:sz w:val="22"/>
              </w:rPr>
              <w:t>0.01</w:t>
            </w:r>
            <w:r>
              <w:t xml:space="preserve"> </w:t>
            </w:r>
          </w:p>
        </w:tc>
        <w:tc>
          <w:tcPr>
            <w:tcW w:w="1153" w:type="dxa"/>
            <w:tcBorders>
              <w:top w:val="nil"/>
              <w:left w:val="single" w:sz="4" w:space="0" w:color="000000"/>
              <w:bottom w:val="nil"/>
              <w:right w:val="single" w:sz="4" w:space="0" w:color="000000"/>
            </w:tcBorders>
            <w:vAlign w:val="bottom"/>
          </w:tcPr>
          <w:p w14:paraId="0F0D1C5A" w14:textId="40A457F3" w:rsidR="008738CA" w:rsidRDefault="008738CA" w:rsidP="008738CA">
            <w:pPr>
              <w:spacing w:after="0"/>
              <w:ind w:left="0" w:right="110" w:firstLine="0"/>
              <w:jc w:val="right"/>
              <w:rPr>
                <w:sz w:val="22"/>
              </w:rPr>
            </w:pPr>
            <w:r>
              <w:rPr>
                <w:rFonts w:ascii="Calibri" w:hAnsi="Calibri" w:cs="Calibri"/>
                <w:sz w:val="22"/>
                <w:szCs w:val="22"/>
              </w:rPr>
              <w:t>0.00</w:t>
            </w:r>
          </w:p>
        </w:tc>
      </w:tr>
      <w:tr w:rsidR="008738CA" w14:paraId="28C68904" w14:textId="050556A1" w:rsidTr="00FD0308">
        <w:trPr>
          <w:trHeight w:val="360"/>
        </w:trPr>
        <w:tc>
          <w:tcPr>
            <w:tcW w:w="1384" w:type="dxa"/>
            <w:tcBorders>
              <w:top w:val="nil"/>
              <w:left w:val="single" w:sz="4" w:space="0" w:color="000000"/>
              <w:bottom w:val="nil"/>
              <w:right w:val="single" w:sz="4" w:space="0" w:color="000000"/>
            </w:tcBorders>
          </w:tcPr>
          <w:p w14:paraId="0D37D4A3" w14:textId="77777777" w:rsidR="008738CA" w:rsidRDefault="008738CA" w:rsidP="008738CA">
            <w:pPr>
              <w:spacing w:after="0"/>
              <w:ind w:left="0" w:right="0" w:firstLine="0"/>
              <w:jc w:val="left"/>
            </w:pPr>
            <w:r>
              <w:rPr>
                <w:sz w:val="22"/>
              </w:rPr>
              <w:t>Jarque-Bera</w:t>
            </w:r>
            <w:r>
              <w:t xml:space="preserve"> </w:t>
            </w:r>
          </w:p>
        </w:tc>
        <w:tc>
          <w:tcPr>
            <w:tcW w:w="1309" w:type="dxa"/>
            <w:tcBorders>
              <w:top w:val="nil"/>
              <w:left w:val="single" w:sz="4" w:space="0" w:color="000000"/>
              <w:bottom w:val="nil"/>
              <w:right w:val="single" w:sz="4" w:space="0" w:color="000000"/>
            </w:tcBorders>
            <w:vAlign w:val="bottom"/>
          </w:tcPr>
          <w:p w14:paraId="31E52092" w14:textId="77777777" w:rsidR="008738CA" w:rsidRDefault="008738CA" w:rsidP="008738CA">
            <w:pPr>
              <w:spacing w:after="0"/>
              <w:ind w:left="0" w:right="110" w:firstLine="0"/>
              <w:jc w:val="right"/>
            </w:pPr>
            <w:r>
              <w:rPr>
                <w:sz w:val="22"/>
              </w:rPr>
              <w:t>32.72</w:t>
            </w:r>
            <w:r>
              <w:t xml:space="preserve"> </w:t>
            </w:r>
          </w:p>
        </w:tc>
        <w:tc>
          <w:tcPr>
            <w:tcW w:w="1366" w:type="dxa"/>
            <w:tcBorders>
              <w:top w:val="nil"/>
              <w:left w:val="single" w:sz="4" w:space="0" w:color="000000"/>
              <w:bottom w:val="nil"/>
              <w:right w:val="single" w:sz="4" w:space="0" w:color="000000"/>
            </w:tcBorders>
            <w:vAlign w:val="bottom"/>
          </w:tcPr>
          <w:p w14:paraId="3E1F5316" w14:textId="77777777" w:rsidR="008738CA" w:rsidRDefault="008738CA" w:rsidP="008738CA">
            <w:pPr>
              <w:spacing w:after="0"/>
              <w:ind w:left="0" w:right="110" w:firstLine="0"/>
              <w:jc w:val="right"/>
            </w:pPr>
            <w:r>
              <w:rPr>
                <w:sz w:val="22"/>
              </w:rPr>
              <w:t>38.19</w:t>
            </w:r>
            <w:r>
              <w:t xml:space="preserve"> </w:t>
            </w:r>
          </w:p>
        </w:tc>
        <w:tc>
          <w:tcPr>
            <w:tcW w:w="1469" w:type="dxa"/>
            <w:tcBorders>
              <w:top w:val="nil"/>
              <w:left w:val="single" w:sz="4" w:space="0" w:color="000000"/>
              <w:bottom w:val="nil"/>
              <w:right w:val="single" w:sz="4" w:space="0" w:color="000000"/>
            </w:tcBorders>
            <w:vAlign w:val="bottom"/>
          </w:tcPr>
          <w:p w14:paraId="52C348DC" w14:textId="77777777" w:rsidR="008738CA" w:rsidRDefault="008738CA" w:rsidP="008738CA">
            <w:pPr>
              <w:spacing w:after="0"/>
              <w:ind w:left="0" w:right="110" w:firstLine="0"/>
              <w:jc w:val="right"/>
            </w:pPr>
            <w:r>
              <w:rPr>
                <w:sz w:val="22"/>
              </w:rPr>
              <w:t>117.21</w:t>
            </w:r>
            <w:r>
              <w:t xml:space="preserve"> </w:t>
            </w:r>
          </w:p>
        </w:tc>
        <w:tc>
          <w:tcPr>
            <w:tcW w:w="1396" w:type="dxa"/>
            <w:tcBorders>
              <w:top w:val="nil"/>
              <w:left w:val="single" w:sz="4" w:space="0" w:color="000000"/>
              <w:bottom w:val="nil"/>
              <w:right w:val="single" w:sz="4" w:space="0" w:color="000000"/>
            </w:tcBorders>
            <w:vAlign w:val="bottom"/>
          </w:tcPr>
          <w:p w14:paraId="28CEFFE8" w14:textId="77777777" w:rsidR="008738CA" w:rsidRDefault="008738CA" w:rsidP="008738CA">
            <w:pPr>
              <w:spacing w:after="0"/>
              <w:ind w:left="0" w:right="110" w:firstLine="0"/>
              <w:jc w:val="right"/>
            </w:pPr>
            <w:r>
              <w:rPr>
                <w:sz w:val="22"/>
              </w:rPr>
              <w:t>75.65</w:t>
            </w:r>
            <w:r>
              <w:t xml:space="preserve"> </w:t>
            </w:r>
          </w:p>
        </w:tc>
        <w:tc>
          <w:tcPr>
            <w:tcW w:w="1361" w:type="dxa"/>
            <w:tcBorders>
              <w:top w:val="nil"/>
              <w:left w:val="single" w:sz="4" w:space="0" w:color="000000"/>
              <w:bottom w:val="nil"/>
              <w:right w:val="single" w:sz="4" w:space="0" w:color="000000"/>
            </w:tcBorders>
            <w:vAlign w:val="bottom"/>
          </w:tcPr>
          <w:p w14:paraId="283C34E9" w14:textId="77777777" w:rsidR="008738CA" w:rsidRDefault="008738CA" w:rsidP="008738CA">
            <w:pPr>
              <w:spacing w:after="0"/>
              <w:ind w:left="0" w:right="110" w:firstLine="0"/>
              <w:jc w:val="right"/>
            </w:pPr>
            <w:r>
              <w:rPr>
                <w:sz w:val="22"/>
              </w:rPr>
              <w:t>7.50</w:t>
            </w:r>
            <w:r>
              <w:t xml:space="preserve"> </w:t>
            </w:r>
          </w:p>
        </w:tc>
        <w:tc>
          <w:tcPr>
            <w:tcW w:w="1153" w:type="dxa"/>
            <w:tcBorders>
              <w:top w:val="nil"/>
              <w:left w:val="single" w:sz="4" w:space="0" w:color="000000"/>
              <w:bottom w:val="nil"/>
              <w:right w:val="single" w:sz="4" w:space="0" w:color="000000"/>
            </w:tcBorders>
            <w:vAlign w:val="bottom"/>
          </w:tcPr>
          <w:p w14:paraId="38D91F3A" w14:textId="7BCEE1F6" w:rsidR="008738CA" w:rsidRDefault="008738CA" w:rsidP="008738CA">
            <w:pPr>
              <w:spacing w:after="0"/>
              <w:ind w:left="0" w:right="110" w:firstLine="0"/>
              <w:jc w:val="right"/>
              <w:rPr>
                <w:sz w:val="22"/>
              </w:rPr>
            </w:pPr>
            <w:r>
              <w:rPr>
                <w:rFonts w:ascii="Calibri" w:hAnsi="Calibri" w:cs="Calibri"/>
                <w:sz w:val="22"/>
                <w:szCs w:val="22"/>
              </w:rPr>
              <w:t>0.00</w:t>
            </w:r>
          </w:p>
        </w:tc>
      </w:tr>
      <w:tr w:rsidR="008738CA" w14:paraId="74828FDF" w14:textId="7C8FCB82" w:rsidTr="00FD0308">
        <w:trPr>
          <w:trHeight w:val="512"/>
        </w:trPr>
        <w:tc>
          <w:tcPr>
            <w:tcW w:w="1384" w:type="dxa"/>
            <w:tcBorders>
              <w:top w:val="nil"/>
              <w:left w:val="single" w:sz="4" w:space="0" w:color="000000"/>
              <w:bottom w:val="single" w:sz="4" w:space="0" w:color="000000"/>
              <w:right w:val="single" w:sz="4" w:space="0" w:color="000000"/>
            </w:tcBorders>
          </w:tcPr>
          <w:p w14:paraId="63832509" w14:textId="77777777" w:rsidR="008738CA" w:rsidRDefault="008738CA" w:rsidP="008738CA">
            <w:pPr>
              <w:spacing w:after="0"/>
              <w:ind w:left="0" w:right="0" w:firstLine="0"/>
              <w:jc w:val="left"/>
            </w:pPr>
            <w:r>
              <w:rPr>
                <w:sz w:val="22"/>
              </w:rPr>
              <w:t xml:space="preserve">Jarque-Bera </w:t>
            </w:r>
            <w:proofErr w:type="spellStart"/>
            <w:r>
              <w:rPr>
                <w:sz w:val="22"/>
              </w:rPr>
              <w:t>pvalue</w:t>
            </w:r>
            <w:proofErr w:type="spellEnd"/>
            <w:r>
              <w:t xml:space="preserve"> </w:t>
            </w:r>
          </w:p>
        </w:tc>
        <w:tc>
          <w:tcPr>
            <w:tcW w:w="1309" w:type="dxa"/>
            <w:tcBorders>
              <w:top w:val="nil"/>
              <w:left w:val="single" w:sz="4" w:space="0" w:color="000000"/>
              <w:bottom w:val="single" w:sz="4" w:space="0" w:color="000000"/>
              <w:right w:val="single" w:sz="4" w:space="0" w:color="000000"/>
            </w:tcBorders>
            <w:vAlign w:val="bottom"/>
          </w:tcPr>
          <w:p w14:paraId="3930A828" w14:textId="77777777" w:rsidR="008738CA" w:rsidRDefault="008738CA" w:rsidP="008738CA">
            <w:pPr>
              <w:spacing w:after="0"/>
              <w:ind w:left="0" w:right="110" w:firstLine="0"/>
              <w:jc w:val="right"/>
            </w:pPr>
            <w:r>
              <w:rPr>
                <w:sz w:val="22"/>
              </w:rPr>
              <w:t>0.05</w:t>
            </w:r>
            <w:r>
              <w:t xml:space="preserve"> </w:t>
            </w:r>
          </w:p>
        </w:tc>
        <w:tc>
          <w:tcPr>
            <w:tcW w:w="1366" w:type="dxa"/>
            <w:tcBorders>
              <w:top w:val="nil"/>
              <w:left w:val="single" w:sz="4" w:space="0" w:color="000000"/>
              <w:bottom w:val="single" w:sz="4" w:space="0" w:color="000000"/>
              <w:right w:val="single" w:sz="4" w:space="0" w:color="000000"/>
            </w:tcBorders>
            <w:vAlign w:val="bottom"/>
          </w:tcPr>
          <w:p w14:paraId="1AAFD0DD" w14:textId="77777777" w:rsidR="008738CA" w:rsidRDefault="008738CA" w:rsidP="008738CA">
            <w:pPr>
              <w:spacing w:after="0"/>
              <w:ind w:left="0" w:right="110" w:firstLine="0"/>
              <w:jc w:val="right"/>
            </w:pPr>
            <w:r>
              <w:rPr>
                <w:sz w:val="22"/>
              </w:rPr>
              <w:t>0.03</w:t>
            </w:r>
            <w:r>
              <w:t xml:space="preserve"> </w:t>
            </w:r>
          </w:p>
        </w:tc>
        <w:tc>
          <w:tcPr>
            <w:tcW w:w="1469" w:type="dxa"/>
            <w:tcBorders>
              <w:top w:val="nil"/>
              <w:left w:val="single" w:sz="4" w:space="0" w:color="000000"/>
              <w:bottom w:val="single" w:sz="4" w:space="0" w:color="000000"/>
              <w:right w:val="single" w:sz="4" w:space="0" w:color="000000"/>
            </w:tcBorders>
            <w:vAlign w:val="bottom"/>
          </w:tcPr>
          <w:p w14:paraId="65EC68F4" w14:textId="77777777" w:rsidR="008738CA" w:rsidRDefault="008738CA" w:rsidP="008738CA">
            <w:pPr>
              <w:spacing w:after="0"/>
              <w:ind w:left="0" w:right="110" w:firstLine="0"/>
              <w:jc w:val="right"/>
            </w:pPr>
            <w:r>
              <w:rPr>
                <w:sz w:val="22"/>
              </w:rPr>
              <w:t>0.01</w:t>
            </w:r>
            <w:r>
              <w:t xml:space="preserve"> </w:t>
            </w:r>
          </w:p>
        </w:tc>
        <w:tc>
          <w:tcPr>
            <w:tcW w:w="1396" w:type="dxa"/>
            <w:tcBorders>
              <w:top w:val="nil"/>
              <w:left w:val="single" w:sz="4" w:space="0" w:color="000000"/>
              <w:bottom w:val="single" w:sz="4" w:space="0" w:color="000000"/>
              <w:right w:val="single" w:sz="4" w:space="0" w:color="000000"/>
            </w:tcBorders>
            <w:vAlign w:val="bottom"/>
          </w:tcPr>
          <w:p w14:paraId="39833B19" w14:textId="77777777" w:rsidR="008738CA" w:rsidRDefault="008738CA" w:rsidP="008738CA">
            <w:pPr>
              <w:spacing w:after="0"/>
              <w:ind w:left="0" w:right="110" w:firstLine="0"/>
              <w:jc w:val="right"/>
            </w:pPr>
            <w:r>
              <w:rPr>
                <w:sz w:val="22"/>
              </w:rPr>
              <w:t>0.01</w:t>
            </w:r>
            <w:r>
              <w:t xml:space="preserve"> </w:t>
            </w:r>
          </w:p>
        </w:tc>
        <w:tc>
          <w:tcPr>
            <w:tcW w:w="1361" w:type="dxa"/>
            <w:tcBorders>
              <w:top w:val="nil"/>
              <w:left w:val="single" w:sz="4" w:space="0" w:color="000000"/>
              <w:bottom w:val="single" w:sz="4" w:space="0" w:color="000000"/>
              <w:right w:val="single" w:sz="4" w:space="0" w:color="000000"/>
            </w:tcBorders>
            <w:vAlign w:val="bottom"/>
          </w:tcPr>
          <w:p w14:paraId="7A7EFB7B" w14:textId="77777777" w:rsidR="008738CA" w:rsidRDefault="008738CA" w:rsidP="008738CA">
            <w:pPr>
              <w:spacing w:after="0"/>
              <w:ind w:left="0" w:right="110" w:firstLine="0"/>
              <w:jc w:val="right"/>
            </w:pPr>
            <w:r>
              <w:rPr>
                <w:sz w:val="22"/>
              </w:rPr>
              <w:t>0.01</w:t>
            </w:r>
            <w:r>
              <w:t xml:space="preserve"> </w:t>
            </w:r>
          </w:p>
        </w:tc>
        <w:tc>
          <w:tcPr>
            <w:tcW w:w="1153" w:type="dxa"/>
            <w:tcBorders>
              <w:top w:val="nil"/>
              <w:left w:val="single" w:sz="4" w:space="0" w:color="000000"/>
              <w:bottom w:val="single" w:sz="4" w:space="0" w:color="000000"/>
              <w:right w:val="single" w:sz="4" w:space="0" w:color="000000"/>
            </w:tcBorders>
            <w:vAlign w:val="bottom"/>
          </w:tcPr>
          <w:p w14:paraId="337F3975" w14:textId="4ABF8EA8" w:rsidR="008738CA" w:rsidRDefault="008738CA" w:rsidP="008738CA">
            <w:pPr>
              <w:spacing w:after="0"/>
              <w:ind w:left="0" w:right="110" w:firstLine="0"/>
              <w:jc w:val="right"/>
              <w:rPr>
                <w:sz w:val="22"/>
              </w:rPr>
            </w:pPr>
            <w:r>
              <w:rPr>
                <w:rFonts w:ascii="Calibri" w:hAnsi="Calibri" w:cs="Calibri"/>
                <w:sz w:val="22"/>
                <w:szCs w:val="22"/>
              </w:rPr>
              <w:t>0.00</w:t>
            </w:r>
          </w:p>
        </w:tc>
      </w:tr>
    </w:tbl>
    <w:p w14:paraId="4FD65752" w14:textId="77777777" w:rsidR="009B68EA" w:rsidRDefault="009B1B9B" w:rsidP="00AE3EC7">
      <w:pPr>
        <w:spacing w:before="240" w:after="242" w:line="356" w:lineRule="auto"/>
        <w:ind w:left="-5" w:right="85"/>
      </w:pPr>
      <w:r>
        <w:t xml:space="preserve">Table 1 also shows that the average CoVaR was 0 with a standard deviation, median, minimum, and maximum of 0. This is an indication that the </w:t>
      </w:r>
      <w:proofErr w:type="spellStart"/>
      <w:r>
        <w:t>CoVaRs</w:t>
      </w:r>
      <w:proofErr w:type="spellEnd"/>
      <w:r>
        <w:t xml:space="preserve"> were very small. The ADF p-value and Jarque-Bera p-value indicate that the data was stationary but not normally distributed.  </w:t>
      </w:r>
    </w:p>
    <w:p w14:paraId="6CE0C19F" w14:textId="168BAE23" w:rsidR="009B68EA" w:rsidRDefault="009B1B9B">
      <w:pPr>
        <w:spacing w:line="357" w:lineRule="auto"/>
        <w:ind w:left="-5" w:right="85"/>
      </w:pPr>
      <w:r>
        <w:t xml:space="preserve">The average </w:t>
      </w:r>
      <w:r w:rsidR="00271CC7">
        <w:t xml:space="preserve">total assets were found to be </w:t>
      </w:r>
      <w:proofErr w:type="spellStart"/>
      <w:r w:rsidR="00271CC7">
        <w:t>Kshs</w:t>
      </w:r>
      <w:proofErr w:type="spellEnd"/>
      <w:r w:rsidR="00271CC7">
        <w:t xml:space="preserve"> 224 bn</w:t>
      </w:r>
      <w:r>
        <w:t xml:space="preserve"> (SD=</w:t>
      </w:r>
      <w:proofErr w:type="gramStart"/>
      <w:r>
        <w:t>2</w:t>
      </w:r>
      <w:r w:rsidR="00271CC7">
        <w:t xml:space="preserve">16 </w:t>
      </w:r>
      <w:r>
        <w:t>,</w:t>
      </w:r>
      <w:proofErr w:type="gramEnd"/>
      <w:r>
        <w:t xml:space="preserve"> Median=1</w:t>
      </w:r>
      <w:r w:rsidR="00271CC7">
        <w:t>84</w:t>
      </w:r>
      <w:r>
        <w:t xml:space="preserve">) and ranged from </w:t>
      </w:r>
      <w:proofErr w:type="spellStart"/>
      <w:r w:rsidR="00271CC7">
        <w:t>Kshs</w:t>
      </w:r>
      <w:proofErr w:type="spellEnd"/>
      <w:r w:rsidR="00271CC7">
        <w:t xml:space="preserve"> 5 bn</w:t>
      </w:r>
      <w:r>
        <w:t xml:space="preserve"> to</w:t>
      </w:r>
      <w:r w:rsidR="00271CC7">
        <w:t xml:space="preserve"> </w:t>
      </w:r>
      <w:proofErr w:type="spellStart"/>
      <w:r w:rsidR="00271CC7">
        <w:t>Kshs</w:t>
      </w:r>
      <w:proofErr w:type="spellEnd"/>
      <w:r w:rsidR="00271CC7">
        <w:t xml:space="preserve"> 1.139 tn</w:t>
      </w:r>
      <w:r>
        <w:t xml:space="preserve">. It had a skewness of </w:t>
      </w:r>
      <w:r w:rsidR="00271CC7">
        <w:t>0</w:t>
      </w:r>
      <w:r>
        <w:t xml:space="preserve"> and a kurtosis of </w:t>
      </w:r>
      <w:r w:rsidR="00271CC7">
        <w:t>0</w:t>
      </w:r>
      <w:r>
        <w:t xml:space="preserve"> indicating that the data may be normally distributed. </w:t>
      </w:r>
      <w:r w:rsidR="00271CC7">
        <w:t>But this</w:t>
      </w:r>
      <w:r>
        <w:t xml:space="preserve"> </w:t>
      </w:r>
      <w:r w:rsidR="00271CC7">
        <w:t>was not</w:t>
      </w:r>
      <w:r>
        <w:t xml:space="preserve"> confirmed by the Jarque-Bera p-value which </w:t>
      </w:r>
      <w:proofErr w:type="gramStart"/>
      <w:r>
        <w:t>shows was</w:t>
      </w:r>
      <w:proofErr w:type="gramEnd"/>
      <w:r>
        <w:t xml:space="preserve"> 1% indicating that the null hypothesis of normality could be rejected. The ADF test on the yield differential was </w:t>
      </w:r>
      <w:r w:rsidR="00271CC7">
        <w:t>0</w:t>
      </w:r>
      <w:r>
        <w:t xml:space="preserve"> indicating that the null hypothesis of the presence of a unit root (nonstationary) could be rejected at a 5% level of </w:t>
      </w:r>
      <w:proofErr w:type="gramStart"/>
      <w:r>
        <w:t>significance</w:t>
      </w:r>
      <w:proofErr w:type="gramEnd"/>
      <w:r>
        <w:t xml:space="preserve"> </w:t>
      </w:r>
    </w:p>
    <w:p w14:paraId="0570F2FE" w14:textId="77777777" w:rsidR="009B68EA" w:rsidRDefault="009B1B9B">
      <w:pPr>
        <w:spacing w:after="115"/>
        <w:ind w:left="-5" w:right="85"/>
      </w:pPr>
      <w:r>
        <w:lastRenderedPageBreak/>
        <w:t xml:space="preserve">Table 1 also shows that the average inflation rate in the study period was 7% (SD =3%, Median = </w:t>
      </w:r>
    </w:p>
    <w:p w14:paraId="5926A20F" w14:textId="77777777" w:rsidR="009B68EA" w:rsidRDefault="009B1B9B">
      <w:pPr>
        <w:spacing w:after="231" w:line="356" w:lineRule="auto"/>
        <w:ind w:left="-5" w:right="85"/>
      </w:pPr>
      <w:r>
        <w:t xml:space="preserve">6%) and ranged from 4% to 14%. It was positively skewed and had an excess kurtosis of 2.24. The ADF p-value and the Jarque-Bera p-value show that the inflation rate was stationary but not normally distributed.  </w:t>
      </w:r>
    </w:p>
    <w:p w14:paraId="5E99861F" w14:textId="77777777" w:rsidR="00542BA7" w:rsidRDefault="009B1B9B" w:rsidP="00542BA7">
      <w:pPr>
        <w:keepNext/>
        <w:spacing w:after="210"/>
        <w:ind w:left="-1" w:right="0" w:firstLine="0"/>
        <w:jc w:val="right"/>
      </w:pPr>
      <w:r>
        <w:rPr>
          <w:noProof/>
        </w:rPr>
        <w:drawing>
          <wp:inline distT="0" distB="0" distL="0" distR="0" wp14:anchorId="0663FB0C" wp14:editId="44A2B6B4">
            <wp:extent cx="5962650" cy="4179570"/>
            <wp:effectExtent l="0" t="0" r="0" b="0"/>
            <wp:docPr id="4683" name="Picture 4683"/>
            <wp:cNvGraphicFramePr/>
            <a:graphic xmlns:a="http://schemas.openxmlformats.org/drawingml/2006/main">
              <a:graphicData uri="http://schemas.openxmlformats.org/drawingml/2006/picture">
                <pic:pic xmlns:pic="http://schemas.openxmlformats.org/drawingml/2006/picture">
                  <pic:nvPicPr>
                    <pic:cNvPr id="4683" name="Picture 4683"/>
                    <pic:cNvPicPr/>
                  </pic:nvPicPr>
                  <pic:blipFill>
                    <a:blip r:embed="rId15"/>
                    <a:stretch>
                      <a:fillRect/>
                    </a:stretch>
                  </pic:blipFill>
                  <pic:spPr>
                    <a:xfrm>
                      <a:off x="0" y="0"/>
                      <a:ext cx="5962650" cy="4179570"/>
                    </a:xfrm>
                    <a:prstGeom prst="rect">
                      <a:avLst/>
                    </a:prstGeom>
                  </pic:spPr>
                </pic:pic>
              </a:graphicData>
            </a:graphic>
          </wp:inline>
        </w:drawing>
      </w:r>
    </w:p>
    <w:p w14:paraId="42BB37F7" w14:textId="0C097C73" w:rsidR="00542BA7" w:rsidRDefault="00542BA7" w:rsidP="00542BA7">
      <w:pPr>
        <w:pStyle w:val="Caption"/>
      </w:pPr>
      <w:bookmarkStart w:id="23" w:name="_Toc138448131"/>
      <w:r>
        <w:t xml:space="preserve">Figure </w:t>
      </w:r>
      <w:r>
        <w:fldChar w:fldCharType="begin"/>
      </w:r>
      <w:r>
        <w:instrText xml:space="preserve"> SEQ Figure \* ARABIC </w:instrText>
      </w:r>
      <w:r>
        <w:fldChar w:fldCharType="separate"/>
      </w:r>
      <w:r>
        <w:rPr>
          <w:noProof/>
        </w:rPr>
        <w:t>2</w:t>
      </w:r>
      <w:r>
        <w:fldChar w:fldCharType="end"/>
      </w:r>
      <w:r>
        <w:t>:</w:t>
      </w:r>
      <w:r w:rsidRPr="001743A5">
        <w:t>CoVaR for each of the sampled banks.</w:t>
      </w:r>
      <w:bookmarkEnd w:id="23"/>
    </w:p>
    <w:p w14:paraId="12D131AF" w14:textId="3D401605" w:rsidR="009B68EA" w:rsidRDefault="009B1B9B" w:rsidP="00542BA7">
      <w:pPr>
        <w:spacing w:after="210"/>
        <w:ind w:left="-1" w:right="0" w:firstLine="0"/>
        <w:jc w:val="right"/>
      </w:pPr>
      <w:r>
        <w:t xml:space="preserve"> </w:t>
      </w:r>
    </w:p>
    <w:p w14:paraId="7E6BC0B7" w14:textId="77777777" w:rsidR="009B68EA" w:rsidRDefault="009B1B9B">
      <w:pPr>
        <w:spacing w:after="225" w:line="357" w:lineRule="auto"/>
        <w:ind w:left="-5" w:right="85"/>
      </w:pPr>
      <w:r>
        <w:t xml:space="preserve">Table 1 shows that broad money averaged </w:t>
      </w:r>
      <w:proofErr w:type="spellStart"/>
      <w:r>
        <w:t>Kshs</w:t>
      </w:r>
      <w:proofErr w:type="spellEnd"/>
      <w:r>
        <w:t xml:space="preserve"> 2.9 trillion in the study period with a standard deviation of </w:t>
      </w:r>
      <w:proofErr w:type="spellStart"/>
      <w:r>
        <w:t>Kshs</w:t>
      </w:r>
      <w:proofErr w:type="spellEnd"/>
      <w:r>
        <w:t xml:space="preserve"> 1.05 trillion and a median of </w:t>
      </w:r>
      <w:proofErr w:type="spellStart"/>
      <w:r>
        <w:t>Kshs</w:t>
      </w:r>
      <w:proofErr w:type="spellEnd"/>
      <w:r>
        <w:t xml:space="preserve"> 3.01 trillion. It ranged from </w:t>
      </w:r>
      <w:proofErr w:type="spellStart"/>
      <w:r>
        <w:t>Kshs</w:t>
      </w:r>
      <w:proofErr w:type="spellEnd"/>
      <w:r>
        <w:t xml:space="preserve"> 1.28 trillion to </w:t>
      </w:r>
      <w:proofErr w:type="spellStart"/>
      <w:r>
        <w:t>Kshs</w:t>
      </w:r>
      <w:proofErr w:type="spellEnd"/>
      <w:r>
        <w:t xml:space="preserve"> 4.41 trillion. It also had a negative skew and a negative kurtosis. The p-values of the ADF and Jarque-Bera test show that the data was stationary and not normally distributed.  </w:t>
      </w:r>
    </w:p>
    <w:p w14:paraId="06CD2AE3" w14:textId="77777777" w:rsidR="009B68EA" w:rsidRDefault="009B1B9B">
      <w:pPr>
        <w:pStyle w:val="Heading3"/>
        <w:spacing w:after="143"/>
        <w:ind w:left="-5" w:right="0"/>
      </w:pPr>
      <w:bookmarkStart w:id="24" w:name="_Toc138448121"/>
      <w:r>
        <w:lastRenderedPageBreak/>
        <w:t>4.3.</w:t>
      </w:r>
      <w:r>
        <w:rPr>
          <w:rFonts w:ascii="Arial" w:eastAsia="Arial" w:hAnsi="Arial" w:cs="Arial"/>
        </w:rPr>
        <w:t xml:space="preserve"> </w:t>
      </w:r>
      <w:r>
        <w:t>PRELIMINARY STATISTICAL TESTS</w:t>
      </w:r>
      <w:bookmarkEnd w:id="24"/>
      <w:r>
        <w:t xml:space="preserve"> </w:t>
      </w:r>
    </w:p>
    <w:p w14:paraId="07F30A6E" w14:textId="77777777" w:rsidR="009B68EA" w:rsidRDefault="009B1B9B">
      <w:pPr>
        <w:pStyle w:val="Heading4"/>
        <w:spacing w:after="115"/>
        <w:ind w:left="-5"/>
      </w:pPr>
      <w:r>
        <w:t>4.3.1.</w:t>
      </w:r>
      <w:r>
        <w:rPr>
          <w:rFonts w:ascii="Arial" w:eastAsia="Arial" w:hAnsi="Arial" w:cs="Arial"/>
        </w:rPr>
        <w:t xml:space="preserve"> </w:t>
      </w:r>
      <w:r>
        <w:t xml:space="preserve">COINTEGRATION TESTS </w:t>
      </w:r>
    </w:p>
    <w:p w14:paraId="6A73B80A" w14:textId="3724736E" w:rsidR="009B68EA" w:rsidRDefault="009B1B9B" w:rsidP="003C56BE">
      <w:pPr>
        <w:spacing w:after="139" w:line="358" w:lineRule="auto"/>
        <w:ind w:left="-5" w:right="85"/>
      </w:pPr>
      <w:r>
        <w:t>Table 2 shows the results of three different cointegration tests performed on the study variables. It shows that all tests reject the null hypothesis of cointegration for the</w:t>
      </w:r>
      <w:r w:rsidR="00271CC7">
        <w:t xml:space="preserve"> total assets</w:t>
      </w:r>
      <w:r>
        <w:t xml:space="preserve">, inflation, broad money, and CAT. But only the </w:t>
      </w:r>
      <w:proofErr w:type="spellStart"/>
      <w:r>
        <w:t>Pesaran’s</w:t>
      </w:r>
      <w:proofErr w:type="spellEnd"/>
      <w:r>
        <w:t xml:space="preserve"> CD test rejects the null hypothesis of cointegration for MES and CoVaR, at 5% level of significance. Since the significance level for tests in this study is 5%, the </w:t>
      </w:r>
      <w:proofErr w:type="spellStart"/>
      <w:r>
        <w:t>Pesaran’s</w:t>
      </w:r>
      <w:proofErr w:type="spellEnd"/>
      <w:r>
        <w:t xml:space="preserve"> CD test </w:t>
      </w:r>
      <w:r w:rsidR="00B21CFA">
        <w:t>is</w:t>
      </w:r>
      <w:r>
        <w:t xml:space="preserve"> accepted as valid, and all variables are considered to not have cointegration.  </w:t>
      </w:r>
    </w:p>
    <w:p w14:paraId="7B8B2D80" w14:textId="5AC7CD65" w:rsidR="003C56BE" w:rsidRDefault="003C56BE" w:rsidP="003C56BE">
      <w:pPr>
        <w:pStyle w:val="Caption"/>
        <w:keepNext/>
      </w:pPr>
      <w:bookmarkStart w:id="25" w:name="_Toc138448004"/>
      <w:r>
        <w:t xml:space="preserve">Table </w:t>
      </w:r>
      <w:r>
        <w:fldChar w:fldCharType="begin"/>
      </w:r>
      <w:r>
        <w:instrText xml:space="preserve"> SEQ Table \* ARABIC </w:instrText>
      </w:r>
      <w:r>
        <w:fldChar w:fldCharType="separate"/>
      </w:r>
      <w:r>
        <w:rPr>
          <w:noProof/>
        </w:rPr>
        <w:t>2</w:t>
      </w:r>
      <w:r>
        <w:fldChar w:fldCharType="end"/>
      </w:r>
      <w:r>
        <w:t>:</w:t>
      </w:r>
      <w:r w:rsidRPr="001936E4">
        <w:t>Cointegration test results</w:t>
      </w:r>
      <w:bookmarkEnd w:id="25"/>
    </w:p>
    <w:tbl>
      <w:tblPr>
        <w:tblStyle w:val="TableGrid"/>
        <w:tblW w:w="5000" w:type="pct"/>
        <w:tblInd w:w="0" w:type="dxa"/>
        <w:tblCellMar>
          <w:top w:w="3" w:type="dxa"/>
          <w:left w:w="105" w:type="dxa"/>
          <w:bottom w:w="3" w:type="dxa"/>
          <w:right w:w="15" w:type="dxa"/>
        </w:tblCellMar>
        <w:tblLook w:val="04A0" w:firstRow="1" w:lastRow="0" w:firstColumn="1" w:lastColumn="0" w:noHBand="0" w:noVBand="1"/>
      </w:tblPr>
      <w:tblGrid>
        <w:gridCol w:w="1322"/>
        <w:gridCol w:w="1192"/>
        <w:gridCol w:w="1133"/>
        <w:gridCol w:w="1163"/>
        <w:gridCol w:w="1192"/>
        <w:gridCol w:w="1313"/>
        <w:gridCol w:w="963"/>
        <w:gridCol w:w="1165"/>
      </w:tblGrid>
      <w:tr w:rsidR="00271CC7" w14:paraId="4E2120EA" w14:textId="77777777" w:rsidTr="00271CC7">
        <w:trPr>
          <w:trHeight w:val="836"/>
        </w:trPr>
        <w:tc>
          <w:tcPr>
            <w:tcW w:w="700" w:type="pct"/>
            <w:tcBorders>
              <w:top w:val="single" w:sz="4" w:space="0" w:color="000000"/>
              <w:left w:val="single" w:sz="4" w:space="0" w:color="000000"/>
              <w:bottom w:val="single" w:sz="4" w:space="0" w:color="000000"/>
              <w:right w:val="single" w:sz="4" w:space="0" w:color="000000"/>
            </w:tcBorders>
            <w:vAlign w:val="bottom"/>
          </w:tcPr>
          <w:p w14:paraId="746851EA" w14:textId="77777777" w:rsidR="00271CC7" w:rsidRDefault="00271CC7">
            <w:pPr>
              <w:spacing w:after="0"/>
              <w:ind w:left="5" w:right="0" w:firstLine="0"/>
              <w:jc w:val="left"/>
            </w:pPr>
            <w:r>
              <w:rPr>
                <w:b/>
                <w:sz w:val="18"/>
              </w:rPr>
              <w:t xml:space="preserve">Test </w:t>
            </w:r>
          </w:p>
        </w:tc>
        <w:tc>
          <w:tcPr>
            <w:tcW w:w="631" w:type="pct"/>
            <w:tcBorders>
              <w:top w:val="single" w:sz="4" w:space="0" w:color="000000"/>
              <w:left w:val="single" w:sz="4" w:space="0" w:color="000000"/>
              <w:bottom w:val="single" w:sz="4" w:space="0" w:color="000000"/>
              <w:right w:val="single" w:sz="4" w:space="0" w:color="000000"/>
            </w:tcBorders>
            <w:vAlign w:val="bottom"/>
          </w:tcPr>
          <w:p w14:paraId="611B68A1" w14:textId="77777777" w:rsidR="00271CC7" w:rsidRDefault="00271CC7">
            <w:pPr>
              <w:spacing w:after="0"/>
              <w:ind w:left="0" w:right="0" w:firstLine="0"/>
              <w:jc w:val="left"/>
            </w:pPr>
            <w:r>
              <w:rPr>
                <w:b/>
                <w:sz w:val="18"/>
              </w:rPr>
              <w:t xml:space="preserve">Variable </w:t>
            </w:r>
          </w:p>
        </w:tc>
        <w:tc>
          <w:tcPr>
            <w:tcW w:w="600" w:type="pct"/>
            <w:tcBorders>
              <w:top w:val="single" w:sz="4" w:space="0" w:color="000000"/>
              <w:left w:val="single" w:sz="4" w:space="0" w:color="000000"/>
              <w:bottom w:val="single" w:sz="4" w:space="0" w:color="000000"/>
              <w:right w:val="single" w:sz="4" w:space="0" w:color="000000"/>
            </w:tcBorders>
            <w:vAlign w:val="bottom"/>
          </w:tcPr>
          <w:p w14:paraId="7389D49B" w14:textId="77777777" w:rsidR="00271CC7" w:rsidRDefault="00271CC7">
            <w:pPr>
              <w:spacing w:after="0"/>
              <w:ind w:left="5" w:right="0" w:firstLine="0"/>
              <w:jc w:val="left"/>
            </w:pPr>
            <w:r>
              <w:rPr>
                <w:b/>
                <w:sz w:val="18"/>
              </w:rPr>
              <w:t>MES</w:t>
            </w:r>
            <w:r>
              <w:rPr>
                <w:sz w:val="18"/>
              </w:rPr>
              <w:t xml:space="preserve"> </w:t>
            </w:r>
          </w:p>
        </w:tc>
        <w:tc>
          <w:tcPr>
            <w:tcW w:w="616" w:type="pct"/>
            <w:tcBorders>
              <w:top w:val="single" w:sz="4" w:space="0" w:color="000000"/>
              <w:left w:val="single" w:sz="4" w:space="0" w:color="000000"/>
              <w:bottom w:val="single" w:sz="4" w:space="0" w:color="000000"/>
              <w:right w:val="single" w:sz="4" w:space="0" w:color="000000"/>
            </w:tcBorders>
            <w:vAlign w:val="bottom"/>
          </w:tcPr>
          <w:p w14:paraId="09AE42A3" w14:textId="77777777" w:rsidR="00271CC7" w:rsidRDefault="00271CC7">
            <w:pPr>
              <w:spacing w:after="0"/>
              <w:ind w:left="5" w:right="0" w:firstLine="0"/>
              <w:jc w:val="left"/>
            </w:pPr>
            <w:r>
              <w:rPr>
                <w:b/>
                <w:sz w:val="18"/>
              </w:rPr>
              <w:t>CoVaR</w:t>
            </w:r>
            <w:r>
              <w:rPr>
                <w:sz w:val="18"/>
              </w:rPr>
              <w:t xml:space="preserve"> </w:t>
            </w:r>
          </w:p>
        </w:tc>
        <w:tc>
          <w:tcPr>
            <w:tcW w:w="631" w:type="pct"/>
            <w:tcBorders>
              <w:top w:val="single" w:sz="4" w:space="0" w:color="000000"/>
              <w:left w:val="single" w:sz="4" w:space="0" w:color="000000"/>
              <w:bottom w:val="single" w:sz="4" w:space="0" w:color="000000"/>
              <w:right w:val="single" w:sz="4" w:space="0" w:color="000000"/>
            </w:tcBorders>
            <w:vAlign w:val="bottom"/>
          </w:tcPr>
          <w:p w14:paraId="6355DB3E" w14:textId="77777777" w:rsidR="00271CC7" w:rsidRDefault="00271CC7">
            <w:pPr>
              <w:spacing w:after="0"/>
              <w:ind w:left="0" w:right="0" w:firstLine="0"/>
              <w:jc w:val="left"/>
            </w:pPr>
            <w:r>
              <w:rPr>
                <w:b/>
                <w:sz w:val="18"/>
              </w:rPr>
              <w:t>Inflation</w:t>
            </w:r>
            <w:r>
              <w:rPr>
                <w:sz w:val="18"/>
              </w:rPr>
              <w:t xml:space="preserve"> </w:t>
            </w:r>
          </w:p>
        </w:tc>
        <w:tc>
          <w:tcPr>
            <w:tcW w:w="695" w:type="pct"/>
            <w:tcBorders>
              <w:top w:val="single" w:sz="4" w:space="0" w:color="000000"/>
              <w:left w:val="single" w:sz="4" w:space="0" w:color="000000"/>
              <w:bottom w:val="single" w:sz="4" w:space="0" w:color="000000"/>
              <w:right w:val="single" w:sz="4" w:space="0" w:color="000000"/>
            </w:tcBorders>
            <w:vAlign w:val="bottom"/>
          </w:tcPr>
          <w:p w14:paraId="6FC8B229" w14:textId="77777777" w:rsidR="00271CC7" w:rsidRDefault="00271CC7">
            <w:pPr>
              <w:spacing w:after="7"/>
              <w:ind w:left="0" w:right="90" w:firstLine="0"/>
              <w:jc w:val="right"/>
            </w:pPr>
            <w:r>
              <w:rPr>
                <w:b/>
                <w:sz w:val="18"/>
              </w:rPr>
              <w:t xml:space="preserve">Broad </w:t>
            </w:r>
          </w:p>
          <w:p w14:paraId="0167CA88" w14:textId="77777777" w:rsidR="00271CC7" w:rsidRDefault="00271CC7">
            <w:pPr>
              <w:tabs>
                <w:tab w:val="right" w:pos="1050"/>
              </w:tabs>
              <w:spacing w:after="0"/>
              <w:ind w:left="0" w:right="0" w:firstLine="0"/>
              <w:jc w:val="left"/>
            </w:pPr>
            <w:r>
              <w:rPr>
                <w:sz w:val="18"/>
              </w:rPr>
              <w:t xml:space="preserve"> </w:t>
            </w:r>
            <w:r>
              <w:rPr>
                <w:sz w:val="18"/>
              </w:rPr>
              <w:tab/>
            </w:r>
            <w:r>
              <w:rPr>
                <w:b/>
                <w:sz w:val="18"/>
              </w:rPr>
              <w:t xml:space="preserve">Money  </w:t>
            </w:r>
          </w:p>
        </w:tc>
        <w:tc>
          <w:tcPr>
            <w:tcW w:w="510" w:type="pct"/>
            <w:tcBorders>
              <w:top w:val="single" w:sz="4" w:space="0" w:color="000000"/>
              <w:left w:val="single" w:sz="4" w:space="0" w:color="000000"/>
              <w:bottom w:val="single" w:sz="4" w:space="0" w:color="000000"/>
              <w:right w:val="single" w:sz="4" w:space="0" w:color="000000"/>
            </w:tcBorders>
          </w:tcPr>
          <w:p w14:paraId="3CADA6BE" w14:textId="77777777" w:rsidR="00271CC7" w:rsidRPr="00686B36" w:rsidRDefault="00271CC7">
            <w:pPr>
              <w:spacing w:after="0"/>
              <w:ind w:left="5" w:right="0" w:firstLine="0"/>
              <w:jc w:val="left"/>
              <w:rPr>
                <w:b/>
                <w:sz w:val="18"/>
                <w:szCs w:val="18"/>
              </w:rPr>
            </w:pPr>
          </w:p>
          <w:p w14:paraId="4BB2C34D" w14:textId="413A5CB0" w:rsidR="00271CC7" w:rsidRPr="00686B36" w:rsidRDefault="00271CC7">
            <w:pPr>
              <w:spacing w:after="0"/>
              <w:ind w:left="5" w:right="0" w:firstLine="0"/>
              <w:jc w:val="left"/>
              <w:rPr>
                <w:b/>
                <w:sz w:val="18"/>
                <w:szCs w:val="18"/>
              </w:rPr>
            </w:pPr>
            <w:r w:rsidRPr="00686B36">
              <w:rPr>
                <w:b/>
                <w:sz w:val="18"/>
                <w:szCs w:val="18"/>
              </w:rPr>
              <w:t>Total Assets</w:t>
            </w:r>
          </w:p>
        </w:tc>
        <w:tc>
          <w:tcPr>
            <w:tcW w:w="617" w:type="pct"/>
            <w:tcBorders>
              <w:top w:val="single" w:sz="4" w:space="0" w:color="000000"/>
              <w:left w:val="single" w:sz="4" w:space="0" w:color="000000"/>
              <w:bottom w:val="single" w:sz="4" w:space="0" w:color="000000"/>
              <w:right w:val="single" w:sz="4" w:space="0" w:color="000000"/>
            </w:tcBorders>
            <w:vAlign w:val="bottom"/>
          </w:tcPr>
          <w:p w14:paraId="05D16BCC" w14:textId="15B49487" w:rsidR="00271CC7" w:rsidRDefault="00271CC7">
            <w:pPr>
              <w:spacing w:after="0"/>
              <w:ind w:left="5" w:right="0" w:firstLine="0"/>
              <w:jc w:val="left"/>
            </w:pPr>
            <w:r>
              <w:rPr>
                <w:b/>
                <w:sz w:val="18"/>
              </w:rPr>
              <w:t xml:space="preserve">CAT </w:t>
            </w:r>
          </w:p>
        </w:tc>
      </w:tr>
      <w:tr w:rsidR="00271CC7" w14:paraId="3474AB79" w14:textId="77777777" w:rsidTr="00271CC7">
        <w:trPr>
          <w:trHeight w:val="1042"/>
        </w:trPr>
        <w:tc>
          <w:tcPr>
            <w:tcW w:w="700" w:type="pct"/>
            <w:tcBorders>
              <w:top w:val="single" w:sz="4" w:space="0" w:color="000000"/>
              <w:left w:val="single" w:sz="4" w:space="0" w:color="000000"/>
              <w:bottom w:val="nil"/>
              <w:right w:val="single" w:sz="4" w:space="0" w:color="000000"/>
            </w:tcBorders>
            <w:vAlign w:val="bottom"/>
          </w:tcPr>
          <w:p w14:paraId="67F891FF" w14:textId="77777777" w:rsidR="00271CC7" w:rsidRDefault="00271CC7" w:rsidP="008738CA">
            <w:pPr>
              <w:spacing w:after="0"/>
              <w:ind w:left="5" w:right="0" w:firstLine="0"/>
              <w:jc w:val="left"/>
            </w:pPr>
            <w:proofErr w:type="spellStart"/>
            <w:r>
              <w:rPr>
                <w:sz w:val="18"/>
              </w:rPr>
              <w:t>Pesaran's</w:t>
            </w:r>
            <w:proofErr w:type="spellEnd"/>
            <w:r>
              <w:rPr>
                <w:sz w:val="18"/>
              </w:rPr>
              <w:t xml:space="preserve"> </w:t>
            </w:r>
          </w:p>
          <w:p w14:paraId="4605CE2F" w14:textId="77777777" w:rsidR="00271CC7" w:rsidRDefault="00271CC7" w:rsidP="008738CA">
            <w:pPr>
              <w:spacing w:after="0"/>
              <w:ind w:left="5" w:right="0" w:firstLine="0"/>
              <w:jc w:val="left"/>
            </w:pPr>
            <w:r>
              <w:rPr>
                <w:sz w:val="18"/>
              </w:rPr>
              <w:t xml:space="preserve">CD </w:t>
            </w:r>
          </w:p>
        </w:tc>
        <w:tc>
          <w:tcPr>
            <w:tcW w:w="631" w:type="pct"/>
            <w:tcBorders>
              <w:top w:val="single" w:sz="4" w:space="0" w:color="000000"/>
              <w:left w:val="single" w:sz="4" w:space="0" w:color="000000"/>
              <w:bottom w:val="nil"/>
              <w:right w:val="single" w:sz="4" w:space="0" w:color="000000"/>
            </w:tcBorders>
            <w:vAlign w:val="bottom"/>
          </w:tcPr>
          <w:p w14:paraId="67C3C626" w14:textId="77777777" w:rsidR="00271CC7" w:rsidRDefault="00271CC7" w:rsidP="008738CA">
            <w:pPr>
              <w:spacing w:after="0"/>
              <w:ind w:left="0" w:right="0" w:firstLine="0"/>
              <w:jc w:val="left"/>
            </w:pPr>
            <w:r>
              <w:rPr>
                <w:sz w:val="18"/>
              </w:rPr>
              <w:t xml:space="preserve">statistic </w:t>
            </w:r>
          </w:p>
        </w:tc>
        <w:tc>
          <w:tcPr>
            <w:tcW w:w="600" w:type="pct"/>
            <w:tcBorders>
              <w:top w:val="single" w:sz="4" w:space="0" w:color="000000"/>
              <w:left w:val="single" w:sz="4" w:space="0" w:color="000000"/>
              <w:bottom w:val="nil"/>
              <w:right w:val="single" w:sz="4" w:space="0" w:color="000000"/>
            </w:tcBorders>
            <w:vAlign w:val="bottom"/>
          </w:tcPr>
          <w:p w14:paraId="5C95A148" w14:textId="77777777" w:rsidR="00271CC7" w:rsidRDefault="00271CC7" w:rsidP="008738CA">
            <w:pPr>
              <w:spacing w:after="0"/>
              <w:ind w:left="0" w:right="90" w:firstLine="0"/>
              <w:jc w:val="right"/>
            </w:pPr>
            <w:r>
              <w:rPr>
                <w:sz w:val="18"/>
              </w:rPr>
              <w:t xml:space="preserve">2.27 </w:t>
            </w:r>
          </w:p>
        </w:tc>
        <w:tc>
          <w:tcPr>
            <w:tcW w:w="616" w:type="pct"/>
            <w:tcBorders>
              <w:top w:val="single" w:sz="4" w:space="0" w:color="000000"/>
              <w:left w:val="single" w:sz="4" w:space="0" w:color="000000"/>
              <w:bottom w:val="nil"/>
              <w:right w:val="single" w:sz="4" w:space="0" w:color="000000"/>
            </w:tcBorders>
            <w:vAlign w:val="bottom"/>
          </w:tcPr>
          <w:p w14:paraId="73591C32" w14:textId="77777777" w:rsidR="00271CC7" w:rsidRDefault="00271CC7" w:rsidP="008738CA">
            <w:pPr>
              <w:spacing w:after="0"/>
              <w:ind w:left="0" w:right="90" w:firstLine="0"/>
              <w:jc w:val="right"/>
            </w:pPr>
            <w:r>
              <w:rPr>
                <w:sz w:val="18"/>
              </w:rPr>
              <w:t xml:space="preserve">4.02 </w:t>
            </w:r>
          </w:p>
        </w:tc>
        <w:tc>
          <w:tcPr>
            <w:tcW w:w="631" w:type="pct"/>
            <w:tcBorders>
              <w:top w:val="single" w:sz="4" w:space="0" w:color="000000"/>
              <w:left w:val="single" w:sz="4" w:space="0" w:color="000000"/>
              <w:bottom w:val="nil"/>
              <w:right w:val="single" w:sz="4" w:space="0" w:color="000000"/>
            </w:tcBorders>
            <w:vAlign w:val="bottom"/>
          </w:tcPr>
          <w:p w14:paraId="3BD23F3D" w14:textId="77777777" w:rsidR="00271CC7" w:rsidRDefault="00271CC7" w:rsidP="008738CA">
            <w:pPr>
              <w:spacing w:after="0"/>
              <w:ind w:left="0" w:right="90" w:firstLine="0"/>
              <w:jc w:val="right"/>
            </w:pPr>
            <w:r>
              <w:rPr>
                <w:sz w:val="18"/>
              </w:rPr>
              <w:t xml:space="preserve">20.78 </w:t>
            </w:r>
          </w:p>
        </w:tc>
        <w:tc>
          <w:tcPr>
            <w:tcW w:w="695" w:type="pct"/>
            <w:tcBorders>
              <w:top w:val="single" w:sz="4" w:space="0" w:color="000000"/>
              <w:left w:val="single" w:sz="4" w:space="0" w:color="000000"/>
              <w:bottom w:val="nil"/>
              <w:right w:val="single" w:sz="4" w:space="0" w:color="000000"/>
            </w:tcBorders>
            <w:vAlign w:val="bottom"/>
          </w:tcPr>
          <w:p w14:paraId="0BD0CB59" w14:textId="77777777" w:rsidR="00271CC7" w:rsidRDefault="00271CC7" w:rsidP="008738CA">
            <w:pPr>
              <w:spacing w:after="0"/>
              <w:ind w:left="0" w:right="90" w:firstLine="0"/>
              <w:jc w:val="right"/>
            </w:pPr>
            <w:r>
              <w:rPr>
                <w:sz w:val="18"/>
              </w:rPr>
              <w:t xml:space="preserve">20.78 </w:t>
            </w:r>
          </w:p>
        </w:tc>
        <w:tc>
          <w:tcPr>
            <w:tcW w:w="510" w:type="pct"/>
            <w:tcBorders>
              <w:top w:val="single" w:sz="4" w:space="0" w:color="000000"/>
              <w:left w:val="single" w:sz="4" w:space="0" w:color="000000"/>
              <w:bottom w:val="nil"/>
              <w:right w:val="single" w:sz="4" w:space="0" w:color="000000"/>
            </w:tcBorders>
            <w:vAlign w:val="bottom"/>
          </w:tcPr>
          <w:p w14:paraId="7AC68FCE" w14:textId="0309DCDF" w:rsidR="00271CC7" w:rsidRPr="00686B36" w:rsidRDefault="00271CC7" w:rsidP="008738CA">
            <w:pPr>
              <w:spacing w:after="0"/>
              <w:ind w:left="0" w:right="90" w:firstLine="0"/>
              <w:jc w:val="right"/>
              <w:rPr>
                <w:sz w:val="18"/>
                <w:szCs w:val="18"/>
              </w:rPr>
            </w:pPr>
            <w:r w:rsidRPr="00686B36">
              <w:rPr>
                <w:sz w:val="18"/>
                <w:szCs w:val="18"/>
              </w:rPr>
              <w:t>12.00</w:t>
            </w:r>
          </w:p>
        </w:tc>
        <w:tc>
          <w:tcPr>
            <w:tcW w:w="617" w:type="pct"/>
            <w:tcBorders>
              <w:top w:val="single" w:sz="4" w:space="0" w:color="000000"/>
              <w:left w:val="single" w:sz="4" w:space="0" w:color="000000"/>
              <w:bottom w:val="nil"/>
              <w:right w:val="single" w:sz="4" w:space="0" w:color="000000"/>
            </w:tcBorders>
            <w:vAlign w:val="bottom"/>
          </w:tcPr>
          <w:p w14:paraId="6415D40C" w14:textId="23FB4D05" w:rsidR="00271CC7" w:rsidRDefault="00271CC7" w:rsidP="008738CA">
            <w:pPr>
              <w:spacing w:after="0"/>
              <w:ind w:left="0" w:right="90" w:firstLine="0"/>
              <w:jc w:val="right"/>
            </w:pPr>
            <w:r>
              <w:rPr>
                <w:sz w:val="18"/>
              </w:rPr>
              <w:t xml:space="preserve">20.78 </w:t>
            </w:r>
          </w:p>
        </w:tc>
      </w:tr>
      <w:tr w:rsidR="00271CC7" w14:paraId="5A351478" w14:textId="77777777" w:rsidTr="00271CC7">
        <w:trPr>
          <w:trHeight w:val="725"/>
        </w:trPr>
        <w:tc>
          <w:tcPr>
            <w:tcW w:w="700" w:type="pct"/>
            <w:tcBorders>
              <w:top w:val="nil"/>
              <w:left w:val="single" w:sz="4" w:space="0" w:color="000000"/>
              <w:bottom w:val="nil"/>
              <w:right w:val="single" w:sz="4" w:space="0" w:color="000000"/>
            </w:tcBorders>
            <w:vAlign w:val="bottom"/>
          </w:tcPr>
          <w:p w14:paraId="7AE315FF" w14:textId="77777777" w:rsidR="00271CC7" w:rsidRDefault="00271CC7" w:rsidP="008738CA">
            <w:pPr>
              <w:spacing w:after="0"/>
              <w:ind w:left="5" w:right="0" w:firstLine="0"/>
              <w:jc w:val="left"/>
            </w:pPr>
            <w:proofErr w:type="spellStart"/>
            <w:r>
              <w:rPr>
                <w:sz w:val="18"/>
              </w:rPr>
              <w:t>Pesaran's</w:t>
            </w:r>
            <w:proofErr w:type="spellEnd"/>
            <w:r>
              <w:rPr>
                <w:sz w:val="18"/>
              </w:rPr>
              <w:t xml:space="preserve"> </w:t>
            </w:r>
          </w:p>
          <w:p w14:paraId="74CFDE0E" w14:textId="77777777" w:rsidR="00271CC7" w:rsidRDefault="00271CC7" w:rsidP="008738CA">
            <w:pPr>
              <w:spacing w:after="0"/>
              <w:ind w:left="5" w:right="0" w:firstLine="0"/>
              <w:jc w:val="left"/>
            </w:pPr>
            <w:r>
              <w:rPr>
                <w:sz w:val="18"/>
              </w:rPr>
              <w:t xml:space="preserve">CD </w:t>
            </w:r>
          </w:p>
        </w:tc>
        <w:tc>
          <w:tcPr>
            <w:tcW w:w="631" w:type="pct"/>
            <w:tcBorders>
              <w:top w:val="nil"/>
              <w:left w:val="single" w:sz="4" w:space="0" w:color="000000"/>
              <w:bottom w:val="nil"/>
              <w:right w:val="single" w:sz="4" w:space="0" w:color="000000"/>
            </w:tcBorders>
            <w:vAlign w:val="bottom"/>
          </w:tcPr>
          <w:p w14:paraId="6586BA31" w14:textId="77777777" w:rsidR="00271CC7" w:rsidRDefault="00271CC7" w:rsidP="008738CA">
            <w:pPr>
              <w:spacing w:after="0"/>
              <w:ind w:left="0" w:right="0" w:firstLine="0"/>
              <w:jc w:val="left"/>
            </w:pPr>
            <w:r>
              <w:rPr>
                <w:sz w:val="18"/>
              </w:rPr>
              <w:t xml:space="preserve">p-value </w:t>
            </w:r>
          </w:p>
        </w:tc>
        <w:tc>
          <w:tcPr>
            <w:tcW w:w="600" w:type="pct"/>
            <w:tcBorders>
              <w:top w:val="nil"/>
              <w:left w:val="single" w:sz="4" w:space="0" w:color="000000"/>
              <w:bottom w:val="nil"/>
              <w:right w:val="single" w:sz="4" w:space="0" w:color="000000"/>
            </w:tcBorders>
            <w:vAlign w:val="bottom"/>
          </w:tcPr>
          <w:p w14:paraId="7CA1D46C" w14:textId="77777777" w:rsidR="00271CC7" w:rsidRDefault="00271CC7" w:rsidP="008738CA">
            <w:pPr>
              <w:spacing w:after="0"/>
              <w:ind w:left="0" w:right="90" w:firstLine="0"/>
              <w:jc w:val="right"/>
            </w:pPr>
            <w:r>
              <w:rPr>
                <w:sz w:val="18"/>
              </w:rPr>
              <w:t xml:space="preserve">0.02 </w:t>
            </w:r>
          </w:p>
        </w:tc>
        <w:tc>
          <w:tcPr>
            <w:tcW w:w="616" w:type="pct"/>
            <w:tcBorders>
              <w:top w:val="nil"/>
              <w:left w:val="single" w:sz="4" w:space="0" w:color="000000"/>
              <w:bottom w:val="nil"/>
              <w:right w:val="single" w:sz="4" w:space="0" w:color="000000"/>
            </w:tcBorders>
            <w:vAlign w:val="bottom"/>
          </w:tcPr>
          <w:p w14:paraId="675F1F47" w14:textId="77777777" w:rsidR="00271CC7" w:rsidRDefault="00271CC7" w:rsidP="008738CA">
            <w:pPr>
              <w:spacing w:after="0"/>
              <w:ind w:left="0" w:right="90" w:firstLine="0"/>
              <w:jc w:val="right"/>
            </w:pPr>
            <w:r>
              <w:rPr>
                <w:sz w:val="18"/>
              </w:rPr>
              <w:t xml:space="preserve">0.00 </w:t>
            </w:r>
          </w:p>
        </w:tc>
        <w:tc>
          <w:tcPr>
            <w:tcW w:w="631" w:type="pct"/>
            <w:tcBorders>
              <w:top w:val="nil"/>
              <w:left w:val="single" w:sz="4" w:space="0" w:color="000000"/>
              <w:bottom w:val="nil"/>
              <w:right w:val="single" w:sz="4" w:space="0" w:color="000000"/>
            </w:tcBorders>
            <w:vAlign w:val="bottom"/>
          </w:tcPr>
          <w:p w14:paraId="79261AF6" w14:textId="77777777" w:rsidR="00271CC7" w:rsidRDefault="00271CC7" w:rsidP="008738CA">
            <w:pPr>
              <w:spacing w:after="0"/>
              <w:ind w:left="0" w:right="90" w:firstLine="0"/>
              <w:jc w:val="right"/>
            </w:pPr>
            <w:r>
              <w:rPr>
                <w:sz w:val="18"/>
              </w:rPr>
              <w:t xml:space="preserve">0.00 </w:t>
            </w:r>
          </w:p>
        </w:tc>
        <w:tc>
          <w:tcPr>
            <w:tcW w:w="695" w:type="pct"/>
            <w:tcBorders>
              <w:top w:val="nil"/>
              <w:left w:val="single" w:sz="4" w:space="0" w:color="000000"/>
              <w:bottom w:val="nil"/>
              <w:right w:val="single" w:sz="4" w:space="0" w:color="000000"/>
            </w:tcBorders>
            <w:vAlign w:val="bottom"/>
          </w:tcPr>
          <w:p w14:paraId="45E54A06" w14:textId="77777777" w:rsidR="00271CC7" w:rsidRDefault="00271CC7" w:rsidP="008738CA">
            <w:pPr>
              <w:spacing w:after="0"/>
              <w:ind w:left="0" w:right="90" w:firstLine="0"/>
              <w:jc w:val="right"/>
            </w:pPr>
            <w:r>
              <w:rPr>
                <w:sz w:val="18"/>
              </w:rPr>
              <w:t xml:space="preserve">0.00 </w:t>
            </w:r>
          </w:p>
        </w:tc>
        <w:tc>
          <w:tcPr>
            <w:tcW w:w="510" w:type="pct"/>
            <w:tcBorders>
              <w:top w:val="nil"/>
              <w:left w:val="single" w:sz="4" w:space="0" w:color="000000"/>
              <w:bottom w:val="nil"/>
              <w:right w:val="single" w:sz="4" w:space="0" w:color="000000"/>
            </w:tcBorders>
            <w:vAlign w:val="bottom"/>
          </w:tcPr>
          <w:p w14:paraId="2AE802F0" w14:textId="2C6B0B77" w:rsidR="00271CC7" w:rsidRPr="00686B36" w:rsidRDefault="00271CC7" w:rsidP="008738CA">
            <w:pPr>
              <w:spacing w:after="0"/>
              <w:ind w:left="0" w:right="90" w:firstLine="0"/>
              <w:jc w:val="right"/>
              <w:rPr>
                <w:sz w:val="18"/>
                <w:szCs w:val="18"/>
              </w:rPr>
            </w:pPr>
            <w:r w:rsidRPr="00686B36">
              <w:rPr>
                <w:sz w:val="18"/>
                <w:szCs w:val="18"/>
              </w:rPr>
              <w:t>0.00</w:t>
            </w:r>
          </w:p>
        </w:tc>
        <w:tc>
          <w:tcPr>
            <w:tcW w:w="617" w:type="pct"/>
            <w:tcBorders>
              <w:top w:val="nil"/>
              <w:left w:val="single" w:sz="4" w:space="0" w:color="000000"/>
              <w:bottom w:val="nil"/>
              <w:right w:val="single" w:sz="4" w:space="0" w:color="000000"/>
            </w:tcBorders>
            <w:vAlign w:val="bottom"/>
          </w:tcPr>
          <w:p w14:paraId="0855AF5C" w14:textId="2E87CD9E" w:rsidR="00271CC7" w:rsidRDefault="00271CC7" w:rsidP="008738CA">
            <w:pPr>
              <w:spacing w:after="0"/>
              <w:ind w:left="0" w:right="90" w:firstLine="0"/>
              <w:jc w:val="right"/>
            </w:pPr>
            <w:r>
              <w:rPr>
                <w:sz w:val="18"/>
              </w:rPr>
              <w:t xml:space="preserve">0.00 </w:t>
            </w:r>
          </w:p>
        </w:tc>
      </w:tr>
      <w:tr w:rsidR="00271CC7" w14:paraId="461D1EDF" w14:textId="77777777" w:rsidTr="00271CC7">
        <w:trPr>
          <w:trHeight w:val="828"/>
        </w:trPr>
        <w:tc>
          <w:tcPr>
            <w:tcW w:w="700" w:type="pct"/>
            <w:tcBorders>
              <w:top w:val="nil"/>
              <w:left w:val="single" w:sz="4" w:space="0" w:color="000000"/>
              <w:bottom w:val="nil"/>
              <w:right w:val="single" w:sz="4" w:space="0" w:color="000000"/>
            </w:tcBorders>
            <w:vAlign w:val="center"/>
          </w:tcPr>
          <w:p w14:paraId="415F1457" w14:textId="77777777" w:rsidR="00271CC7" w:rsidRDefault="00271CC7" w:rsidP="008738CA">
            <w:pPr>
              <w:spacing w:after="0"/>
              <w:ind w:left="5" w:right="0" w:firstLine="0"/>
              <w:jc w:val="left"/>
            </w:pPr>
            <w:r>
              <w:rPr>
                <w:sz w:val="18"/>
              </w:rPr>
              <w:t>Breusch-</w:t>
            </w:r>
          </w:p>
          <w:p w14:paraId="779C11CA" w14:textId="77777777" w:rsidR="00271CC7" w:rsidRDefault="00271CC7" w:rsidP="008738CA">
            <w:pPr>
              <w:spacing w:after="0"/>
              <w:ind w:left="5" w:right="0" w:firstLine="0"/>
              <w:jc w:val="left"/>
            </w:pPr>
            <w:r>
              <w:rPr>
                <w:sz w:val="18"/>
              </w:rPr>
              <w:t xml:space="preserve">Pagan </w:t>
            </w:r>
          </w:p>
          <w:p w14:paraId="39635776" w14:textId="77777777" w:rsidR="00271CC7" w:rsidRDefault="00271CC7" w:rsidP="008738CA">
            <w:pPr>
              <w:spacing w:after="0"/>
              <w:ind w:left="5" w:right="0" w:firstLine="0"/>
              <w:jc w:val="left"/>
            </w:pPr>
            <w:r>
              <w:rPr>
                <w:sz w:val="18"/>
              </w:rPr>
              <w:t xml:space="preserve"> LM </w:t>
            </w:r>
          </w:p>
        </w:tc>
        <w:tc>
          <w:tcPr>
            <w:tcW w:w="631" w:type="pct"/>
            <w:tcBorders>
              <w:top w:val="nil"/>
              <w:left w:val="single" w:sz="4" w:space="0" w:color="000000"/>
              <w:bottom w:val="nil"/>
              <w:right w:val="single" w:sz="4" w:space="0" w:color="000000"/>
            </w:tcBorders>
            <w:vAlign w:val="bottom"/>
          </w:tcPr>
          <w:p w14:paraId="331F250E" w14:textId="77777777" w:rsidR="00271CC7" w:rsidRDefault="00271CC7" w:rsidP="008738CA">
            <w:pPr>
              <w:spacing w:after="0"/>
              <w:ind w:left="0" w:right="0" w:firstLine="0"/>
              <w:jc w:val="left"/>
            </w:pPr>
            <w:r>
              <w:rPr>
                <w:sz w:val="18"/>
              </w:rPr>
              <w:t xml:space="preserve">statistic </w:t>
            </w:r>
          </w:p>
        </w:tc>
        <w:tc>
          <w:tcPr>
            <w:tcW w:w="600" w:type="pct"/>
            <w:tcBorders>
              <w:top w:val="nil"/>
              <w:left w:val="single" w:sz="4" w:space="0" w:color="000000"/>
              <w:bottom w:val="nil"/>
              <w:right w:val="single" w:sz="4" w:space="0" w:color="000000"/>
            </w:tcBorders>
            <w:vAlign w:val="bottom"/>
          </w:tcPr>
          <w:p w14:paraId="4CDD6619" w14:textId="77777777" w:rsidR="00271CC7" w:rsidRDefault="00271CC7" w:rsidP="008738CA">
            <w:pPr>
              <w:spacing w:after="0"/>
              <w:ind w:left="0" w:right="90" w:firstLine="0"/>
              <w:jc w:val="right"/>
            </w:pPr>
            <w:r>
              <w:rPr>
                <w:sz w:val="18"/>
              </w:rPr>
              <w:t xml:space="preserve">41.59 </w:t>
            </w:r>
          </w:p>
        </w:tc>
        <w:tc>
          <w:tcPr>
            <w:tcW w:w="616" w:type="pct"/>
            <w:tcBorders>
              <w:top w:val="nil"/>
              <w:left w:val="single" w:sz="4" w:space="0" w:color="000000"/>
              <w:bottom w:val="nil"/>
              <w:right w:val="single" w:sz="4" w:space="0" w:color="000000"/>
            </w:tcBorders>
            <w:vAlign w:val="bottom"/>
          </w:tcPr>
          <w:p w14:paraId="64A2A904" w14:textId="77777777" w:rsidR="00271CC7" w:rsidRDefault="00271CC7" w:rsidP="008738CA">
            <w:pPr>
              <w:spacing w:after="0"/>
              <w:ind w:left="0" w:right="90" w:firstLine="0"/>
              <w:jc w:val="right"/>
            </w:pPr>
            <w:r>
              <w:rPr>
                <w:sz w:val="18"/>
              </w:rPr>
              <w:t xml:space="preserve">56.35 </w:t>
            </w:r>
          </w:p>
        </w:tc>
        <w:tc>
          <w:tcPr>
            <w:tcW w:w="631" w:type="pct"/>
            <w:tcBorders>
              <w:top w:val="nil"/>
              <w:left w:val="single" w:sz="4" w:space="0" w:color="000000"/>
              <w:bottom w:val="nil"/>
              <w:right w:val="single" w:sz="4" w:space="0" w:color="000000"/>
            </w:tcBorders>
            <w:vAlign w:val="bottom"/>
          </w:tcPr>
          <w:p w14:paraId="248D6D1C" w14:textId="77777777" w:rsidR="00271CC7" w:rsidRDefault="00271CC7" w:rsidP="008738CA">
            <w:pPr>
              <w:spacing w:after="0"/>
              <w:ind w:left="0" w:right="90" w:firstLine="0"/>
              <w:jc w:val="right"/>
            </w:pPr>
            <w:r>
              <w:rPr>
                <w:sz w:val="18"/>
              </w:rPr>
              <w:t xml:space="preserve">432.00 </w:t>
            </w:r>
          </w:p>
        </w:tc>
        <w:tc>
          <w:tcPr>
            <w:tcW w:w="695" w:type="pct"/>
            <w:tcBorders>
              <w:top w:val="nil"/>
              <w:left w:val="single" w:sz="4" w:space="0" w:color="000000"/>
              <w:bottom w:val="nil"/>
              <w:right w:val="single" w:sz="4" w:space="0" w:color="000000"/>
            </w:tcBorders>
            <w:vAlign w:val="bottom"/>
          </w:tcPr>
          <w:p w14:paraId="609FA3E3" w14:textId="77777777" w:rsidR="00271CC7" w:rsidRDefault="00271CC7" w:rsidP="008738CA">
            <w:pPr>
              <w:spacing w:after="0"/>
              <w:ind w:left="0" w:right="90" w:firstLine="0"/>
              <w:jc w:val="right"/>
            </w:pPr>
            <w:r>
              <w:rPr>
                <w:sz w:val="18"/>
              </w:rPr>
              <w:t xml:space="preserve">432.00 </w:t>
            </w:r>
          </w:p>
        </w:tc>
        <w:tc>
          <w:tcPr>
            <w:tcW w:w="510" w:type="pct"/>
            <w:tcBorders>
              <w:top w:val="nil"/>
              <w:left w:val="single" w:sz="4" w:space="0" w:color="000000"/>
              <w:bottom w:val="nil"/>
              <w:right w:val="single" w:sz="4" w:space="0" w:color="000000"/>
            </w:tcBorders>
            <w:vAlign w:val="bottom"/>
          </w:tcPr>
          <w:p w14:paraId="2E93A9D5" w14:textId="21A38D68" w:rsidR="00271CC7" w:rsidRPr="00686B36" w:rsidRDefault="00271CC7" w:rsidP="008738CA">
            <w:pPr>
              <w:spacing w:after="0"/>
              <w:ind w:left="0" w:right="90" w:firstLine="0"/>
              <w:jc w:val="right"/>
              <w:rPr>
                <w:sz w:val="18"/>
                <w:szCs w:val="18"/>
              </w:rPr>
            </w:pPr>
            <w:r w:rsidRPr="00686B36">
              <w:rPr>
                <w:sz w:val="18"/>
                <w:szCs w:val="18"/>
              </w:rPr>
              <w:t>211.96</w:t>
            </w:r>
          </w:p>
        </w:tc>
        <w:tc>
          <w:tcPr>
            <w:tcW w:w="617" w:type="pct"/>
            <w:tcBorders>
              <w:top w:val="nil"/>
              <w:left w:val="single" w:sz="4" w:space="0" w:color="000000"/>
              <w:bottom w:val="nil"/>
              <w:right w:val="single" w:sz="4" w:space="0" w:color="000000"/>
            </w:tcBorders>
            <w:vAlign w:val="bottom"/>
          </w:tcPr>
          <w:p w14:paraId="675F17B3" w14:textId="21C5712E" w:rsidR="00271CC7" w:rsidRDefault="00271CC7" w:rsidP="008738CA">
            <w:pPr>
              <w:spacing w:after="0"/>
              <w:ind w:left="0" w:right="90" w:firstLine="0"/>
              <w:jc w:val="right"/>
            </w:pPr>
            <w:r>
              <w:rPr>
                <w:sz w:val="18"/>
              </w:rPr>
              <w:t xml:space="preserve">432.00 </w:t>
            </w:r>
          </w:p>
        </w:tc>
      </w:tr>
      <w:tr w:rsidR="00271CC7" w14:paraId="0D66FBC8" w14:textId="77777777" w:rsidTr="00271CC7">
        <w:trPr>
          <w:trHeight w:val="828"/>
        </w:trPr>
        <w:tc>
          <w:tcPr>
            <w:tcW w:w="700" w:type="pct"/>
            <w:tcBorders>
              <w:top w:val="nil"/>
              <w:left w:val="single" w:sz="4" w:space="0" w:color="000000"/>
              <w:bottom w:val="nil"/>
              <w:right w:val="single" w:sz="4" w:space="0" w:color="000000"/>
            </w:tcBorders>
            <w:vAlign w:val="center"/>
          </w:tcPr>
          <w:p w14:paraId="6636199D" w14:textId="77777777" w:rsidR="00271CC7" w:rsidRDefault="00271CC7" w:rsidP="008738CA">
            <w:pPr>
              <w:spacing w:after="0" w:line="242" w:lineRule="auto"/>
              <w:ind w:left="5" w:right="0" w:firstLine="0"/>
              <w:jc w:val="left"/>
            </w:pPr>
            <w:proofErr w:type="spellStart"/>
            <w:r>
              <w:rPr>
                <w:sz w:val="18"/>
              </w:rPr>
              <w:t>BreuschPagan</w:t>
            </w:r>
            <w:proofErr w:type="spellEnd"/>
            <w:r>
              <w:rPr>
                <w:sz w:val="18"/>
              </w:rPr>
              <w:t xml:space="preserve">  </w:t>
            </w:r>
          </w:p>
          <w:p w14:paraId="44819C9D" w14:textId="77777777" w:rsidR="00271CC7" w:rsidRDefault="00271CC7" w:rsidP="008738CA">
            <w:pPr>
              <w:spacing w:after="0"/>
              <w:ind w:left="5" w:right="0" w:firstLine="0"/>
              <w:jc w:val="left"/>
            </w:pPr>
            <w:r>
              <w:rPr>
                <w:sz w:val="18"/>
              </w:rPr>
              <w:t xml:space="preserve">LM </w:t>
            </w:r>
          </w:p>
        </w:tc>
        <w:tc>
          <w:tcPr>
            <w:tcW w:w="631" w:type="pct"/>
            <w:tcBorders>
              <w:top w:val="nil"/>
              <w:left w:val="single" w:sz="4" w:space="0" w:color="000000"/>
              <w:bottom w:val="nil"/>
              <w:right w:val="single" w:sz="4" w:space="0" w:color="000000"/>
            </w:tcBorders>
            <w:vAlign w:val="bottom"/>
          </w:tcPr>
          <w:p w14:paraId="3B620130" w14:textId="77777777" w:rsidR="00271CC7" w:rsidRDefault="00271CC7" w:rsidP="008738CA">
            <w:pPr>
              <w:spacing w:after="0"/>
              <w:ind w:left="0" w:right="0" w:firstLine="0"/>
              <w:jc w:val="left"/>
            </w:pPr>
            <w:r>
              <w:rPr>
                <w:sz w:val="18"/>
              </w:rPr>
              <w:t xml:space="preserve">p-value </w:t>
            </w:r>
          </w:p>
        </w:tc>
        <w:tc>
          <w:tcPr>
            <w:tcW w:w="600" w:type="pct"/>
            <w:tcBorders>
              <w:top w:val="nil"/>
              <w:left w:val="single" w:sz="4" w:space="0" w:color="000000"/>
              <w:bottom w:val="nil"/>
              <w:right w:val="single" w:sz="4" w:space="0" w:color="000000"/>
            </w:tcBorders>
            <w:vAlign w:val="bottom"/>
          </w:tcPr>
          <w:p w14:paraId="39D45339" w14:textId="77777777" w:rsidR="00271CC7" w:rsidRDefault="00271CC7" w:rsidP="008738CA">
            <w:pPr>
              <w:spacing w:after="0"/>
              <w:ind w:left="0" w:right="90" w:firstLine="0"/>
              <w:jc w:val="right"/>
            </w:pPr>
            <w:r>
              <w:rPr>
                <w:sz w:val="18"/>
              </w:rPr>
              <w:t xml:space="preserve">0.24 </w:t>
            </w:r>
          </w:p>
        </w:tc>
        <w:tc>
          <w:tcPr>
            <w:tcW w:w="616" w:type="pct"/>
            <w:tcBorders>
              <w:top w:val="nil"/>
              <w:left w:val="single" w:sz="4" w:space="0" w:color="000000"/>
              <w:bottom w:val="nil"/>
              <w:right w:val="single" w:sz="4" w:space="0" w:color="000000"/>
            </w:tcBorders>
            <w:vAlign w:val="bottom"/>
          </w:tcPr>
          <w:p w14:paraId="218981CF" w14:textId="77777777" w:rsidR="00271CC7" w:rsidRDefault="00271CC7" w:rsidP="008738CA">
            <w:pPr>
              <w:spacing w:after="0"/>
              <w:ind w:left="0" w:right="90" w:firstLine="0"/>
              <w:jc w:val="right"/>
            </w:pPr>
            <w:r>
              <w:rPr>
                <w:sz w:val="18"/>
              </w:rPr>
              <w:t xml:space="preserve">0.02 </w:t>
            </w:r>
          </w:p>
        </w:tc>
        <w:tc>
          <w:tcPr>
            <w:tcW w:w="631" w:type="pct"/>
            <w:tcBorders>
              <w:top w:val="nil"/>
              <w:left w:val="single" w:sz="4" w:space="0" w:color="000000"/>
              <w:bottom w:val="nil"/>
              <w:right w:val="single" w:sz="4" w:space="0" w:color="000000"/>
            </w:tcBorders>
            <w:vAlign w:val="bottom"/>
          </w:tcPr>
          <w:p w14:paraId="108BB403" w14:textId="77777777" w:rsidR="00271CC7" w:rsidRDefault="00271CC7" w:rsidP="008738CA">
            <w:pPr>
              <w:spacing w:after="0"/>
              <w:ind w:left="0" w:right="90" w:firstLine="0"/>
              <w:jc w:val="right"/>
            </w:pPr>
            <w:r>
              <w:rPr>
                <w:sz w:val="18"/>
              </w:rPr>
              <w:t xml:space="preserve">0.00 </w:t>
            </w:r>
          </w:p>
        </w:tc>
        <w:tc>
          <w:tcPr>
            <w:tcW w:w="695" w:type="pct"/>
            <w:tcBorders>
              <w:top w:val="nil"/>
              <w:left w:val="single" w:sz="4" w:space="0" w:color="000000"/>
              <w:bottom w:val="nil"/>
              <w:right w:val="single" w:sz="4" w:space="0" w:color="000000"/>
            </w:tcBorders>
            <w:vAlign w:val="bottom"/>
          </w:tcPr>
          <w:p w14:paraId="5A859AF9" w14:textId="77777777" w:rsidR="00271CC7" w:rsidRDefault="00271CC7" w:rsidP="008738CA">
            <w:pPr>
              <w:spacing w:after="0"/>
              <w:ind w:left="0" w:right="90" w:firstLine="0"/>
              <w:jc w:val="right"/>
            </w:pPr>
            <w:r>
              <w:rPr>
                <w:sz w:val="18"/>
              </w:rPr>
              <w:t xml:space="preserve">0.00 </w:t>
            </w:r>
          </w:p>
        </w:tc>
        <w:tc>
          <w:tcPr>
            <w:tcW w:w="510" w:type="pct"/>
            <w:tcBorders>
              <w:top w:val="nil"/>
              <w:left w:val="single" w:sz="4" w:space="0" w:color="000000"/>
              <w:bottom w:val="nil"/>
              <w:right w:val="single" w:sz="4" w:space="0" w:color="000000"/>
            </w:tcBorders>
            <w:vAlign w:val="bottom"/>
          </w:tcPr>
          <w:p w14:paraId="4C9354C8" w14:textId="1A74899A" w:rsidR="00271CC7" w:rsidRPr="00686B36" w:rsidRDefault="00271CC7" w:rsidP="008738CA">
            <w:pPr>
              <w:spacing w:after="0"/>
              <w:ind w:left="0" w:right="90" w:firstLine="0"/>
              <w:jc w:val="right"/>
              <w:rPr>
                <w:sz w:val="18"/>
                <w:szCs w:val="18"/>
              </w:rPr>
            </w:pPr>
            <w:r w:rsidRPr="00686B36">
              <w:rPr>
                <w:sz w:val="18"/>
                <w:szCs w:val="18"/>
              </w:rPr>
              <w:t>0.00</w:t>
            </w:r>
          </w:p>
        </w:tc>
        <w:tc>
          <w:tcPr>
            <w:tcW w:w="617" w:type="pct"/>
            <w:tcBorders>
              <w:top w:val="nil"/>
              <w:left w:val="single" w:sz="4" w:space="0" w:color="000000"/>
              <w:bottom w:val="nil"/>
              <w:right w:val="single" w:sz="4" w:space="0" w:color="000000"/>
            </w:tcBorders>
            <w:vAlign w:val="bottom"/>
          </w:tcPr>
          <w:p w14:paraId="52973206" w14:textId="71E72C17" w:rsidR="00271CC7" w:rsidRDefault="00271CC7" w:rsidP="008738CA">
            <w:pPr>
              <w:spacing w:after="0"/>
              <w:ind w:left="0" w:right="90" w:firstLine="0"/>
              <w:jc w:val="right"/>
            </w:pPr>
            <w:r>
              <w:rPr>
                <w:sz w:val="18"/>
              </w:rPr>
              <w:t xml:space="preserve">0.00 </w:t>
            </w:r>
          </w:p>
        </w:tc>
      </w:tr>
      <w:tr w:rsidR="00271CC7" w14:paraId="5C7D8358" w14:textId="77777777" w:rsidTr="00271CC7">
        <w:trPr>
          <w:trHeight w:val="726"/>
        </w:trPr>
        <w:tc>
          <w:tcPr>
            <w:tcW w:w="700" w:type="pct"/>
            <w:tcBorders>
              <w:top w:val="nil"/>
              <w:left w:val="single" w:sz="4" w:space="0" w:color="000000"/>
              <w:bottom w:val="nil"/>
              <w:right w:val="single" w:sz="4" w:space="0" w:color="000000"/>
            </w:tcBorders>
            <w:vAlign w:val="bottom"/>
          </w:tcPr>
          <w:p w14:paraId="42D5D4D7" w14:textId="77777777" w:rsidR="00271CC7" w:rsidRDefault="00271CC7" w:rsidP="008738CA">
            <w:pPr>
              <w:spacing w:after="0"/>
              <w:ind w:left="5" w:right="0" w:firstLine="0"/>
              <w:jc w:val="left"/>
            </w:pPr>
            <w:r>
              <w:rPr>
                <w:sz w:val="18"/>
              </w:rPr>
              <w:t xml:space="preserve">Bias-scaled </w:t>
            </w:r>
          </w:p>
          <w:p w14:paraId="205303E4" w14:textId="77777777" w:rsidR="00271CC7" w:rsidRDefault="00271CC7" w:rsidP="008738CA">
            <w:pPr>
              <w:spacing w:after="0"/>
              <w:ind w:left="5" w:right="0" w:firstLine="0"/>
              <w:jc w:val="left"/>
            </w:pPr>
            <w:r>
              <w:rPr>
                <w:sz w:val="18"/>
              </w:rPr>
              <w:t xml:space="preserve"> </w:t>
            </w:r>
            <w:proofErr w:type="spellStart"/>
            <w:r>
              <w:rPr>
                <w:sz w:val="18"/>
              </w:rPr>
              <w:t>BreuschPagan</w:t>
            </w:r>
            <w:proofErr w:type="spellEnd"/>
            <w:r>
              <w:rPr>
                <w:sz w:val="18"/>
              </w:rPr>
              <w:t xml:space="preserve"> LM </w:t>
            </w:r>
          </w:p>
        </w:tc>
        <w:tc>
          <w:tcPr>
            <w:tcW w:w="631" w:type="pct"/>
            <w:tcBorders>
              <w:top w:val="nil"/>
              <w:left w:val="single" w:sz="4" w:space="0" w:color="000000"/>
              <w:bottom w:val="nil"/>
              <w:right w:val="single" w:sz="4" w:space="0" w:color="000000"/>
            </w:tcBorders>
            <w:vAlign w:val="bottom"/>
          </w:tcPr>
          <w:p w14:paraId="2BC8F5C1" w14:textId="77777777" w:rsidR="00271CC7" w:rsidRDefault="00271CC7" w:rsidP="008738CA">
            <w:pPr>
              <w:spacing w:after="0"/>
              <w:ind w:left="0" w:right="0" w:firstLine="0"/>
              <w:jc w:val="left"/>
            </w:pPr>
            <w:r>
              <w:rPr>
                <w:sz w:val="18"/>
              </w:rPr>
              <w:t xml:space="preserve">statistic </w:t>
            </w:r>
          </w:p>
        </w:tc>
        <w:tc>
          <w:tcPr>
            <w:tcW w:w="600" w:type="pct"/>
            <w:tcBorders>
              <w:top w:val="nil"/>
              <w:left w:val="single" w:sz="4" w:space="0" w:color="000000"/>
              <w:bottom w:val="nil"/>
              <w:right w:val="single" w:sz="4" w:space="0" w:color="000000"/>
            </w:tcBorders>
            <w:vAlign w:val="bottom"/>
          </w:tcPr>
          <w:p w14:paraId="5788C23B" w14:textId="77777777" w:rsidR="00271CC7" w:rsidRDefault="00271CC7" w:rsidP="008738CA">
            <w:pPr>
              <w:spacing w:after="0"/>
              <w:ind w:left="0" w:right="90" w:firstLine="0"/>
              <w:jc w:val="right"/>
            </w:pPr>
            <w:r>
              <w:rPr>
                <w:sz w:val="18"/>
              </w:rPr>
              <w:t xml:space="preserve">0.25 </w:t>
            </w:r>
          </w:p>
        </w:tc>
        <w:tc>
          <w:tcPr>
            <w:tcW w:w="616" w:type="pct"/>
            <w:tcBorders>
              <w:top w:val="nil"/>
              <w:left w:val="single" w:sz="4" w:space="0" w:color="000000"/>
              <w:bottom w:val="nil"/>
              <w:right w:val="single" w:sz="4" w:space="0" w:color="000000"/>
            </w:tcBorders>
            <w:vAlign w:val="bottom"/>
          </w:tcPr>
          <w:p w14:paraId="34903876" w14:textId="77777777" w:rsidR="00271CC7" w:rsidRDefault="00271CC7" w:rsidP="008738CA">
            <w:pPr>
              <w:spacing w:after="0"/>
              <w:ind w:left="0" w:right="90" w:firstLine="0"/>
              <w:jc w:val="right"/>
            </w:pPr>
            <w:r>
              <w:rPr>
                <w:sz w:val="18"/>
              </w:rPr>
              <w:t xml:space="preserve">1.99 </w:t>
            </w:r>
          </w:p>
        </w:tc>
        <w:tc>
          <w:tcPr>
            <w:tcW w:w="631" w:type="pct"/>
            <w:tcBorders>
              <w:top w:val="nil"/>
              <w:left w:val="single" w:sz="4" w:space="0" w:color="000000"/>
              <w:bottom w:val="nil"/>
              <w:right w:val="single" w:sz="4" w:space="0" w:color="000000"/>
            </w:tcBorders>
            <w:vAlign w:val="bottom"/>
          </w:tcPr>
          <w:p w14:paraId="029C0198" w14:textId="77777777" w:rsidR="00271CC7" w:rsidRDefault="00271CC7" w:rsidP="008738CA">
            <w:pPr>
              <w:spacing w:after="0"/>
              <w:ind w:left="0" w:right="90" w:firstLine="0"/>
              <w:jc w:val="right"/>
            </w:pPr>
            <w:r>
              <w:rPr>
                <w:sz w:val="18"/>
              </w:rPr>
              <w:t xml:space="preserve">46.26 </w:t>
            </w:r>
          </w:p>
        </w:tc>
        <w:tc>
          <w:tcPr>
            <w:tcW w:w="695" w:type="pct"/>
            <w:tcBorders>
              <w:top w:val="nil"/>
              <w:left w:val="single" w:sz="4" w:space="0" w:color="000000"/>
              <w:bottom w:val="nil"/>
              <w:right w:val="single" w:sz="4" w:space="0" w:color="000000"/>
            </w:tcBorders>
            <w:vAlign w:val="bottom"/>
          </w:tcPr>
          <w:p w14:paraId="35F5E7A8" w14:textId="77777777" w:rsidR="00271CC7" w:rsidRDefault="00271CC7" w:rsidP="008738CA">
            <w:pPr>
              <w:spacing w:after="0"/>
              <w:ind w:left="0" w:right="90" w:firstLine="0"/>
              <w:jc w:val="right"/>
            </w:pPr>
            <w:r>
              <w:rPr>
                <w:sz w:val="18"/>
              </w:rPr>
              <w:t xml:space="preserve">46.26 </w:t>
            </w:r>
          </w:p>
        </w:tc>
        <w:tc>
          <w:tcPr>
            <w:tcW w:w="510" w:type="pct"/>
            <w:tcBorders>
              <w:top w:val="nil"/>
              <w:left w:val="single" w:sz="4" w:space="0" w:color="000000"/>
              <w:bottom w:val="nil"/>
              <w:right w:val="single" w:sz="4" w:space="0" w:color="000000"/>
            </w:tcBorders>
            <w:vAlign w:val="bottom"/>
          </w:tcPr>
          <w:p w14:paraId="674B83A2" w14:textId="03CFA2FA" w:rsidR="00271CC7" w:rsidRPr="00686B36" w:rsidRDefault="00271CC7" w:rsidP="008738CA">
            <w:pPr>
              <w:spacing w:after="0"/>
              <w:ind w:left="0" w:right="90" w:firstLine="0"/>
              <w:jc w:val="right"/>
              <w:rPr>
                <w:sz w:val="18"/>
                <w:szCs w:val="18"/>
              </w:rPr>
            </w:pPr>
            <w:r w:rsidRPr="00686B36">
              <w:rPr>
                <w:sz w:val="18"/>
                <w:szCs w:val="18"/>
              </w:rPr>
              <w:t>20.33</w:t>
            </w:r>
          </w:p>
        </w:tc>
        <w:tc>
          <w:tcPr>
            <w:tcW w:w="617" w:type="pct"/>
            <w:tcBorders>
              <w:top w:val="nil"/>
              <w:left w:val="single" w:sz="4" w:space="0" w:color="000000"/>
              <w:bottom w:val="nil"/>
              <w:right w:val="single" w:sz="4" w:space="0" w:color="000000"/>
            </w:tcBorders>
            <w:vAlign w:val="bottom"/>
          </w:tcPr>
          <w:p w14:paraId="35C4DDCB" w14:textId="4B28622F" w:rsidR="00271CC7" w:rsidRDefault="00271CC7" w:rsidP="008738CA">
            <w:pPr>
              <w:spacing w:after="0"/>
              <w:ind w:left="0" w:right="90" w:firstLine="0"/>
              <w:jc w:val="right"/>
            </w:pPr>
            <w:r>
              <w:rPr>
                <w:sz w:val="18"/>
              </w:rPr>
              <w:t xml:space="preserve">46.26 </w:t>
            </w:r>
          </w:p>
        </w:tc>
      </w:tr>
      <w:tr w:rsidR="00271CC7" w14:paraId="54C50B70" w14:textId="77777777" w:rsidTr="00271CC7">
        <w:trPr>
          <w:trHeight w:val="833"/>
        </w:trPr>
        <w:tc>
          <w:tcPr>
            <w:tcW w:w="700" w:type="pct"/>
            <w:tcBorders>
              <w:top w:val="nil"/>
              <w:left w:val="single" w:sz="4" w:space="0" w:color="000000"/>
              <w:bottom w:val="single" w:sz="4" w:space="0" w:color="000000"/>
              <w:right w:val="single" w:sz="4" w:space="0" w:color="000000"/>
            </w:tcBorders>
          </w:tcPr>
          <w:p w14:paraId="5624B590" w14:textId="77777777" w:rsidR="00271CC7" w:rsidRDefault="00271CC7" w:rsidP="008738CA">
            <w:pPr>
              <w:spacing w:after="0"/>
              <w:ind w:left="5" w:right="0" w:firstLine="0"/>
              <w:jc w:val="left"/>
            </w:pPr>
            <w:r>
              <w:rPr>
                <w:sz w:val="18"/>
              </w:rPr>
              <w:t xml:space="preserve">Bias-scaled  </w:t>
            </w:r>
          </w:p>
          <w:p w14:paraId="5956330C" w14:textId="77777777" w:rsidR="00271CC7" w:rsidRDefault="00271CC7" w:rsidP="008738CA">
            <w:pPr>
              <w:spacing w:after="0" w:line="236" w:lineRule="auto"/>
              <w:ind w:left="5" w:right="0" w:firstLine="0"/>
              <w:jc w:val="left"/>
            </w:pPr>
            <w:proofErr w:type="spellStart"/>
            <w:r>
              <w:rPr>
                <w:sz w:val="18"/>
              </w:rPr>
              <w:t>BreuschPagan</w:t>
            </w:r>
            <w:proofErr w:type="spellEnd"/>
            <w:r>
              <w:rPr>
                <w:sz w:val="18"/>
              </w:rPr>
              <w:t xml:space="preserve">  </w:t>
            </w:r>
          </w:p>
          <w:p w14:paraId="5AF1361D" w14:textId="77777777" w:rsidR="00271CC7" w:rsidRDefault="00271CC7" w:rsidP="008738CA">
            <w:pPr>
              <w:spacing w:after="0"/>
              <w:ind w:left="5" w:right="0" w:firstLine="0"/>
              <w:jc w:val="left"/>
            </w:pPr>
            <w:r>
              <w:rPr>
                <w:sz w:val="18"/>
              </w:rPr>
              <w:t xml:space="preserve">LM </w:t>
            </w:r>
          </w:p>
        </w:tc>
        <w:tc>
          <w:tcPr>
            <w:tcW w:w="631" w:type="pct"/>
            <w:tcBorders>
              <w:top w:val="nil"/>
              <w:left w:val="single" w:sz="4" w:space="0" w:color="000000"/>
              <w:bottom w:val="single" w:sz="4" w:space="0" w:color="000000"/>
              <w:right w:val="single" w:sz="4" w:space="0" w:color="000000"/>
            </w:tcBorders>
            <w:vAlign w:val="bottom"/>
          </w:tcPr>
          <w:p w14:paraId="72B5DFCE" w14:textId="77777777" w:rsidR="00271CC7" w:rsidRDefault="00271CC7" w:rsidP="008738CA">
            <w:pPr>
              <w:spacing w:after="0"/>
              <w:ind w:left="0" w:right="0" w:firstLine="0"/>
              <w:jc w:val="left"/>
            </w:pPr>
            <w:r>
              <w:rPr>
                <w:sz w:val="18"/>
              </w:rPr>
              <w:t xml:space="preserve">p-value </w:t>
            </w:r>
          </w:p>
        </w:tc>
        <w:tc>
          <w:tcPr>
            <w:tcW w:w="600" w:type="pct"/>
            <w:tcBorders>
              <w:top w:val="nil"/>
              <w:left w:val="single" w:sz="4" w:space="0" w:color="000000"/>
              <w:bottom w:val="single" w:sz="4" w:space="0" w:color="000000"/>
              <w:right w:val="single" w:sz="4" w:space="0" w:color="000000"/>
            </w:tcBorders>
            <w:vAlign w:val="bottom"/>
          </w:tcPr>
          <w:p w14:paraId="4657E9E8" w14:textId="77777777" w:rsidR="00271CC7" w:rsidRDefault="00271CC7" w:rsidP="008738CA">
            <w:pPr>
              <w:spacing w:after="0"/>
              <w:ind w:left="0" w:right="90" w:firstLine="0"/>
              <w:jc w:val="right"/>
            </w:pPr>
            <w:r>
              <w:rPr>
                <w:sz w:val="18"/>
              </w:rPr>
              <w:t xml:space="preserve">0.80 </w:t>
            </w:r>
          </w:p>
        </w:tc>
        <w:tc>
          <w:tcPr>
            <w:tcW w:w="616" w:type="pct"/>
            <w:tcBorders>
              <w:top w:val="nil"/>
              <w:left w:val="single" w:sz="4" w:space="0" w:color="000000"/>
              <w:bottom w:val="single" w:sz="4" w:space="0" w:color="000000"/>
              <w:right w:val="single" w:sz="4" w:space="0" w:color="000000"/>
            </w:tcBorders>
            <w:vAlign w:val="bottom"/>
          </w:tcPr>
          <w:p w14:paraId="35B53DBA" w14:textId="77777777" w:rsidR="00271CC7" w:rsidRDefault="00271CC7" w:rsidP="008738CA">
            <w:pPr>
              <w:spacing w:after="0"/>
              <w:ind w:left="0" w:right="90" w:firstLine="0"/>
              <w:jc w:val="right"/>
            </w:pPr>
            <w:r>
              <w:rPr>
                <w:sz w:val="18"/>
              </w:rPr>
              <w:t xml:space="preserve">0.05 </w:t>
            </w:r>
          </w:p>
        </w:tc>
        <w:tc>
          <w:tcPr>
            <w:tcW w:w="631" w:type="pct"/>
            <w:tcBorders>
              <w:top w:val="nil"/>
              <w:left w:val="single" w:sz="4" w:space="0" w:color="000000"/>
              <w:bottom w:val="single" w:sz="4" w:space="0" w:color="000000"/>
              <w:right w:val="single" w:sz="4" w:space="0" w:color="000000"/>
            </w:tcBorders>
            <w:vAlign w:val="bottom"/>
          </w:tcPr>
          <w:p w14:paraId="7F075B15" w14:textId="77777777" w:rsidR="00271CC7" w:rsidRDefault="00271CC7" w:rsidP="008738CA">
            <w:pPr>
              <w:spacing w:after="0"/>
              <w:ind w:left="0" w:right="90" w:firstLine="0"/>
              <w:jc w:val="right"/>
            </w:pPr>
            <w:r>
              <w:rPr>
                <w:sz w:val="18"/>
              </w:rPr>
              <w:t xml:space="preserve">0.00 </w:t>
            </w:r>
          </w:p>
        </w:tc>
        <w:tc>
          <w:tcPr>
            <w:tcW w:w="695" w:type="pct"/>
            <w:tcBorders>
              <w:top w:val="nil"/>
              <w:left w:val="single" w:sz="4" w:space="0" w:color="000000"/>
              <w:bottom w:val="single" w:sz="4" w:space="0" w:color="000000"/>
              <w:right w:val="single" w:sz="4" w:space="0" w:color="000000"/>
            </w:tcBorders>
            <w:vAlign w:val="bottom"/>
          </w:tcPr>
          <w:p w14:paraId="583E349B" w14:textId="77777777" w:rsidR="00271CC7" w:rsidRDefault="00271CC7" w:rsidP="008738CA">
            <w:pPr>
              <w:spacing w:after="0"/>
              <w:ind w:left="0" w:right="90" w:firstLine="0"/>
              <w:jc w:val="right"/>
            </w:pPr>
            <w:r>
              <w:rPr>
                <w:sz w:val="18"/>
              </w:rPr>
              <w:t xml:space="preserve">0.00 </w:t>
            </w:r>
          </w:p>
        </w:tc>
        <w:tc>
          <w:tcPr>
            <w:tcW w:w="510" w:type="pct"/>
            <w:tcBorders>
              <w:top w:val="nil"/>
              <w:left w:val="single" w:sz="4" w:space="0" w:color="000000"/>
              <w:bottom w:val="single" w:sz="4" w:space="0" w:color="000000"/>
              <w:right w:val="single" w:sz="4" w:space="0" w:color="000000"/>
            </w:tcBorders>
            <w:vAlign w:val="bottom"/>
          </w:tcPr>
          <w:p w14:paraId="12B803B7" w14:textId="4FAC15FA" w:rsidR="00271CC7" w:rsidRPr="00686B36" w:rsidRDefault="00271CC7" w:rsidP="008738CA">
            <w:pPr>
              <w:spacing w:after="0"/>
              <w:ind w:left="0" w:right="90" w:firstLine="0"/>
              <w:jc w:val="right"/>
              <w:rPr>
                <w:sz w:val="18"/>
                <w:szCs w:val="18"/>
              </w:rPr>
            </w:pPr>
            <w:r w:rsidRPr="00686B36">
              <w:rPr>
                <w:sz w:val="18"/>
                <w:szCs w:val="18"/>
              </w:rPr>
              <w:t>0.00</w:t>
            </w:r>
          </w:p>
        </w:tc>
        <w:tc>
          <w:tcPr>
            <w:tcW w:w="617" w:type="pct"/>
            <w:tcBorders>
              <w:top w:val="nil"/>
              <w:left w:val="single" w:sz="4" w:space="0" w:color="000000"/>
              <w:bottom w:val="single" w:sz="4" w:space="0" w:color="000000"/>
              <w:right w:val="single" w:sz="4" w:space="0" w:color="000000"/>
            </w:tcBorders>
            <w:vAlign w:val="bottom"/>
          </w:tcPr>
          <w:p w14:paraId="65750170" w14:textId="5705C088" w:rsidR="00271CC7" w:rsidRDefault="00271CC7" w:rsidP="008738CA">
            <w:pPr>
              <w:spacing w:after="0"/>
              <w:ind w:left="0" w:right="90" w:firstLine="0"/>
              <w:jc w:val="right"/>
            </w:pPr>
            <w:r>
              <w:rPr>
                <w:sz w:val="18"/>
              </w:rPr>
              <w:t xml:space="preserve">0.00 </w:t>
            </w:r>
          </w:p>
        </w:tc>
      </w:tr>
    </w:tbl>
    <w:p w14:paraId="2654BB27" w14:textId="77777777" w:rsidR="009B68EA" w:rsidRDefault="009B1B9B">
      <w:pPr>
        <w:spacing w:after="179"/>
        <w:ind w:left="0" w:right="0" w:firstLine="0"/>
        <w:jc w:val="left"/>
      </w:pPr>
      <w:r>
        <w:t xml:space="preserve"> </w:t>
      </w:r>
    </w:p>
    <w:p w14:paraId="6252817A" w14:textId="28088933" w:rsidR="009B68EA" w:rsidRDefault="009B1B9B" w:rsidP="003C56BE">
      <w:pPr>
        <w:pStyle w:val="Heading4"/>
        <w:ind w:left="-5"/>
      </w:pPr>
      <w:r>
        <w:t>4.3.2.</w:t>
      </w:r>
      <w:r>
        <w:rPr>
          <w:rFonts w:ascii="Arial" w:eastAsia="Arial" w:hAnsi="Arial" w:cs="Arial"/>
        </w:rPr>
        <w:t xml:space="preserve"> </w:t>
      </w:r>
      <w:r>
        <w:t xml:space="preserve">PANEL UNIT ROOT TEST RESULTS </w:t>
      </w:r>
    </w:p>
    <w:p w14:paraId="7A11EDD9" w14:textId="24F75B84" w:rsidR="003C56BE" w:rsidRDefault="003C56BE" w:rsidP="003C56BE">
      <w:pPr>
        <w:pStyle w:val="Caption"/>
        <w:keepNext/>
      </w:pPr>
      <w:bookmarkStart w:id="26" w:name="_Toc138448005"/>
      <w:r>
        <w:t xml:space="preserve">Table </w:t>
      </w:r>
      <w:r>
        <w:fldChar w:fldCharType="begin"/>
      </w:r>
      <w:r>
        <w:instrText xml:space="preserve"> SEQ Table \* ARABIC </w:instrText>
      </w:r>
      <w:r>
        <w:fldChar w:fldCharType="separate"/>
      </w:r>
      <w:r>
        <w:rPr>
          <w:noProof/>
        </w:rPr>
        <w:t>3</w:t>
      </w:r>
      <w:r>
        <w:fldChar w:fldCharType="end"/>
      </w:r>
      <w:r>
        <w:t>:</w:t>
      </w:r>
      <w:r w:rsidRPr="00CB5460">
        <w:t>Panel Unit Root Test Results</w:t>
      </w:r>
      <w:bookmarkEnd w:id="26"/>
    </w:p>
    <w:tbl>
      <w:tblPr>
        <w:tblStyle w:val="TableGrid"/>
        <w:tblW w:w="9354" w:type="dxa"/>
        <w:tblInd w:w="5" w:type="dxa"/>
        <w:tblCellMar>
          <w:top w:w="12" w:type="dxa"/>
          <w:right w:w="45" w:type="dxa"/>
        </w:tblCellMar>
        <w:tblLook w:val="04A0" w:firstRow="1" w:lastRow="0" w:firstColumn="1" w:lastColumn="0" w:noHBand="0" w:noVBand="1"/>
      </w:tblPr>
      <w:tblGrid>
        <w:gridCol w:w="2060"/>
        <w:gridCol w:w="776"/>
        <w:gridCol w:w="710"/>
        <w:gridCol w:w="1406"/>
        <w:gridCol w:w="380"/>
        <w:gridCol w:w="1435"/>
        <w:gridCol w:w="386"/>
        <w:gridCol w:w="1816"/>
        <w:gridCol w:w="385"/>
      </w:tblGrid>
      <w:tr w:rsidR="009B68EA" w14:paraId="3209862F" w14:textId="77777777" w:rsidTr="003C56BE">
        <w:trPr>
          <w:trHeight w:val="315"/>
        </w:trPr>
        <w:tc>
          <w:tcPr>
            <w:tcW w:w="2060" w:type="dxa"/>
            <w:tcBorders>
              <w:top w:val="single" w:sz="4" w:space="0" w:color="000000"/>
              <w:left w:val="single" w:sz="4" w:space="0" w:color="000000"/>
              <w:bottom w:val="single" w:sz="4" w:space="0" w:color="000000"/>
              <w:right w:val="nil"/>
            </w:tcBorders>
            <w:vAlign w:val="bottom"/>
          </w:tcPr>
          <w:p w14:paraId="123E0096" w14:textId="77777777" w:rsidR="009B68EA" w:rsidRDefault="009B1B9B">
            <w:pPr>
              <w:spacing w:after="0"/>
              <w:ind w:left="110" w:right="0" w:firstLine="0"/>
              <w:jc w:val="left"/>
            </w:pPr>
            <w:r>
              <w:rPr>
                <w:b/>
                <w:i/>
                <w:sz w:val="20"/>
              </w:rPr>
              <w:t xml:space="preserve"> </w:t>
            </w:r>
          </w:p>
        </w:tc>
        <w:tc>
          <w:tcPr>
            <w:tcW w:w="776" w:type="dxa"/>
            <w:tcBorders>
              <w:top w:val="single" w:sz="4" w:space="0" w:color="000000"/>
              <w:left w:val="nil"/>
              <w:bottom w:val="single" w:sz="4" w:space="0" w:color="000000"/>
              <w:right w:val="nil"/>
            </w:tcBorders>
            <w:vAlign w:val="bottom"/>
          </w:tcPr>
          <w:p w14:paraId="6FA9371B" w14:textId="77777777" w:rsidR="009B68EA" w:rsidRDefault="009B1B9B">
            <w:pPr>
              <w:spacing w:after="0"/>
              <w:ind w:left="105" w:right="0" w:firstLine="0"/>
              <w:jc w:val="left"/>
            </w:pPr>
            <w:r>
              <w:rPr>
                <w:b/>
                <w:sz w:val="20"/>
              </w:rPr>
              <w:t xml:space="preserve"> </w:t>
            </w:r>
          </w:p>
        </w:tc>
        <w:tc>
          <w:tcPr>
            <w:tcW w:w="710" w:type="dxa"/>
            <w:tcBorders>
              <w:top w:val="single" w:sz="4" w:space="0" w:color="000000"/>
              <w:left w:val="nil"/>
              <w:bottom w:val="single" w:sz="4" w:space="0" w:color="000000"/>
              <w:right w:val="nil"/>
            </w:tcBorders>
            <w:vAlign w:val="bottom"/>
          </w:tcPr>
          <w:p w14:paraId="49B404FD" w14:textId="77777777" w:rsidR="009B68EA" w:rsidRDefault="009B1B9B">
            <w:pPr>
              <w:spacing w:after="0"/>
              <w:ind w:left="110" w:right="0" w:firstLine="0"/>
              <w:jc w:val="left"/>
            </w:pPr>
            <w:r>
              <w:rPr>
                <w:b/>
                <w:sz w:val="20"/>
              </w:rPr>
              <w:t xml:space="preserve"> </w:t>
            </w:r>
          </w:p>
        </w:tc>
        <w:tc>
          <w:tcPr>
            <w:tcW w:w="1786" w:type="dxa"/>
            <w:gridSpan w:val="2"/>
            <w:tcBorders>
              <w:top w:val="single" w:sz="4" w:space="0" w:color="000000"/>
              <w:left w:val="nil"/>
              <w:bottom w:val="single" w:sz="4" w:space="0" w:color="000000"/>
              <w:right w:val="nil"/>
            </w:tcBorders>
          </w:tcPr>
          <w:p w14:paraId="1A303342" w14:textId="77777777" w:rsidR="009B68EA" w:rsidRDefault="009B1B9B">
            <w:pPr>
              <w:spacing w:after="0"/>
              <w:ind w:left="43" w:right="0" w:firstLine="0"/>
              <w:jc w:val="center"/>
            </w:pPr>
            <w:r>
              <w:rPr>
                <w:b/>
                <w:sz w:val="22"/>
              </w:rPr>
              <w:t>Levin-Lin</w:t>
            </w:r>
            <w:r>
              <w:rPr>
                <w:b/>
              </w:rPr>
              <w:t xml:space="preserve"> </w:t>
            </w:r>
          </w:p>
        </w:tc>
        <w:tc>
          <w:tcPr>
            <w:tcW w:w="1821" w:type="dxa"/>
            <w:gridSpan w:val="2"/>
            <w:tcBorders>
              <w:top w:val="single" w:sz="4" w:space="0" w:color="000000"/>
              <w:left w:val="nil"/>
              <w:bottom w:val="single" w:sz="4" w:space="0" w:color="000000"/>
              <w:right w:val="nil"/>
            </w:tcBorders>
          </w:tcPr>
          <w:p w14:paraId="462B1A2E" w14:textId="77777777" w:rsidR="009B68EA" w:rsidRDefault="009B1B9B">
            <w:pPr>
              <w:spacing w:after="0"/>
              <w:ind w:left="110" w:right="0" w:firstLine="0"/>
              <w:jc w:val="left"/>
            </w:pPr>
            <w:proofErr w:type="spellStart"/>
            <w:r>
              <w:rPr>
                <w:b/>
                <w:sz w:val="22"/>
              </w:rPr>
              <w:t>Im</w:t>
            </w:r>
            <w:proofErr w:type="spellEnd"/>
            <w:r>
              <w:rPr>
                <w:b/>
                <w:sz w:val="22"/>
              </w:rPr>
              <w:t>-</w:t>
            </w:r>
            <w:proofErr w:type="spellStart"/>
            <w:r>
              <w:rPr>
                <w:b/>
                <w:sz w:val="22"/>
              </w:rPr>
              <w:t>Pesaran</w:t>
            </w:r>
            <w:proofErr w:type="spellEnd"/>
            <w:r>
              <w:rPr>
                <w:b/>
                <w:sz w:val="22"/>
              </w:rPr>
              <w:t>-Shin</w:t>
            </w:r>
            <w:r>
              <w:rPr>
                <w:b/>
              </w:rPr>
              <w:t xml:space="preserve"> </w:t>
            </w:r>
          </w:p>
        </w:tc>
        <w:tc>
          <w:tcPr>
            <w:tcW w:w="2201" w:type="dxa"/>
            <w:gridSpan w:val="2"/>
            <w:tcBorders>
              <w:top w:val="single" w:sz="4" w:space="0" w:color="000000"/>
              <w:left w:val="nil"/>
              <w:bottom w:val="single" w:sz="4" w:space="0" w:color="000000"/>
              <w:right w:val="single" w:sz="4" w:space="0" w:color="000000"/>
            </w:tcBorders>
          </w:tcPr>
          <w:p w14:paraId="7E98412E" w14:textId="77777777" w:rsidR="009B68EA" w:rsidRDefault="009B1B9B">
            <w:pPr>
              <w:spacing w:after="0"/>
              <w:ind w:left="37" w:right="0" w:firstLine="0"/>
              <w:jc w:val="center"/>
            </w:pPr>
            <w:proofErr w:type="spellStart"/>
            <w:r>
              <w:rPr>
                <w:b/>
                <w:sz w:val="22"/>
              </w:rPr>
              <w:t>Madwu</w:t>
            </w:r>
            <w:proofErr w:type="spellEnd"/>
            <w:r>
              <w:rPr>
                <w:b/>
              </w:rPr>
              <w:t xml:space="preserve"> </w:t>
            </w:r>
          </w:p>
        </w:tc>
      </w:tr>
      <w:tr w:rsidR="009B68EA" w14:paraId="094C8C39" w14:textId="77777777" w:rsidTr="003C56BE">
        <w:trPr>
          <w:trHeight w:val="315"/>
        </w:trPr>
        <w:tc>
          <w:tcPr>
            <w:tcW w:w="2060" w:type="dxa"/>
            <w:tcBorders>
              <w:top w:val="single" w:sz="4" w:space="0" w:color="000000"/>
              <w:left w:val="single" w:sz="4" w:space="0" w:color="000000"/>
              <w:bottom w:val="single" w:sz="4" w:space="0" w:color="000000"/>
              <w:right w:val="single" w:sz="4" w:space="0" w:color="000000"/>
            </w:tcBorders>
            <w:vAlign w:val="bottom"/>
          </w:tcPr>
          <w:p w14:paraId="326D984F" w14:textId="77777777" w:rsidR="009B68EA" w:rsidRDefault="009B1B9B">
            <w:pPr>
              <w:spacing w:after="0"/>
              <w:ind w:left="110" w:right="0" w:firstLine="0"/>
              <w:jc w:val="center"/>
            </w:pPr>
            <w:r>
              <w:rPr>
                <w:b/>
                <w:i/>
              </w:rPr>
              <w:t xml:space="preserve"> </w:t>
            </w:r>
          </w:p>
        </w:tc>
        <w:tc>
          <w:tcPr>
            <w:tcW w:w="776" w:type="dxa"/>
            <w:tcBorders>
              <w:top w:val="single" w:sz="4" w:space="0" w:color="000000"/>
              <w:left w:val="single" w:sz="4" w:space="0" w:color="000000"/>
              <w:bottom w:val="single" w:sz="4" w:space="0" w:color="000000"/>
              <w:right w:val="single" w:sz="4" w:space="0" w:color="000000"/>
            </w:tcBorders>
          </w:tcPr>
          <w:p w14:paraId="3178E35F" w14:textId="77777777" w:rsidR="009B68EA" w:rsidRDefault="009B1B9B">
            <w:pPr>
              <w:spacing w:after="0"/>
              <w:ind w:left="105" w:right="0" w:firstLine="0"/>
              <w:jc w:val="left"/>
            </w:pPr>
            <w:r>
              <w:rPr>
                <w:b/>
                <w:sz w:val="22"/>
              </w:rPr>
              <w:t>lags</w:t>
            </w:r>
            <w:r>
              <w:rPr>
                <w:b/>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05B770BB" w14:textId="77777777" w:rsidR="009B68EA" w:rsidRDefault="009B1B9B">
            <w:pPr>
              <w:spacing w:after="0"/>
              <w:ind w:left="110" w:right="0" w:firstLine="0"/>
              <w:jc w:val="left"/>
            </w:pPr>
            <w:proofErr w:type="spellStart"/>
            <w:r>
              <w:rPr>
                <w:b/>
                <w:sz w:val="22"/>
              </w:rPr>
              <w:t>obs</w:t>
            </w:r>
            <w:proofErr w:type="spellEnd"/>
            <w:r>
              <w:rPr>
                <w:b/>
              </w:rPr>
              <w:t xml:space="preserve"> </w:t>
            </w:r>
          </w:p>
        </w:tc>
        <w:tc>
          <w:tcPr>
            <w:tcW w:w="1786" w:type="dxa"/>
            <w:gridSpan w:val="2"/>
            <w:tcBorders>
              <w:top w:val="single" w:sz="4" w:space="0" w:color="000000"/>
              <w:left w:val="single" w:sz="4" w:space="0" w:color="000000"/>
              <w:bottom w:val="single" w:sz="4" w:space="0" w:color="000000"/>
              <w:right w:val="single" w:sz="4" w:space="0" w:color="000000"/>
            </w:tcBorders>
          </w:tcPr>
          <w:p w14:paraId="696C78C4" w14:textId="77777777" w:rsidR="009B68EA" w:rsidRDefault="009B1B9B">
            <w:pPr>
              <w:tabs>
                <w:tab w:val="center" w:pos="1208"/>
              </w:tabs>
              <w:spacing w:after="0"/>
              <w:ind w:left="0" w:right="0" w:firstLine="0"/>
              <w:jc w:val="left"/>
            </w:pPr>
            <w:r>
              <w:rPr>
                <w:b/>
                <w:sz w:val="22"/>
              </w:rPr>
              <w:t>rho</w:t>
            </w:r>
            <w:r>
              <w:rPr>
                <w:b/>
              </w:rPr>
              <w:t xml:space="preserve"> </w:t>
            </w:r>
            <w:r>
              <w:rPr>
                <w:b/>
              </w:rPr>
              <w:tab/>
            </w:r>
            <w:proofErr w:type="spellStart"/>
            <w:proofErr w:type="gramStart"/>
            <w:r>
              <w:rPr>
                <w:b/>
                <w:sz w:val="22"/>
              </w:rPr>
              <w:t>p.trho</w:t>
            </w:r>
            <w:proofErr w:type="spellEnd"/>
            <w:proofErr w:type="gramEnd"/>
            <w:r>
              <w:rPr>
                <w:b/>
              </w:rPr>
              <w:t xml:space="preserve"> </w:t>
            </w:r>
          </w:p>
        </w:tc>
        <w:tc>
          <w:tcPr>
            <w:tcW w:w="1821" w:type="dxa"/>
            <w:gridSpan w:val="2"/>
            <w:tcBorders>
              <w:top w:val="single" w:sz="4" w:space="0" w:color="000000"/>
              <w:left w:val="single" w:sz="4" w:space="0" w:color="000000"/>
              <w:bottom w:val="single" w:sz="4" w:space="0" w:color="000000"/>
              <w:right w:val="single" w:sz="4" w:space="0" w:color="000000"/>
            </w:tcBorders>
          </w:tcPr>
          <w:p w14:paraId="0161F84F" w14:textId="77777777" w:rsidR="009B68EA" w:rsidRDefault="009B1B9B">
            <w:pPr>
              <w:tabs>
                <w:tab w:val="center" w:pos="1222"/>
              </w:tabs>
              <w:spacing w:after="0"/>
              <w:ind w:left="0" w:right="0" w:firstLine="0"/>
              <w:jc w:val="left"/>
            </w:pPr>
            <w:r>
              <w:rPr>
                <w:b/>
                <w:sz w:val="22"/>
              </w:rPr>
              <w:t>rho</w:t>
            </w:r>
            <w:r>
              <w:rPr>
                <w:b/>
              </w:rPr>
              <w:t xml:space="preserve"> </w:t>
            </w:r>
            <w:r>
              <w:rPr>
                <w:b/>
              </w:rPr>
              <w:tab/>
            </w:r>
            <w:proofErr w:type="spellStart"/>
            <w:proofErr w:type="gramStart"/>
            <w:r>
              <w:rPr>
                <w:b/>
                <w:sz w:val="22"/>
              </w:rPr>
              <w:t>p.trho</w:t>
            </w:r>
            <w:proofErr w:type="spellEnd"/>
            <w:proofErr w:type="gramEnd"/>
            <w:r>
              <w:rPr>
                <w:b/>
              </w:rPr>
              <w:t xml:space="preserve"> </w:t>
            </w:r>
          </w:p>
        </w:tc>
        <w:tc>
          <w:tcPr>
            <w:tcW w:w="2201" w:type="dxa"/>
            <w:gridSpan w:val="2"/>
            <w:tcBorders>
              <w:top w:val="single" w:sz="4" w:space="0" w:color="000000"/>
              <w:left w:val="single" w:sz="4" w:space="0" w:color="000000"/>
              <w:bottom w:val="single" w:sz="4" w:space="0" w:color="000000"/>
              <w:right w:val="single" w:sz="4" w:space="0" w:color="000000"/>
            </w:tcBorders>
          </w:tcPr>
          <w:p w14:paraId="267FA0E7" w14:textId="77777777" w:rsidR="009B68EA" w:rsidRDefault="009B1B9B">
            <w:pPr>
              <w:tabs>
                <w:tab w:val="center" w:pos="1403"/>
              </w:tabs>
              <w:spacing w:after="0"/>
              <w:ind w:left="0" w:right="0" w:firstLine="0"/>
              <w:jc w:val="left"/>
            </w:pPr>
            <w:r>
              <w:rPr>
                <w:b/>
                <w:sz w:val="22"/>
              </w:rPr>
              <w:t>rho</w:t>
            </w:r>
            <w:r>
              <w:rPr>
                <w:b/>
              </w:rPr>
              <w:t xml:space="preserve"> </w:t>
            </w:r>
            <w:r>
              <w:rPr>
                <w:b/>
              </w:rPr>
              <w:tab/>
            </w:r>
            <w:proofErr w:type="spellStart"/>
            <w:proofErr w:type="gramStart"/>
            <w:r>
              <w:rPr>
                <w:b/>
                <w:sz w:val="22"/>
              </w:rPr>
              <w:t>p.trho</w:t>
            </w:r>
            <w:proofErr w:type="spellEnd"/>
            <w:proofErr w:type="gramEnd"/>
            <w:r>
              <w:rPr>
                <w:b/>
              </w:rPr>
              <w:t xml:space="preserve"> </w:t>
            </w:r>
          </w:p>
        </w:tc>
      </w:tr>
      <w:tr w:rsidR="009B68EA" w14:paraId="3B3A15E6" w14:textId="77777777" w:rsidTr="003C56BE">
        <w:trPr>
          <w:trHeight w:val="329"/>
        </w:trPr>
        <w:tc>
          <w:tcPr>
            <w:tcW w:w="2060" w:type="dxa"/>
            <w:tcBorders>
              <w:top w:val="single" w:sz="4" w:space="0" w:color="000000"/>
              <w:left w:val="single" w:sz="4" w:space="0" w:color="000000"/>
              <w:bottom w:val="nil"/>
              <w:right w:val="single" w:sz="4" w:space="0" w:color="000000"/>
            </w:tcBorders>
          </w:tcPr>
          <w:p w14:paraId="58AC1E91" w14:textId="77777777" w:rsidR="009B68EA" w:rsidRDefault="009B1B9B">
            <w:pPr>
              <w:spacing w:after="0"/>
              <w:ind w:left="110" w:right="0" w:firstLine="0"/>
              <w:jc w:val="left"/>
            </w:pPr>
            <w:r>
              <w:t xml:space="preserve">MES </w:t>
            </w:r>
          </w:p>
        </w:tc>
        <w:tc>
          <w:tcPr>
            <w:tcW w:w="776" w:type="dxa"/>
            <w:tcBorders>
              <w:top w:val="single" w:sz="4" w:space="0" w:color="000000"/>
              <w:left w:val="single" w:sz="4" w:space="0" w:color="000000"/>
              <w:bottom w:val="nil"/>
              <w:right w:val="single" w:sz="4" w:space="0" w:color="000000"/>
            </w:tcBorders>
          </w:tcPr>
          <w:p w14:paraId="5E1D772E" w14:textId="77777777" w:rsidR="009B68EA" w:rsidRDefault="009B1B9B">
            <w:pPr>
              <w:spacing w:after="0"/>
              <w:ind w:left="0" w:right="65" w:firstLine="0"/>
              <w:jc w:val="right"/>
            </w:pPr>
            <w:r>
              <w:t xml:space="preserve">2 </w:t>
            </w:r>
          </w:p>
        </w:tc>
        <w:tc>
          <w:tcPr>
            <w:tcW w:w="710" w:type="dxa"/>
            <w:tcBorders>
              <w:top w:val="single" w:sz="4" w:space="0" w:color="000000"/>
              <w:left w:val="single" w:sz="4" w:space="0" w:color="000000"/>
              <w:bottom w:val="nil"/>
              <w:right w:val="single" w:sz="4" w:space="0" w:color="000000"/>
            </w:tcBorders>
          </w:tcPr>
          <w:p w14:paraId="2B72016B" w14:textId="77777777" w:rsidR="009B68EA" w:rsidRDefault="009B1B9B">
            <w:pPr>
              <w:spacing w:after="0"/>
              <w:ind w:left="0" w:right="65" w:firstLine="0"/>
              <w:jc w:val="right"/>
            </w:pPr>
            <w:r>
              <w:rPr>
                <w:sz w:val="22"/>
              </w:rPr>
              <w:t>107</w:t>
            </w:r>
            <w:r>
              <w:t xml:space="preserve"> </w:t>
            </w:r>
          </w:p>
        </w:tc>
        <w:tc>
          <w:tcPr>
            <w:tcW w:w="1406" w:type="dxa"/>
            <w:tcBorders>
              <w:top w:val="single" w:sz="4" w:space="0" w:color="000000"/>
              <w:left w:val="single" w:sz="4" w:space="0" w:color="000000"/>
              <w:bottom w:val="nil"/>
              <w:right w:val="nil"/>
            </w:tcBorders>
          </w:tcPr>
          <w:p w14:paraId="4FAD3A51" w14:textId="77777777" w:rsidR="009B68EA" w:rsidRDefault="009B1B9B">
            <w:pPr>
              <w:spacing w:after="0"/>
              <w:ind w:left="345" w:right="0" w:firstLine="0"/>
              <w:jc w:val="left"/>
            </w:pPr>
            <w:r>
              <w:rPr>
                <w:sz w:val="22"/>
              </w:rPr>
              <w:t>-0.5</w:t>
            </w:r>
            <w:r>
              <w:t xml:space="preserve"> </w:t>
            </w:r>
          </w:p>
        </w:tc>
        <w:tc>
          <w:tcPr>
            <w:tcW w:w="380" w:type="dxa"/>
            <w:tcBorders>
              <w:top w:val="single" w:sz="4" w:space="0" w:color="000000"/>
              <w:left w:val="nil"/>
              <w:bottom w:val="nil"/>
              <w:right w:val="single" w:sz="4" w:space="0" w:color="000000"/>
            </w:tcBorders>
          </w:tcPr>
          <w:p w14:paraId="43A3041A" w14:textId="77777777" w:rsidR="009B68EA" w:rsidRDefault="009B1B9B">
            <w:pPr>
              <w:spacing w:after="0"/>
              <w:ind w:left="0" w:right="0" w:firstLine="0"/>
            </w:pPr>
            <w:r>
              <w:rPr>
                <w:sz w:val="22"/>
              </w:rPr>
              <w:t>0.0</w:t>
            </w:r>
            <w:r>
              <w:t xml:space="preserve"> </w:t>
            </w:r>
          </w:p>
        </w:tc>
        <w:tc>
          <w:tcPr>
            <w:tcW w:w="1435" w:type="dxa"/>
            <w:tcBorders>
              <w:top w:val="single" w:sz="4" w:space="0" w:color="000000"/>
              <w:left w:val="single" w:sz="4" w:space="0" w:color="000000"/>
              <w:bottom w:val="nil"/>
              <w:right w:val="nil"/>
            </w:tcBorders>
          </w:tcPr>
          <w:p w14:paraId="5FE128A5" w14:textId="77777777" w:rsidR="009B68EA" w:rsidRDefault="009B1B9B">
            <w:pPr>
              <w:spacing w:after="0"/>
              <w:ind w:left="365" w:right="0" w:firstLine="0"/>
              <w:jc w:val="left"/>
            </w:pPr>
            <w:r>
              <w:rPr>
                <w:sz w:val="22"/>
              </w:rPr>
              <w:t>-0.5</w:t>
            </w:r>
            <w:r>
              <w:t xml:space="preserve"> </w:t>
            </w:r>
          </w:p>
        </w:tc>
        <w:tc>
          <w:tcPr>
            <w:tcW w:w="386" w:type="dxa"/>
            <w:tcBorders>
              <w:top w:val="single" w:sz="4" w:space="0" w:color="000000"/>
              <w:left w:val="nil"/>
              <w:bottom w:val="nil"/>
              <w:right w:val="single" w:sz="4" w:space="0" w:color="000000"/>
            </w:tcBorders>
          </w:tcPr>
          <w:p w14:paraId="5BE11B8E" w14:textId="77777777" w:rsidR="009B68EA" w:rsidRDefault="009B1B9B">
            <w:pPr>
              <w:spacing w:after="0"/>
              <w:ind w:left="0" w:right="0" w:firstLine="0"/>
            </w:pPr>
            <w:r>
              <w:rPr>
                <w:sz w:val="22"/>
              </w:rPr>
              <w:t>0.0</w:t>
            </w:r>
            <w:r>
              <w:t xml:space="preserve"> </w:t>
            </w:r>
          </w:p>
        </w:tc>
        <w:tc>
          <w:tcPr>
            <w:tcW w:w="1816" w:type="dxa"/>
            <w:tcBorders>
              <w:top w:val="single" w:sz="4" w:space="0" w:color="000000"/>
              <w:left w:val="single" w:sz="4" w:space="0" w:color="000000"/>
              <w:bottom w:val="nil"/>
              <w:right w:val="nil"/>
            </w:tcBorders>
          </w:tcPr>
          <w:p w14:paraId="65EAF9B7" w14:textId="77777777" w:rsidR="009B68EA" w:rsidRDefault="009B1B9B">
            <w:pPr>
              <w:spacing w:after="0"/>
              <w:ind w:left="540" w:right="0" w:firstLine="0"/>
              <w:jc w:val="left"/>
            </w:pPr>
            <w:r>
              <w:rPr>
                <w:sz w:val="22"/>
              </w:rPr>
              <w:t>-0.5</w:t>
            </w:r>
            <w:r>
              <w:t xml:space="preserve"> </w:t>
            </w:r>
          </w:p>
        </w:tc>
        <w:tc>
          <w:tcPr>
            <w:tcW w:w="385" w:type="dxa"/>
            <w:tcBorders>
              <w:top w:val="single" w:sz="4" w:space="0" w:color="000000"/>
              <w:left w:val="nil"/>
              <w:bottom w:val="nil"/>
              <w:right w:val="single" w:sz="4" w:space="0" w:color="000000"/>
            </w:tcBorders>
          </w:tcPr>
          <w:p w14:paraId="027AC73D" w14:textId="77777777" w:rsidR="009B68EA" w:rsidRDefault="009B1B9B">
            <w:pPr>
              <w:spacing w:after="0"/>
              <w:ind w:left="0" w:right="0" w:firstLine="0"/>
            </w:pPr>
            <w:r>
              <w:rPr>
                <w:sz w:val="22"/>
              </w:rPr>
              <w:t>0.0</w:t>
            </w:r>
            <w:r>
              <w:t xml:space="preserve"> </w:t>
            </w:r>
          </w:p>
        </w:tc>
      </w:tr>
      <w:tr w:rsidR="009B68EA" w14:paraId="1B72B1A9" w14:textId="77777777" w:rsidTr="003C56BE">
        <w:trPr>
          <w:trHeight w:val="305"/>
        </w:trPr>
        <w:tc>
          <w:tcPr>
            <w:tcW w:w="2060" w:type="dxa"/>
            <w:tcBorders>
              <w:top w:val="nil"/>
              <w:left w:val="single" w:sz="4" w:space="0" w:color="000000"/>
              <w:bottom w:val="nil"/>
              <w:right w:val="single" w:sz="4" w:space="0" w:color="000000"/>
            </w:tcBorders>
          </w:tcPr>
          <w:p w14:paraId="3E66EEE0" w14:textId="77777777" w:rsidR="009B68EA" w:rsidRDefault="009B1B9B">
            <w:pPr>
              <w:spacing w:after="0"/>
              <w:ind w:left="110" w:right="0" w:firstLine="0"/>
              <w:jc w:val="left"/>
            </w:pPr>
            <w:r>
              <w:t xml:space="preserve">CoVaR </w:t>
            </w:r>
          </w:p>
        </w:tc>
        <w:tc>
          <w:tcPr>
            <w:tcW w:w="776" w:type="dxa"/>
            <w:tcBorders>
              <w:top w:val="nil"/>
              <w:left w:val="single" w:sz="4" w:space="0" w:color="000000"/>
              <w:bottom w:val="nil"/>
              <w:right w:val="single" w:sz="4" w:space="0" w:color="000000"/>
            </w:tcBorders>
          </w:tcPr>
          <w:p w14:paraId="0DE6DB73" w14:textId="77777777" w:rsidR="009B68EA" w:rsidRDefault="009B1B9B">
            <w:pPr>
              <w:spacing w:after="0"/>
              <w:ind w:left="0" w:right="65" w:firstLine="0"/>
              <w:jc w:val="right"/>
            </w:pPr>
            <w:r>
              <w:t xml:space="preserve">0 </w:t>
            </w:r>
          </w:p>
        </w:tc>
        <w:tc>
          <w:tcPr>
            <w:tcW w:w="710" w:type="dxa"/>
            <w:tcBorders>
              <w:top w:val="nil"/>
              <w:left w:val="single" w:sz="4" w:space="0" w:color="000000"/>
              <w:bottom w:val="nil"/>
              <w:right w:val="single" w:sz="4" w:space="0" w:color="000000"/>
            </w:tcBorders>
          </w:tcPr>
          <w:p w14:paraId="6C7D769C" w14:textId="77777777" w:rsidR="009B68EA" w:rsidRDefault="009B1B9B">
            <w:pPr>
              <w:spacing w:after="0"/>
              <w:ind w:left="0" w:right="65" w:firstLine="0"/>
              <w:jc w:val="right"/>
            </w:pPr>
            <w:r>
              <w:t xml:space="preserve">108 </w:t>
            </w:r>
          </w:p>
        </w:tc>
        <w:tc>
          <w:tcPr>
            <w:tcW w:w="1406" w:type="dxa"/>
            <w:tcBorders>
              <w:top w:val="nil"/>
              <w:left w:val="single" w:sz="4" w:space="0" w:color="000000"/>
              <w:bottom w:val="nil"/>
              <w:right w:val="nil"/>
            </w:tcBorders>
          </w:tcPr>
          <w:p w14:paraId="243C227A" w14:textId="77777777" w:rsidR="009B68EA" w:rsidRDefault="009B1B9B">
            <w:pPr>
              <w:spacing w:after="0"/>
              <w:ind w:left="345" w:right="0" w:firstLine="0"/>
              <w:jc w:val="left"/>
            </w:pPr>
            <w:r>
              <w:rPr>
                <w:sz w:val="22"/>
              </w:rPr>
              <w:t>-0.6</w:t>
            </w:r>
            <w:r>
              <w:t xml:space="preserve"> </w:t>
            </w:r>
          </w:p>
        </w:tc>
        <w:tc>
          <w:tcPr>
            <w:tcW w:w="380" w:type="dxa"/>
            <w:tcBorders>
              <w:top w:val="nil"/>
              <w:left w:val="nil"/>
              <w:bottom w:val="nil"/>
              <w:right w:val="single" w:sz="4" w:space="0" w:color="000000"/>
            </w:tcBorders>
          </w:tcPr>
          <w:p w14:paraId="32037A10" w14:textId="77777777" w:rsidR="009B68EA" w:rsidRDefault="009B1B9B">
            <w:pPr>
              <w:spacing w:after="0"/>
              <w:ind w:left="0" w:right="0" w:firstLine="0"/>
            </w:pPr>
            <w:r>
              <w:rPr>
                <w:sz w:val="22"/>
              </w:rPr>
              <w:t>0.0</w:t>
            </w:r>
            <w:r>
              <w:t xml:space="preserve"> </w:t>
            </w:r>
          </w:p>
        </w:tc>
        <w:tc>
          <w:tcPr>
            <w:tcW w:w="1435" w:type="dxa"/>
            <w:tcBorders>
              <w:top w:val="nil"/>
              <w:left w:val="single" w:sz="4" w:space="0" w:color="000000"/>
              <w:bottom w:val="nil"/>
              <w:right w:val="nil"/>
            </w:tcBorders>
          </w:tcPr>
          <w:p w14:paraId="4A6E8630" w14:textId="77777777" w:rsidR="009B68EA" w:rsidRDefault="009B1B9B">
            <w:pPr>
              <w:spacing w:after="0"/>
              <w:ind w:left="365" w:right="0" w:firstLine="0"/>
              <w:jc w:val="left"/>
            </w:pPr>
            <w:r>
              <w:rPr>
                <w:sz w:val="22"/>
              </w:rPr>
              <w:t>-0.6</w:t>
            </w:r>
            <w:r>
              <w:t xml:space="preserve"> </w:t>
            </w:r>
          </w:p>
        </w:tc>
        <w:tc>
          <w:tcPr>
            <w:tcW w:w="386" w:type="dxa"/>
            <w:tcBorders>
              <w:top w:val="nil"/>
              <w:left w:val="nil"/>
              <w:bottom w:val="nil"/>
              <w:right w:val="single" w:sz="4" w:space="0" w:color="000000"/>
            </w:tcBorders>
          </w:tcPr>
          <w:p w14:paraId="0D1EB921" w14:textId="77777777" w:rsidR="009B68EA" w:rsidRDefault="009B1B9B">
            <w:pPr>
              <w:spacing w:after="0"/>
              <w:ind w:left="0" w:right="0" w:firstLine="0"/>
            </w:pPr>
            <w:r>
              <w:rPr>
                <w:sz w:val="22"/>
              </w:rPr>
              <w:t>0.0</w:t>
            </w:r>
            <w:r>
              <w:t xml:space="preserve"> </w:t>
            </w:r>
          </w:p>
        </w:tc>
        <w:tc>
          <w:tcPr>
            <w:tcW w:w="1816" w:type="dxa"/>
            <w:tcBorders>
              <w:top w:val="nil"/>
              <w:left w:val="single" w:sz="4" w:space="0" w:color="000000"/>
              <w:bottom w:val="nil"/>
              <w:right w:val="nil"/>
            </w:tcBorders>
          </w:tcPr>
          <w:p w14:paraId="6EB0EAB9" w14:textId="77777777" w:rsidR="009B68EA" w:rsidRDefault="009B1B9B">
            <w:pPr>
              <w:spacing w:after="0"/>
              <w:ind w:left="540" w:right="0" w:firstLine="0"/>
              <w:jc w:val="left"/>
            </w:pPr>
            <w:r>
              <w:rPr>
                <w:sz w:val="22"/>
              </w:rPr>
              <w:t>-0.6</w:t>
            </w:r>
            <w:r>
              <w:t xml:space="preserve"> </w:t>
            </w:r>
          </w:p>
        </w:tc>
        <w:tc>
          <w:tcPr>
            <w:tcW w:w="385" w:type="dxa"/>
            <w:tcBorders>
              <w:top w:val="nil"/>
              <w:left w:val="nil"/>
              <w:bottom w:val="nil"/>
              <w:right w:val="single" w:sz="4" w:space="0" w:color="000000"/>
            </w:tcBorders>
          </w:tcPr>
          <w:p w14:paraId="14299CD7" w14:textId="77777777" w:rsidR="009B68EA" w:rsidRDefault="009B1B9B">
            <w:pPr>
              <w:spacing w:after="0"/>
              <w:ind w:left="0" w:right="0" w:firstLine="0"/>
            </w:pPr>
            <w:r>
              <w:rPr>
                <w:sz w:val="22"/>
              </w:rPr>
              <w:t>0.0</w:t>
            </w:r>
            <w:r>
              <w:t xml:space="preserve"> </w:t>
            </w:r>
          </w:p>
        </w:tc>
      </w:tr>
      <w:tr w:rsidR="009B68EA" w14:paraId="31CAE417" w14:textId="77777777" w:rsidTr="003C56BE">
        <w:trPr>
          <w:trHeight w:val="308"/>
        </w:trPr>
        <w:tc>
          <w:tcPr>
            <w:tcW w:w="2060" w:type="dxa"/>
            <w:tcBorders>
              <w:top w:val="nil"/>
              <w:left w:val="single" w:sz="4" w:space="0" w:color="000000"/>
              <w:bottom w:val="nil"/>
              <w:right w:val="single" w:sz="4" w:space="0" w:color="000000"/>
            </w:tcBorders>
          </w:tcPr>
          <w:p w14:paraId="1A1653CC" w14:textId="77777777" w:rsidR="009B68EA" w:rsidRDefault="009B1B9B">
            <w:pPr>
              <w:spacing w:after="0"/>
              <w:ind w:left="110" w:right="0" w:firstLine="0"/>
              <w:jc w:val="left"/>
            </w:pPr>
            <w:r>
              <w:t xml:space="preserve">Yield Differential </w:t>
            </w:r>
          </w:p>
        </w:tc>
        <w:tc>
          <w:tcPr>
            <w:tcW w:w="776" w:type="dxa"/>
            <w:tcBorders>
              <w:top w:val="nil"/>
              <w:left w:val="single" w:sz="4" w:space="0" w:color="000000"/>
              <w:bottom w:val="nil"/>
              <w:right w:val="single" w:sz="4" w:space="0" w:color="000000"/>
            </w:tcBorders>
          </w:tcPr>
          <w:p w14:paraId="659983D0" w14:textId="77777777" w:rsidR="009B68EA" w:rsidRDefault="009B1B9B">
            <w:pPr>
              <w:spacing w:after="0"/>
              <w:ind w:left="0" w:right="65" w:firstLine="0"/>
              <w:jc w:val="right"/>
            </w:pPr>
            <w:r>
              <w:t xml:space="preserve">10 </w:t>
            </w:r>
          </w:p>
        </w:tc>
        <w:tc>
          <w:tcPr>
            <w:tcW w:w="710" w:type="dxa"/>
            <w:tcBorders>
              <w:top w:val="nil"/>
              <w:left w:val="single" w:sz="4" w:space="0" w:color="000000"/>
              <w:bottom w:val="nil"/>
              <w:right w:val="single" w:sz="4" w:space="0" w:color="000000"/>
            </w:tcBorders>
          </w:tcPr>
          <w:p w14:paraId="4D62A013" w14:textId="77777777" w:rsidR="009B68EA" w:rsidRDefault="009B1B9B">
            <w:pPr>
              <w:spacing w:after="0"/>
              <w:ind w:left="0" w:right="65" w:firstLine="0"/>
              <w:jc w:val="right"/>
            </w:pPr>
            <w:r>
              <w:t xml:space="preserve">97 </w:t>
            </w:r>
          </w:p>
        </w:tc>
        <w:tc>
          <w:tcPr>
            <w:tcW w:w="1406" w:type="dxa"/>
            <w:tcBorders>
              <w:top w:val="nil"/>
              <w:left w:val="single" w:sz="4" w:space="0" w:color="000000"/>
              <w:bottom w:val="nil"/>
              <w:right w:val="nil"/>
            </w:tcBorders>
          </w:tcPr>
          <w:p w14:paraId="5BA3C6C0" w14:textId="77777777" w:rsidR="009B68EA" w:rsidRDefault="009B1B9B">
            <w:pPr>
              <w:spacing w:after="0"/>
              <w:ind w:left="235" w:right="0" w:firstLine="0"/>
              <w:jc w:val="left"/>
            </w:pPr>
            <w:r>
              <w:rPr>
                <w:sz w:val="22"/>
              </w:rPr>
              <w:t>-12.0</w:t>
            </w:r>
            <w:r>
              <w:t xml:space="preserve"> </w:t>
            </w:r>
          </w:p>
        </w:tc>
        <w:tc>
          <w:tcPr>
            <w:tcW w:w="380" w:type="dxa"/>
            <w:tcBorders>
              <w:top w:val="nil"/>
              <w:left w:val="nil"/>
              <w:bottom w:val="nil"/>
              <w:right w:val="single" w:sz="4" w:space="0" w:color="000000"/>
            </w:tcBorders>
          </w:tcPr>
          <w:p w14:paraId="350CA963" w14:textId="77777777" w:rsidR="009B68EA" w:rsidRDefault="009B1B9B">
            <w:pPr>
              <w:spacing w:after="0"/>
              <w:ind w:left="0" w:right="0" w:firstLine="0"/>
            </w:pPr>
            <w:r>
              <w:rPr>
                <w:sz w:val="22"/>
              </w:rPr>
              <w:t>0.0</w:t>
            </w:r>
            <w:r>
              <w:t xml:space="preserve"> </w:t>
            </w:r>
          </w:p>
        </w:tc>
        <w:tc>
          <w:tcPr>
            <w:tcW w:w="1435" w:type="dxa"/>
            <w:tcBorders>
              <w:top w:val="nil"/>
              <w:left w:val="single" w:sz="4" w:space="0" w:color="000000"/>
              <w:bottom w:val="nil"/>
              <w:right w:val="nil"/>
            </w:tcBorders>
          </w:tcPr>
          <w:p w14:paraId="41CB1B8C" w14:textId="77777777" w:rsidR="009B68EA" w:rsidRDefault="009B1B9B">
            <w:pPr>
              <w:spacing w:after="0"/>
              <w:ind w:left="255" w:right="0" w:firstLine="0"/>
              <w:jc w:val="left"/>
            </w:pPr>
            <w:r>
              <w:rPr>
                <w:sz w:val="22"/>
              </w:rPr>
              <w:t>-12.0</w:t>
            </w:r>
            <w:r>
              <w:t xml:space="preserve"> </w:t>
            </w:r>
          </w:p>
        </w:tc>
        <w:tc>
          <w:tcPr>
            <w:tcW w:w="386" w:type="dxa"/>
            <w:tcBorders>
              <w:top w:val="nil"/>
              <w:left w:val="nil"/>
              <w:bottom w:val="nil"/>
              <w:right w:val="single" w:sz="4" w:space="0" w:color="000000"/>
            </w:tcBorders>
          </w:tcPr>
          <w:p w14:paraId="27ECA8DF" w14:textId="77777777" w:rsidR="009B68EA" w:rsidRDefault="009B1B9B">
            <w:pPr>
              <w:spacing w:after="0"/>
              <w:ind w:left="0" w:right="0" w:firstLine="0"/>
            </w:pPr>
            <w:r>
              <w:rPr>
                <w:sz w:val="22"/>
              </w:rPr>
              <w:t>0.0</w:t>
            </w:r>
            <w:r>
              <w:t xml:space="preserve"> </w:t>
            </w:r>
          </w:p>
        </w:tc>
        <w:tc>
          <w:tcPr>
            <w:tcW w:w="1816" w:type="dxa"/>
            <w:tcBorders>
              <w:top w:val="nil"/>
              <w:left w:val="single" w:sz="4" w:space="0" w:color="000000"/>
              <w:bottom w:val="nil"/>
              <w:right w:val="nil"/>
            </w:tcBorders>
          </w:tcPr>
          <w:p w14:paraId="3D1732C7" w14:textId="77777777" w:rsidR="009B68EA" w:rsidRDefault="009B1B9B">
            <w:pPr>
              <w:spacing w:after="0"/>
              <w:ind w:left="430" w:right="0" w:firstLine="0"/>
              <w:jc w:val="left"/>
            </w:pPr>
            <w:r>
              <w:rPr>
                <w:sz w:val="22"/>
              </w:rPr>
              <w:t>-12.0</w:t>
            </w:r>
            <w:r>
              <w:t xml:space="preserve"> </w:t>
            </w:r>
          </w:p>
        </w:tc>
        <w:tc>
          <w:tcPr>
            <w:tcW w:w="385" w:type="dxa"/>
            <w:tcBorders>
              <w:top w:val="nil"/>
              <w:left w:val="nil"/>
              <w:bottom w:val="nil"/>
              <w:right w:val="single" w:sz="4" w:space="0" w:color="000000"/>
            </w:tcBorders>
          </w:tcPr>
          <w:p w14:paraId="3E03C5DF" w14:textId="77777777" w:rsidR="009B68EA" w:rsidRDefault="009B1B9B">
            <w:pPr>
              <w:spacing w:after="0"/>
              <w:ind w:left="0" w:right="0" w:firstLine="0"/>
            </w:pPr>
            <w:r>
              <w:rPr>
                <w:sz w:val="22"/>
              </w:rPr>
              <w:t>0.0</w:t>
            </w:r>
            <w:r>
              <w:t xml:space="preserve"> </w:t>
            </w:r>
          </w:p>
        </w:tc>
      </w:tr>
      <w:tr w:rsidR="00686B36" w14:paraId="1005C0E5" w14:textId="77777777" w:rsidTr="003C56BE">
        <w:trPr>
          <w:trHeight w:val="308"/>
        </w:trPr>
        <w:tc>
          <w:tcPr>
            <w:tcW w:w="2060" w:type="dxa"/>
            <w:tcBorders>
              <w:top w:val="nil"/>
              <w:left w:val="single" w:sz="4" w:space="0" w:color="000000"/>
              <w:bottom w:val="nil"/>
              <w:right w:val="single" w:sz="4" w:space="0" w:color="000000"/>
            </w:tcBorders>
          </w:tcPr>
          <w:p w14:paraId="1F4F7D6D" w14:textId="009CB667" w:rsidR="00686B36" w:rsidRDefault="00686B36">
            <w:pPr>
              <w:spacing w:after="0"/>
              <w:ind w:left="110" w:right="0" w:firstLine="0"/>
              <w:jc w:val="left"/>
            </w:pPr>
            <w:r>
              <w:t>Total Assets</w:t>
            </w:r>
          </w:p>
        </w:tc>
        <w:tc>
          <w:tcPr>
            <w:tcW w:w="776" w:type="dxa"/>
            <w:tcBorders>
              <w:top w:val="nil"/>
              <w:left w:val="single" w:sz="4" w:space="0" w:color="000000"/>
              <w:bottom w:val="nil"/>
              <w:right w:val="single" w:sz="4" w:space="0" w:color="000000"/>
            </w:tcBorders>
          </w:tcPr>
          <w:p w14:paraId="478B74D8" w14:textId="170E42B2" w:rsidR="00686B36" w:rsidRDefault="00686B36">
            <w:pPr>
              <w:spacing w:after="0"/>
              <w:ind w:left="0" w:right="65" w:firstLine="0"/>
              <w:jc w:val="right"/>
            </w:pPr>
            <w:r>
              <w:t>0</w:t>
            </w:r>
          </w:p>
        </w:tc>
        <w:tc>
          <w:tcPr>
            <w:tcW w:w="710" w:type="dxa"/>
            <w:tcBorders>
              <w:top w:val="nil"/>
              <w:left w:val="single" w:sz="4" w:space="0" w:color="000000"/>
              <w:bottom w:val="nil"/>
              <w:right w:val="single" w:sz="4" w:space="0" w:color="000000"/>
            </w:tcBorders>
          </w:tcPr>
          <w:p w14:paraId="4C0E6FCA" w14:textId="30638A8E" w:rsidR="00686B36" w:rsidRDefault="00686B36">
            <w:pPr>
              <w:spacing w:after="0"/>
              <w:ind w:left="0" w:right="65" w:firstLine="0"/>
              <w:jc w:val="right"/>
            </w:pPr>
            <w:r>
              <w:t>75</w:t>
            </w:r>
          </w:p>
        </w:tc>
        <w:tc>
          <w:tcPr>
            <w:tcW w:w="1406" w:type="dxa"/>
            <w:tcBorders>
              <w:top w:val="nil"/>
              <w:left w:val="single" w:sz="4" w:space="0" w:color="000000"/>
              <w:bottom w:val="nil"/>
              <w:right w:val="nil"/>
            </w:tcBorders>
          </w:tcPr>
          <w:p w14:paraId="60E372BF" w14:textId="733854BE" w:rsidR="00686B36" w:rsidRDefault="00686B36">
            <w:pPr>
              <w:spacing w:after="0"/>
              <w:ind w:left="235" w:right="0" w:firstLine="0"/>
              <w:jc w:val="left"/>
              <w:rPr>
                <w:sz w:val="22"/>
              </w:rPr>
            </w:pPr>
            <w:r>
              <w:rPr>
                <w:sz w:val="22"/>
              </w:rPr>
              <w:t>-0.20</w:t>
            </w:r>
          </w:p>
        </w:tc>
        <w:tc>
          <w:tcPr>
            <w:tcW w:w="380" w:type="dxa"/>
            <w:tcBorders>
              <w:top w:val="nil"/>
              <w:left w:val="nil"/>
              <w:bottom w:val="nil"/>
              <w:right w:val="single" w:sz="4" w:space="0" w:color="000000"/>
            </w:tcBorders>
          </w:tcPr>
          <w:p w14:paraId="10B5E57A" w14:textId="34A93E3D" w:rsidR="00686B36" w:rsidRDefault="00686B36">
            <w:pPr>
              <w:spacing w:after="0"/>
              <w:ind w:left="0" w:right="0" w:firstLine="0"/>
              <w:rPr>
                <w:sz w:val="22"/>
              </w:rPr>
            </w:pPr>
            <w:r>
              <w:rPr>
                <w:sz w:val="22"/>
              </w:rPr>
              <w:t>0.0</w:t>
            </w:r>
          </w:p>
        </w:tc>
        <w:tc>
          <w:tcPr>
            <w:tcW w:w="1435" w:type="dxa"/>
            <w:tcBorders>
              <w:top w:val="nil"/>
              <w:left w:val="single" w:sz="4" w:space="0" w:color="000000"/>
              <w:bottom w:val="nil"/>
              <w:right w:val="nil"/>
            </w:tcBorders>
          </w:tcPr>
          <w:p w14:paraId="2D3135DD" w14:textId="71FCF9C6" w:rsidR="00686B36" w:rsidRDefault="00686B36">
            <w:pPr>
              <w:spacing w:after="0"/>
              <w:ind w:left="255" w:right="0" w:firstLine="0"/>
              <w:jc w:val="left"/>
              <w:rPr>
                <w:sz w:val="22"/>
              </w:rPr>
            </w:pPr>
            <w:r>
              <w:rPr>
                <w:sz w:val="22"/>
              </w:rPr>
              <w:t>-0.20</w:t>
            </w:r>
          </w:p>
        </w:tc>
        <w:tc>
          <w:tcPr>
            <w:tcW w:w="386" w:type="dxa"/>
            <w:tcBorders>
              <w:top w:val="nil"/>
              <w:left w:val="nil"/>
              <w:bottom w:val="nil"/>
              <w:right w:val="single" w:sz="4" w:space="0" w:color="000000"/>
            </w:tcBorders>
          </w:tcPr>
          <w:p w14:paraId="53EC3022" w14:textId="0538105C" w:rsidR="00686B36" w:rsidRDefault="00686B36">
            <w:pPr>
              <w:spacing w:after="0"/>
              <w:ind w:left="0" w:right="0" w:firstLine="0"/>
              <w:rPr>
                <w:sz w:val="22"/>
              </w:rPr>
            </w:pPr>
            <w:r>
              <w:rPr>
                <w:sz w:val="22"/>
              </w:rPr>
              <w:t>0.0</w:t>
            </w:r>
          </w:p>
        </w:tc>
        <w:tc>
          <w:tcPr>
            <w:tcW w:w="1816" w:type="dxa"/>
            <w:tcBorders>
              <w:top w:val="nil"/>
              <w:left w:val="single" w:sz="4" w:space="0" w:color="000000"/>
              <w:bottom w:val="nil"/>
              <w:right w:val="nil"/>
            </w:tcBorders>
          </w:tcPr>
          <w:p w14:paraId="26FF61D1" w14:textId="08EEA32D" w:rsidR="00686B36" w:rsidRDefault="00686B36">
            <w:pPr>
              <w:spacing w:after="0"/>
              <w:ind w:left="430" w:right="0" w:firstLine="0"/>
              <w:jc w:val="left"/>
              <w:rPr>
                <w:sz w:val="22"/>
              </w:rPr>
            </w:pPr>
            <w:r>
              <w:rPr>
                <w:sz w:val="22"/>
              </w:rPr>
              <w:t>-0.2</w:t>
            </w:r>
          </w:p>
        </w:tc>
        <w:tc>
          <w:tcPr>
            <w:tcW w:w="385" w:type="dxa"/>
            <w:tcBorders>
              <w:top w:val="nil"/>
              <w:left w:val="nil"/>
              <w:bottom w:val="nil"/>
              <w:right w:val="single" w:sz="4" w:space="0" w:color="000000"/>
            </w:tcBorders>
          </w:tcPr>
          <w:p w14:paraId="2E58641F" w14:textId="155A63EA" w:rsidR="00686B36" w:rsidRDefault="00686B36">
            <w:pPr>
              <w:spacing w:after="0"/>
              <w:ind w:left="0" w:right="0" w:firstLine="0"/>
              <w:rPr>
                <w:sz w:val="22"/>
              </w:rPr>
            </w:pPr>
            <w:r>
              <w:rPr>
                <w:sz w:val="22"/>
              </w:rPr>
              <w:t>0.0</w:t>
            </w:r>
          </w:p>
        </w:tc>
      </w:tr>
      <w:tr w:rsidR="009B68EA" w14:paraId="3CD176B7" w14:textId="77777777" w:rsidTr="003C56BE">
        <w:trPr>
          <w:trHeight w:val="307"/>
        </w:trPr>
        <w:tc>
          <w:tcPr>
            <w:tcW w:w="2060" w:type="dxa"/>
            <w:tcBorders>
              <w:top w:val="nil"/>
              <w:left w:val="single" w:sz="4" w:space="0" w:color="000000"/>
              <w:bottom w:val="nil"/>
              <w:right w:val="single" w:sz="4" w:space="0" w:color="000000"/>
            </w:tcBorders>
          </w:tcPr>
          <w:p w14:paraId="4F9D054B" w14:textId="77777777" w:rsidR="009B68EA" w:rsidRDefault="009B1B9B">
            <w:pPr>
              <w:spacing w:after="0"/>
              <w:ind w:left="110" w:right="0" w:firstLine="0"/>
              <w:jc w:val="left"/>
            </w:pPr>
            <w:r>
              <w:lastRenderedPageBreak/>
              <w:t xml:space="preserve">Broad Money </w:t>
            </w:r>
          </w:p>
        </w:tc>
        <w:tc>
          <w:tcPr>
            <w:tcW w:w="776" w:type="dxa"/>
            <w:tcBorders>
              <w:top w:val="nil"/>
              <w:left w:val="single" w:sz="4" w:space="0" w:color="000000"/>
              <w:bottom w:val="nil"/>
              <w:right w:val="single" w:sz="4" w:space="0" w:color="000000"/>
            </w:tcBorders>
          </w:tcPr>
          <w:p w14:paraId="55E0FE43" w14:textId="77777777" w:rsidR="009B68EA" w:rsidRDefault="009B1B9B">
            <w:pPr>
              <w:spacing w:after="0"/>
              <w:ind w:left="0" w:right="65" w:firstLine="0"/>
              <w:jc w:val="right"/>
            </w:pPr>
            <w:r>
              <w:rPr>
                <w:sz w:val="22"/>
              </w:rPr>
              <w:t>10</w:t>
            </w:r>
            <w:r>
              <w:t xml:space="preserve"> </w:t>
            </w:r>
          </w:p>
        </w:tc>
        <w:tc>
          <w:tcPr>
            <w:tcW w:w="710" w:type="dxa"/>
            <w:tcBorders>
              <w:top w:val="nil"/>
              <w:left w:val="single" w:sz="4" w:space="0" w:color="000000"/>
              <w:bottom w:val="nil"/>
              <w:right w:val="single" w:sz="4" w:space="0" w:color="000000"/>
            </w:tcBorders>
          </w:tcPr>
          <w:p w14:paraId="33873F62" w14:textId="77777777" w:rsidR="009B68EA" w:rsidRDefault="009B1B9B">
            <w:pPr>
              <w:spacing w:after="0"/>
              <w:ind w:left="0" w:right="65" w:firstLine="0"/>
              <w:jc w:val="right"/>
            </w:pPr>
            <w:r>
              <w:t xml:space="preserve">97 </w:t>
            </w:r>
          </w:p>
        </w:tc>
        <w:tc>
          <w:tcPr>
            <w:tcW w:w="1406" w:type="dxa"/>
            <w:tcBorders>
              <w:top w:val="nil"/>
              <w:left w:val="single" w:sz="4" w:space="0" w:color="000000"/>
              <w:bottom w:val="nil"/>
              <w:right w:val="nil"/>
            </w:tcBorders>
          </w:tcPr>
          <w:p w14:paraId="669773C8" w14:textId="77777777" w:rsidR="009B68EA" w:rsidRDefault="009B1B9B">
            <w:pPr>
              <w:spacing w:after="0"/>
              <w:ind w:left="235" w:right="0" w:firstLine="0"/>
              <w:jc w:val="left"/>
            </w:pPr>
            <w:r>
              <w:rPr>
                <w:sz w:val="22"/>
              </w:rPr>
              <w:t>-12.0</w:t>
            </w:r>
            <w:r>
              <w:t xml:space="preserve"> </w:t>
            </w:r>
          </w:p>
        </w:tc>
        <w:tc>
          <w:tcPr>
            <w:tcW w:w="380" w:type="dxa"/>
            <w:tcBorders>
              <w:top w:val="nil"/>
              <w:left w:val="nil"/>
              <w:bottom w:val="nil"/>
              <w:right w:val="single" w:sz="4" w:space="0" w:color="000000"/>
            </w:tcBorders>
          </w:tcPr>
          <w:p w14:paraId="5B41B00C" w14:textId="77777777" w:rsidR="009B68EA" w:rsidRDefault="009B1B9B">
            <w:pPr>
              <w:spacing w:after="0"/>
              <w:ind w:left="0" w:right="0" w:firstLine="0"/>
            </w:pPr>
            <w:r>
              <w:rPr>
                <w:sz w:val="22"/>
              </w:rPr>
              <w:t>0.0</w:t>
            </w:r>
            <w:r>
              <w:t xml:space="preserve"> </w:t>
            </w:r>
          </w:p>
        </w:tc>
        <w:tc>
          <w:tcPr>
            <w:tcW w:w="1435" w:type="dxa"/>
            <w:tcBorders>
              <w:top w:val="nil"/>
              <w:left w:val="single" w:sz="4" w:space="0" w:color="000000"/>
              <w:bottom w:val="nil"/>
              <w:right w:val="nil"/>
            </w:tcBorders>
          </w:tcPr>
          <w:p w14:paraId="020BA7E3" w14:textId="77777777" w:rsidR="009B68EA" w:rsidRDefault="009B1B9B">
            <w:pPr>
              <w:spacing w:after="0"/>
              <w:ind w:left="255" w:right="0" w:firstLine="0"/>
              <w:jc w:val="left"/>
            </w:pPr>
            <w:r>
              <w:rPr>
                <w:sz w:val="22"/>
              </w:rPr>
              <w:t>-12.0</w:t>
            </w:r>
            <w:r>
              <w:t xml:space="preserve"> </w:t>
            </w:r>
          </w:p>
        </w:tc>
        <w:tc>
          <w:tcPr>
            <w:tcW w:w="386" w:type="dxa"/>
            <w:tcBorders>
              <w:top w:val="nil"/>
              <w:left w:val="nil"/>
              <w:bottom w:val="nil"/>
              <w:right w:val="single" w:sz="4" w:space="0" w:color="000000"/>
            </w:tcBorders>
          </w:tcPr>
          <w:p w14:paraId="143455AE" w14:textId="77777777" w:rsidR="009B68EA" w:rsidRDefault="009B1B9B">
            <w:pPr>
              <w:spacing w:after="0"/>
              <w:ind w:left="0" w:right="0" w:firstLine="0"/>
            </w:pPr>
            <w:r>
              <w:rPr>
                <w:sz w:val="22"/>
              </w:rPr>
              <w:t>0.0</w:t>
            </w:r>
            <w:r>
              <w:t xml:space="preserve"> </w:t>
            </w:r>
          </w:p>
        </w:tc>
        <w:tc>
          <w:tcPr>
            <w:tcW w:w="1816" w:type="dxa"/>
            <w:tcBorders>
              <w:top w:val="nil"/>
              <w:left w:val="single" w:sz="4" w:space="0" w:color="000000"/>
              <w:bottom w:val="nil"/>
              <w:right w:val="nil"/>
            </w:tcBorders>
          </w:tcPr>
          <w:p w14:paraId="36C7C01E" w14:textId="77777777" w:rsidR="009B68EA" w:rsidRDefault="009B1B9B">
            <w:pPr>
              <w:spacing w:after="0"/>
              <w:ind w:left="430" w:right="0" w:firstLine="0"/>
              <w:jc w:val="left"/>
            </w:pPr>
            <w:r>
              <w:rPr>
                <w:sz w:val="22"/>
              </w:rPr>
              <w:t>-12.0</w:t>
            </w:r>
            <w:r>
              <w:t xml:space="preserve"> </w:t>
            </w:r>
          </w:p>
        </w:tc>
        <w:tc>
          <w:tcPr>
            <w:tcW w:w="385" w:type="dxa"/>
            <w:tcBorders>
              <w:top w:val="nil"/>
              <w:left w:val="nil"/>
              <w:bottom w:val="nil"/>
              <w:right w:val="single" w:sz="4" w:space="0" w:color="000000"/>
            </w:tcBorders>
          </w:tcPr>
          <w:p w14:paraId="28220974" w14:textId="77777777" w:rsidR="009B68EA" w:rsidRDefault="009B1B9B">
            <w:pPr>
              <w:spacing w:after="0"/>
              <w:ind w:left="0" w:right="0" w:firstLine="0"/>
            </w:pPr>
            <w:r>
              <w:rPr>
                <w:sz w:val="22"/>
              </w:rPr>
              <w:t>0.0</w:t>
            </w:r>
            <w:r>
              <w:t xml:space="preserve"> </w:t>
            </w:r>
          </w:p>
        </w:tc>
      </w:tr>
      <w:tr w:rsidR="009B68EA" w14:paraId="02FBEB03" w14:textId="77777777" w:rsidTr="003C56BE">
        <w:trPr>
          <w:trHeight w:val="296"/>
        </w:trPr>
        <w:tc>
          <w:tcPr>
            <w:tcW w:w="2060" w:type="dxa"/>
            <w:tcBorders>
              <w:top w:val="nil"/>
              <w:left w:val="single" w:sz="4" w:space="0" w:color="000000"/>
              <w:bottom w:val="single" w:sz="4" w:space="0" w:color="000000"/>
              <w:right w:val="single" w:sz="4" w:space="0" w:color="000000"/>
            </w:tcBorders>
          </w:tcPr>
          <w:p w14:paraId="4AC42093" w14:textId="77777777" w:rsidR="009B68EA" w:rsidRDefault="009B1B9B">
            <w:pPr>
              <w:spacing w:after="0"/>
              <w:ind w:left="110" w:right="0" w:firstLine="0"/>
              <w:jc w:val="left"/>
            </w:pPr>
            <w:r>
              <w:t xml:space="preserve">CAT </w:t>
            </w:r>
          </w:p>
        </w:tc>
        <w:tc>
          <w:tcPr>
            <w:tcW w:w="776" w:type="dxa"/>
            <w:tcBorders>
              <w:top w:val="nil"/>
              <w:left w:val="single" w:sz="4" w:space="0" w:color="000000"/>
              <w:bottom w:val="single" w:sz="4" w:space="0" w:color="000000"/>
              <w:right w:val="single" w:sz="4" w:space="0" w:color="000000"/>
            </w:tcBorders>
          </w:tcPr>
          <w:p w14:paraId="612275ED" w14:textId="77777777" w:rsidR="009B68EA" w:rsidRDefault="009B1B9B">
            <w:pPr>
              <w:spacing w:after="0"/>
              <w:ind w:left="0" w:right="65" w:firstLine="0"/>
              <w:jc w:val="right"/>
            </w:pPr>
            <w:r>
              <w:t xml:space="preserve">10 </w:t>
            </w:r>
          </w:p>
        </w:tc>
        <w:tc>
          <w:tcPr>
            <w:tcW w:w="710" w:type="dxa"/>
            <w:tcBorders>
              <w:top w:val="nil"/>
              <w:left w:val="single" w:sz="4" w:space="0" w:color="000000"/>
              <w:bottom w:val="single" w:sz="4" w:space="0" w:color="000000"/>
              <w:right w:val="single" w:sz="4" w:space="0" w:color="000000"/>
            </w:tcBorders>
          </w:tcPr>
          <w:p w14:paraId="0212ECBA" w14:textId="77777777" w:rsidR="009B68EA" w:rsidRDefault="009B1B9B">
            <w:pPr>
              <w:spacing w:after="0"/>
              <w:ind w:left="0" w:right="65" w:firstLine="0"/>
              <w:jc w:val="right"/>
            </w:pPr>
            <w:r>
              <w:t xml:space="preserve">97 </w:t>
            </w:r>
          </w:p>
        </w:tc>
        <w:tc>
          <w:tcPr>
            <w:tcW w:w="1406" w:type="dxa"/>
            <w:tcBorders>
              <w:top w:val="nil"/>
              <w:left w:val="single" w:sz="4" w:space="0" w:color="000000"/>
              <w:bottom w:val="single" w:sz="4" w:space="0" w:color="000000"/>
              <w:right w:val="nil"/>
            </w:tcBorders>
          </w:tcPr>
          <w:p w14:paraId="2B105711" w14:textId="77777777" w:rsidR="009B68EA" w:rsidRDefault="009B1B9B">
            <w:pPr>
              <w:spacing w:after="0"/>
              <w:ind w:left="235" w:right="0" w:firstLine="0"/>
              <w:jc w:val="left"/>
            </w:pPr>
            <w:r>
              <w:rPr>
                <w:sz w:val="22"/>
              </w:rPr>
              <w:t>-12.0</w:t>
            </w:r>
            <w:r>
              <w:t xml:space="preserve"> </w:t>
            </w:r>
          </w:p>
        </w:tc>
        <w:tc>
          <w:tcPr>
            <w:tcW w:w="380" w:type="dxa"/>
            <w:tcBorders>
              <w:top w:val="nil"/>
              <w:left w:val="nil"/>
              <w:bottom w:val="single" w:sz="4" w:space="0" w:color="000000"/>
              <w:right w:val="single" w:sz="4" w:space="0" w:color="000000"/>
            </w:tcBorders>
          </w:tcPr>
          <w:p w14:paraId="2CE8E332" w14:textId="77777777" w:rsidR="009B68EA" w:rsidRDefault="009B1B9B">
            <w:pPr>
              <w:spacing w:after="0"/>
              <w:ind w:left="0" w:right="0" w:firstLine="0"/>
            </w:pPr>
            <w:r>
              <w:rPr>
                <w:sz w:val="22"/>
              </w:rPr>
              <w:t>0.0</w:t>
            </w:r>
            <w:r>
              <w:t xml:space="preserve"> </w:t>
            </w:r>
          </w:p>
        </w:tc>
        <w:tc>
          <w:tcPr>
            <w:tcW w:w="1435" w:type="dxa"/>
            <w:tcBorders>
              <w:top w:val="nil"/>
              <w:left w:val="single" w:sz="4" w:space="0" w:color="000000"/>
              <w:bottom w:val="single" w:sz="4" w:space="0" w:color="000000"/>
              <w:right w:val="nil"/>
            </w:tcBorders>
          </w:tcPr>
          <w:p w14:paraId="7D60D299" w14:textId="77777777" w:rsidR="009B68EA" w:rsidRDefault="009B1B9B">
            <w:pPr>
              <w:spacing w:after="0"/>
              <w:ind w:left="255" w:right="0" w:firstLine="0"/>
              <w:jc w:val="left"/>
            </w:pPr>
            <w:r>
              <w:rPr>
                <w:sz w:val="22"/>
              </w:rPr>
              <w:t>-12.0</w:t>
            </w:r>
            <w:r>
              <w:t xml:space="preserve"> </w:t>
            </w:r>
          </w:p>
        </w:tc>
        <w:tc>
          <w:tcPr>
            <w:tcW w:w="386" w:type="dxa"/>
            <w:tcBorders>
              <w:top w:val="nil"/>
              <w:left w:val="nil"/>
              <w:bottom w:val="single" w:sz="4" w:space="0" w:color="000000"/>
              <w:right w:val="single" w:sz="4" w:space="0" w:color="000000"/>
            </w:tcBorders>
          </w:tcPr>
          <w:p w14:paraId="067C24D5" w14:textId="77777777" w:rsidR="009B68EA" w:rsidRDefault="009B1B9B">
            <w:pPr>
              <w:spacing w:after="0"/>
              <w:ind w:left="0" w:right="0" w:firstLine="0"/>
            </w:pPr>
            <w:r>
              <w:rPr>
                <w:sz w:val="22"/>
              </w:rPr>
              <w:t>0.0</w:t>
            </w:r>
            <w:r>
              <w:t xml:space="preserve"> </w:t>
            </w:r>
          </w:p>
        </w:tc>
        <w:tc>
          <w:tcPr>
            <w:tcW w:w="1816" w:type="dxa"/>
            <w:tcBorders>
              <w:top w:val="nil"/>
              <w:left w:val="single" w:sz="4" w:space="0" w:color="000000"/>
              <w:bottom w:val="single" w:sz="4" w:space="0" w:color="000000"/>
              <w:right w:val="nil"/>
            </w:tcBorders>
          </w:tcPr>
          <w:p w14:paraId="639DAC8F" w14:textId="77777777" w:rsidR="009B68EA" w:rsidRDefault="009B1B9B">
            <w:pPr>
              <w:spacing w:after="0"/>
              <w:ind w:left="430" w:right="0" w:firstLine="0"/>
              <w:jc w:val="left"/>
            </w:pPr>
            <w:r>
              <w:rPr>
                <w:sz w:val="22"/>
              </w:rPr>
              <w:t>-12.0</w:t>
            </w:r>
            <w:r>
              <w:t xml:space="preserve"> </w:t>
            </w:r>
          </w:p>
        </w:tc>
        <w:tc>
          <w:tcPr>
            <w:tcW w:w="385" w:type="dxa"/>
            <w:tcBorders>
              <w:top w:val="nil"/>
              <w:left w:val="nil"/>
              <w:bottom w:val="single" w:sz="4" w:space="0" w:color="000000"/>
              <w:right w:val="single" w:sz="4" w:space="0" w:color="000000"/>
            </w:tcBorders>
          </w:tcPr>
          <w:p w14:paraId="32F1D818" w14:textId="77777777" w:rsidR="009B68EA" w:rsidRDefault="009B1B9B">
            <w:pPr>
              <w:spacing w:after="0"/>
              <w:ind w:left="0" w:right="0" w:firstLine="0"/>
            </w:pPr>
            <w:r>
              <w:rPr>
                <w:sz w:val="22"/>
              </w:rPr>
              <w:t>0.0</w:t>
            </w:r>
            <w:r>
              <w:t xml:space="preserve"> </w:t>
            </w:r>
          </w:p>
        </w:tc>
      </w:tr>
    </w:tbl>
    <w:p w14:paraId="157380D9" w14:textId="77777777" w:rsidR="009B68EA" w:rsidRDefault="009B1B9B" w:rsidP="00AE3EC7">
      <w:pPr>
        <w:spacing w:before="240" w:line="358" w:lineRule="auto"/>
        <w:ind w:left="-5" w:right="85"/>
      </w:pPr>
      <w:r>
        <w:t xml:space="preserve">Table 3 shows the results of three different panel unit-root tests performed on the study variables. The null hypothesis in each of these tests is that there is a unit root present in the data. Table 3 shows that the p-values of all the unit tests on all the study variables were less than 1%, hence, the null hypothesis is rejected, and it is believed that all the variables are stationary.  </w:t>
      </w:r>
    </w:p>
    <w:p w14:paraId="0B22C580" w14:textId="77777777" w:rsidR="009B68EA" w:rsidRDefault="009B1B9B">
      <w:pPr>
        <w:pStyle w:val="Heading3"/>
        <w:ind w:left="-5" w:right="0"/>
      </w:pPr>
      <w:bookmarkStart w:id="27" w:name="_Toc138448122"/>
      <w:r>
        <w:t>4.4.</w:t>
      </w:r>
      <w:r>
        <w:rPr>
          <w:rFonts w:ascii="Arial" w:eastAsia="Arial" w:hAnsi="Arial" w:cs="Arial"/>
        </w:rPr>
        <w:t xml:space="preserve"> </w:t>
      </w:r>
      <w:r>
        <w:t>PANEL DATA REGRESSION</w:t>
      </w:r>
      <w:bookmarkEnd w:id="27"/>
      <w:r>
        <w:t xml:space="preserve"> </w:t>
      </w:r>
    </w:p>
    <w:p w14:paraId="4FFF809D" w14:textId="77777777" w:rsidR="009B68EA" w:rsidRDefault="009B1B9B" w:rsidP="00AE3EC7">
      <w:pPr>
        <w:spacing w:before="240" w:after="201" w:line="357" w:lineRule="auto"/>
        <w:ind w:left="-5" w:right="85"/>
      </w:pPr>
      <w:r>
        <w:t xml:space="preserve">Table 4 shows the results of the fitted model to determine the effects of capital transitional arrangements on bank systematic risk. In the first model, Model 1, the dependent variable was Marginal Expected Shortfall (MES) while in the second model, Model 2, the dependent variable was delta CoVaR. The main independent variable was the capital transitional arrangement dummy variable, CAT, while other independent variables were the 10-year-2-year bond yield differential, inflation, and the square root of broad money.  </w:t>
      </w:r>
    </w:p>
    <w:p w14:paraId="17F5DAF5" w14:textId="77777777" w:rsidR="009B68EA" w:rsidRDefault="009B1B9B">
      <w:pPr>
        <w:spacing w:line="356" w:lineRule="auto"/>
        <w:ind w:left="-5" w:right="85"/>
      </w:pPr>
      <w:r>
        <w:t xml:space="preserve">Model 1 had an adjusted r-squared of 0.028, indicating that it explained 2.8% of the variation in the marginal expected shortfall. Model 2, on the other hand, had an adjusted r-squared of 0.035 showing that it explained 3.5% of the variation in the delta CoVaR.  </w:t>
      </w:r>
    </w:p>
    <w:p w14:paraId="08448E3B" w14:textId="5C12F8F2" w:rsidR="003C56BE" w:rsidRDefault="003C56BE" w:rsidP="003C56BE">
      <w:pPr>
        <w:pStyle w:val="Caption"/>
        <w:keepNext/>
      </w:pPr>
      <w:bookmarkStart w:id="28" w:name="_Toc138448006"/>
      <w:r>
        <w:t xml:space="preserve">Table </w:t>
      </w:r>
      <w:r>
        <w:fldChar w:fldCharType="begin"/>
      </w:r>
      <w:r>
        <w:instrText xml:space="preserve"> SEQ Table \* ARABIC </w:instrText>
      </w:r>
      <w:r>
        <w:fldChar w:fldCharType="separate"/>
      </w:r>
      <w:r>
        <w:rPr>
          <w:noProof/>
        </w:rPr>
        <w:t>4</w:t>
      </w:r>
      <w:r>
        <w:fldChar w:fldCharType="end"/>
      </w:r>
      <w:r>
        <w:t>: Dynamic Panel Regression results</w:t>
      </w:r>
      <w:bookmarkEnd w:id="2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01"/>
        <w:gridCol w:w="2596"/>
        <w:gridCol w:w="3156"/>
      </w:tblGrid>
      <w:tr w:rsidR="00686B36" w:rsidRPr="00686B36" w14:paraId="514DC6FC" w14:textId="77777777" w:rsidTr="003C56BE">
        <w:trPr>
          <w:tblCellSpacing w:w="15" w:type="dxa"/>
        </w:trPr>
        <w:tc>
          <w:tcPr>
            <w:tcW w:w="4968" w:type="pct"/>
            <w:gridSpan w:val="3"/>
            <w:tcBorders>
              <w:bottom w:val="single" w:sz="6" w:space="0" w:color="000000"/>
            </w:tcBorders>
            <w:vAlign w:val="center"/>
            <w:hideMark/>
          </w:tcPr>
          <w:p w14:paraId="41D98846" w14:textId="77777777" w:rsidR="00686B36" w:rsidRPr="00686B36" w:rsidRDefault="00686B36" w:rsidP="00686B36">
            <w:pPr>
              <w:spacing w:after="0" w:line="240" w:lineRule="auto"/>
              <w:ind w:left="0" w:right="0" w:firstLine="0"/>
              <w:jc w:val="left"/>
              <w:rPr>
                <w:color w:val="auto"/>
                <w:sz w:val="20"/>
                <w:szCs w:val="24"/>
                <w:lang w:bidi="ar-SA"/>
              </w:rPr>
            </w:pPr>
          </w:p>
        </w:tc>
      </w:tr>
      <w:tr w:rsidR="00686B36" w:rsidRPr="00686B36" w14:paraId="5FB324D5" w14:textId="77777777" w:rsidTr="003C56BE">
        <w:trPr>
          <w:tblCellSpacing w:w="15" w:type="dxa"/>
        </w:trPr>
        <w:tc>
          <w:tcPr>
            <w:tcW w:w="1946" w:type="pct"/>
            <w:vAlign w:val="center"/>
            <w:hideMark/>
          </w:tcPr>
          <w:p w14:paraId="2FD79E6B" w14:textId="77777777" w:rsidR="00686B36" w:rsidRPr="00686B36" w:rsidRDefault="00686B36" w:rsidP="00686B36">
            <w:pPr>
              <w:spacing w:after="0" w:line="240" w:lineRule="auto"/>
              <w:ind w:left="0" w:right="0" w:firstLine="0"/>
              <w:jc w:val="center"/>
              <w:rPr>
                <w:color w:val="auto"/>
                <w:sz w:val="20"/>
                <w:lang w:bidi="ar-SA"/>
              </w:rPr>
            </w:pPr>
          </w:p>
        </w:tc>
        <w:tc>
          <w:tcPr>
            <w:tcW w:w="3006" w:type="pct"/>
            <w:gridSpan w:val="2"/>
            <w:vAlign w:val="center"/>
            <w:hideMark/>
          </w:tcPr>
          <w:p w14:paraId="7DE545C9" w14:textId="77777777" w:rsidR="00686B36" w:rsidRPr="00686B36" w:rsidRDefault="00686B36" w:rsidP="00686B36">
            <w:pPr>
              <w:spacing w:after="0" w:line="240" w:lineRule="auto"/>
              <w:ind w:left="0" w:right="0" w:firstLine="0"/>
              <w:jc w:val="center"/>
              <w:rPr>
                <w:color w:val="auto"/>
                <w:szCs w:val="24"/>
                <w:lang w:bidi="ar-SA"/>
              </w:rPr>
            </w:pPr>
            <w:r w:rsidRPr="00686B36">
              <w:rPr>
                <w:i/>
                <w:iCs/>
                <w:color w:val="auto"/>
                <w:szCs w:val="24"/>
                <w:lang w:bidi="ar-SA"/>
              </w:rPr>
              <w:t>Dependent variable:</w:t>
            </w:r>
          </w:p>
        </w:tc>
      </w:tr>
      <w:tr w:rsidR="00686B36" w:rsidRPr="00686B36" w14:paraId="164B7FF0" w14:textId="77777777" w:rsidTr="003C56BE">
        <w:trPr>
          <w:tblCellSpacing w:w="15" w:type="dxa"/>
        </w:trPr>
        <w:tc>
          <w:tcPr>
            <w:tcW w:w="1946" w:type="pct"/>
            <w:vAlign w:val="center"/>
            <w:hideMark/>
          </w:tcPr>
          <w:p w14:paraId="7698E01C" w14:textId="77777777" w:rsidR="00686B36" w:rsidRPr="00686B36" w:rsidRDefault="00686B36" w:rsidP="00686B36">
            <w:pPr>
              <w:spacing w:after="0" w:line="240" w:lineRule="auto"/>
              <w:ind w:left="0" w:right="0" w:firstLine="0"/>
              <w:jc w:val="center"/>
              <w:rPr>
                <w:color w:val="auto"/>
                <w:szCs w:val="24"/>
                <w:lang w:bidi="ar-SA"/>
              </w:rPr>
            </w:pPr>
          </w:p>
        </w:tc>
        <w:tc>
          <w:tcPr>
            <w:tcW w:w="3006" w:type="pct"/>
            <w:gridSpan w:val="2"/>
            <w:tcBorders>
              <w:bottom w:val="single" w:sz="6" w:space="0" w:color="000000"/>
            </w:tcBorders>
            <w:vAlign w:val="center"/>
            <w:hideMark/>
          </w:tcPr>
          <w:p w14:paraId="61DA7F1E" w14:textId="77777777" w:rsidR="00686B36" w:rsidRPr="00686B36" w:rsidRDefault="00686B36" w:rsidP="00686B36">
            <w:pPr>
              <w:spacing w:after="0" w:line="240" w:lineRule="auto"/>
              <w:ind w:left="0" w:right="0" w:firstLine="0"/>
              <w:jc w:val="center"/>
              <w:rPr>
                <w:color w:val="auto"/>
                <w:sz w:val="20"/>
                <w:lang w:bidi="ar-SA"/>
              </w:rPr>
            </w:pPr>
          </w:p>
        </w:tc>
      </w:tr>
      <w:tr w:rsidR="00686B36" w:rsidRPr="00686B36" w14:paraId="340C7BAA" w14:textId="77777777" w:rsidTr="003C56BE">
        <w:trPr>
          <w:tblCellSpacing w:w="15" w:type="dxa"/>
        </w:trPr>
        <w:tc>
          <w:tcPr>
            <w:tcW w:w="1946" w:type="pct"/>
            <w:vAlign w:val="center"/>
            <w:hideMark/>
          </w:tcPr>
          <w:p w14:paraId="6977CC16" w14:textId="77777777" w:rsidR="00686B36" w:rsidRPr="00686B36" w:rsidRDefault="00686B36" w:rsidP="00686B36">
            <w:pPr>
              <w:spacing w:after="0" w:line="240" w:lineRule="auto"/>
              <w:ind w:left="0" w:right="0" w:firstLine="0"/>
              <w:jc w:val="center"/>
              <w:rPr>
                <w:color w:val="auto"/>
                <w:sz w:val="20"/>
                <w:lang w:bidi="ar-SA"/>
              </w:rPr>
            </w:pPr>
          </w:p>
        </w:tc>
        <w:tc>
          <w:tcPr>
            <w:tcW w:w="1366" w:type="pct"/>
            <w:vAlign w:val="center"/>
            <w:hideMark/>
          </w:tcPr>
          <w:p w14:paraId="33DD6726"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MES</w:t>
            </w:r>
          </w:p>
        </w:tc>
        <w:tc>
          <w:tcPr>
            <w:tcW w:w="1625" w:type="pct"/>
            <w:vAlign w:val="center"/>
            <w:hideMark/>
          </w:tcPr>
          <w:p w14:paraId="4FCAD9A5"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CoVaR</w:t>
            </w:r>
          </w:p>
        </w:tc>
      </w:tr>
      <w:tr w:rsidR="00686B36" w:rsidRPr="00686B36" w14:paraId="5FF252F7" w14:textId="77777777" w:rsidTr="003C56BE">
        <w:trPr>
          <w:tblCellSpacing w:w="15" w:type="dxa"/>
        </w:trPr>
        <w:tc>
          <w:tcPr>
            <w:tcW w:w="1946" w:type="pct"/>
            <w:vAlign w:val="center"/>
            <w:hideMark/>
          </w:tcPr>
          <w:p w14:paraId="5DF0F1BD" w14:textId="77777777" w:rsidR="00686B36" w:rsidRPr="00686B36" w:rsidRDefault="00686B36" w:rsidP="00686B36">
            <w:pPr>
              <w:spacing w:after="0" w:line="240" w:lineRule="auto"/>
              <w:ind w:left="0" w:right="0" w:firstLine="0"/>
              <w:jc w:val="center"/>
              <w:rPr>
                <w:color w:val="auto"/>
                <w:szCs w:val="24"/>
                <w:lang w:bidi="ar-SA"/>
              </w:rPr>
            </w:pPr>
          </w:p>
        </w:tc>
        <w:tc>
          <w:tcPr>
            <w:tcW w:w="1366" w:type="pct"/>
            <w:vAlign w:val="center"/>
            <w:hideMark/>
          </w:tcPr>
          <w:p w14:paraId="7F76B659"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(1)</w:t>
            </w:r>
          </w:p>
        </w:tc>
        <w:tc>
          <w:tcPr>
            <w:tcW w:w="1625" w:type="pct"/>
            <w:vAlign w:val="center"/>
            <w:hideMark/>
          </w:tcPr>
          <w:p w14:paraId="083E7A9B"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(2)</w:t>
            </w:r>
          </w:p>
        </w:tc>
      </w:tr>
      <w:tr w:rsidR="00686B36" w:rsidRPr="00686B36" w14:paraId="4E80EAB3" w14:textId="77777777" w:rsidTr="003C56BE">
        <w:trPr>
          <w:tblCellSpacing w:w="15" w:type="dxa"/>
        </w:trPr>
        <w:tc>
          <w:tcPr>
            <w:tcW w:w="4968" w:type="pct"/>
            <w:gridSpan w:val="3"/>
            <w:tcBorders>
              <w:bottom w:val="single" w:sz="6" w:space="0" w:color="000000"/>
            </w:tcBorders>
            <w:vAlign w:val="center"/>
            <w:hideMark/>
          </w:tcPr>
          <w:p w14:paraId="6E65B295" w14:textId="77777777" w:rsidR="00686B36" w:rsidRPr="00686B36" w:rsidRDefault="00686B36" w:rsidP="00686B36">
            <w:pPr>
              <w:spacing w:after="0" w:line="240" w:lineRule="auto"/>
              <w:ind w:left="0" w:right="0" w:firstLine="0"/>
              <w:jc w:val="center"/>
              <w:rPr>
                <w:color w:val="auto"/>
                <w:szCs w:val="24"/>
                <w:lang w:bidi="ar-SA"/>
              </w:rPr>
            </w:pPr>
          </w:p>
        </w:tc>
      </w:tr>
      <w:tr w:rsidR="00686B36" w:rsidRPr="00686B36" w14:paraId="45C80A9E" w14:textId="77777777" w:rsidTr="003C56BE">
        <w:trPr>
          <w:tblCellSpacing w:w="15" w:type="dxa"/>
        </w:trPr>
        <w:tc>
          <w:tcPr>
            <w:tcW w:w="1946" w:type="pct"/>
            <w:vAlign w:val="center"/>
            <w:hideMark/>
          </w:tcPr>
          <w:p w14:paraId="42B8B682" w14:textId="77777777" w:rsidR="00686B36" w:rsidRPr="00686B36" w:rsidRDefault="00686B36" w:rsidP="00686B36">
            <w:pPr>
              <w:spacing w:after="0" w:line="240" w:lineRule="auto"/>
              <w:ind w:left="0" w:right="0" w:firstLine="0"/>
              <w:jc w:val="left"/>
              <w:rPr>
                <w:color w:val="auto"/>
                <w:szCs w:val="24"/>
                <w:lang w:bidi="ar-SA"/>
              </w:rPr>
            </w:pPr>
            <w:r w:rsidRPr="00686B36">
              <w:rPr>
                <w:color w:val="auto"/>
                <w:szCs w:val="24"/>
                <w:lang w:bidi="ar-SA"/>
              </w:rPr>
              <w:t>CAT</w:t>
            </w:r>
          </w:p>
        </w:tc>
        <w:tc>
          <w:tcPr>
            <w:tcW w:w="1366" w:type="pct"/>
            <w:vAlign w:val="center"/>
            <w:hideMark/>
          </w:tcPr>
          <w:p w14:paraId="433E7F21"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0.325</w:t>
            </w:r>
          </w:p>
        </w:tc>
        <w:tc>
          <w:tcPr>
            <w:tcW w:w="1625" w:type="pct"/>
            <w:vAlign w:val="center"/>
            <w:hideMark/>
          </w:tcPr>
          <w:p w14:paraId="4F9FF007"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-10.739</w:t>
            </w:r>
            <w:r w:rsidRPr="00686B36">
              <w:rPr>
                <w:color w:val="auto"/>
                <w:szCs w:val="24"/>
                <w:vertAlign w:val="superscript"/>
                <w:lang w:bidi="ar-SA"/>
              </w:rPr>
              <w:t>**</w:t>
            </w:r>
          </w:p>
        </w:tc>
      </w:tr>
      <w:tr w:rsidR="00686B36" w:rsidRPr="00686B36" w14:paraId="364BEDC6" w14:textId="77777777" w:rsidTr="003C56BE">
        <w:trPr>
          <w:tblCellSpacing w:w="15" w:type="dxa"/>
        </w:trPr>
        <w:tc>
          <w:tcPr>
            <w:tcW w:w="1946" w:type="pct"/>
            <w:vAlign w:val="center"/>
            <w:hideMark/>
          </w:tcPr>
          <w:p w14:paraId="264C3394" w14:textId="77777777" w:rsidR="00686B36" w:rsidRPr="00686B36" w:rsidRDefault="00686B36" w:rsidP="00686B36">
            <w:pPr>
              <w:spacing w:after="0" w:line="240" w:lineRule="auto"/>
              <w:ind w:left="0" w:right="0" w:firstLine="0"/>
              <w:jc w:val="center"/>
              <w:rPr>
                <w:color w:val="auto"/>
                <w:szCs w:val="24"/>
                <w:lang w:bidi="ar-SA"/>
              </w:rPr>
            </w:pPr>
          </w:p>
        </w:tc>
        <w:tc>
          <w:tcPr>
            <w:tcW w:w="1366" w:type="pct"/>
            <w:vAlign w:val="center"/>
            <w:hideMark/>
          </w:tcPr>
          <w:p w14:paraId="546388FC"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(0.750)</w:t>
            </w:r>
          </w:p>
        </w:tc>
        <w:tc>
          <w:tcPr>
            <w:tcW w:w="1625" w:type="pct"/>
            <w:vAlign w:val="center"/>
            <w:hideMark/>
          </w:tcPr>
          <w:p w14:paraId="098B0BAF"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(5.157)</w:t>
            </w:r>
          </w:p>
        </w:tc>
      </w:tr>
      <w:tr w:rsidR="00686B36" w:rsidRPr="00686B36" w14:paraId="58DC99CC" w14:textId="77777777" w:rsidTr="003C56BE">
        <w:trPr>
          <w:tblCellSpacing w:w="15" w:type="dxa"/>
        </w:trPr>
        <w:tc>
          <w:tcPr>
            <w:tcW w:w="1946" w:type="pct"/>
            <w:vAlign w:val="center"/>
            <w:hideMark/>
          </w:tcPr>
          <w:p w14:paraId="19ED9D6C" w14:textId="77777777" w:rsidR="00686B36" w:rsidRPr="00686B36" w:rsidRDefault="00686B36" w:rsidP="00686B36">
            <w:pPr>
              <w:spacing w:after="0" w:line="240" w:lineRule="auto"/>
              <w:ind w:left="0" w:right="0" w:firstLine="0"/>
              <w:jc w:val="center"/>
              <w:rPr>
                <w:color w:val="auto"/>
                <w:szCs w:val="24"/>
                <w:lang w:bidi="ar-SA"/>
              </w:rPr>
            </w:pPr>
          </w:p>
        </w:tc>
        <w:tc>
          <w:tcPr>
            <w:tcW w:w="1366" w:type="pct"/>
            <w:vAlign w:val="center"/>
            <w:hideMark/>
          </w:tcPr>
          <w:p w14:paraId="4BBCFF91" w14:textId="77777777" w:rsidR="00686B36" w:rsidRPr="00686B36" w:rsidRDefault="00686B36" w:rsidP="00686B36">
            <w:pPr>
              <w:spacing w:after="0" w:line="240" w:lineRule="auto"/>
              <w:ind w:left="0" w:right="0" w:firstLine="0"/>
              <w:jc w:val="left"/>
              <w:rPr>
                <w:color w:val="auto"/>
                <w:sz w:val="20"/>
                <w:lang w:bidi="ar-SA"/>
              </w:rPr>
            </w:pPr>
          </w:p>
        </w:tc>
        <w:tc>
          <w:tcPr>
            <w:tcW w:w="1625" w:type="pct"/>
            <w:vAlign w:val="center"/>
            <w:hideMark/>
          </w:tcPr>
          <w:p w14:paraId="2CA53485" w14:textId="77777777" w:rsidR="00686B36" w:rsidRPr="00686B36" w:rsidRDefault="00686B36" w:rsidP="00686B36">
            <w:pPr>
              <w:spacing w:after="0" w:line="240" w:lineRule="auto"/>
              <w:ind w:left="0" w:right="0" w:firstLine="0"/>
              <w:jc w:val="center"/>
              <w:rPr>
                <w:color w:val="auto"/>
                <w:sz w:val="20"/>
                <w:lang w:bidi="ar-SA"/>
              </w:rPr>
            </w:pPr>
          </w:p>
        </w:tc>
      </w:tr>
      <w:tr w:rsidR="00686B36" w:rsidRPr="00686B36" w14:paraId="76D2D5F2" w14:textId="77777777" w:rsidTr="003C56BE">
        <w:trPr>
          <w:tblCellSpacing w:w="15" w:type="dxa"/>
        </w:trPr>
        <w:tc>
          <w:tcPr>
            <w:tcW w:w="1946" w:type="pct"/>
            <w:vAlign w:val="center"/>
            <w:hideMark/>
          </w:tcPr>
          <w:p w14:paraId="22050BE4" w14:textId="77777777" w:rsidR="00686B36" w:rsidRPr="00686B36" w:rsidRDefault="00686B36" w:rsidP="00686B36">
            <w:pPr>
              <w:spacing w:after="0" w:line="240" w:lineRule="auto"/>
              <w:ind w:left="0" w:right="0" w:firstLine="0"/>
              <w:jc w:val="left"/>
              <w:rPr>
                <w:color w:val="auto"/>
                <w:szCs w:val="24"/>
                <w:lang w:bidi="ar-SA"/>
              </w:rPr>
            </w:pPr>
            <w:r w:rsidRPr="00686B36">
              <w:rPr>
                <w:color w:val="auto"/>
                <w:szCs w:val="24"/>
                <w:lang w:bidi="ar-SA"/>
              </w:rPr>
              <w:t>Inflation</w:t>
            </w:r>
          </w:p>
        </w:tc>
        <w:tc>
          <w:tcPr>
            <w:tcW w:w="1366" w:type="pct"/>
            <w:vAlign w:val="center"/>
            <w:hideMark/>
          </w:tcPr>
          <w:p w14:paraId="36A5E912"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10.249</w:t>
            </w:r>
          </w:p>
        </w:tc>
        <w:tc>
          <w:tcPr>
            <w:tcW w:w="1625" w:type="pct"/>
            <w:vAlign w:val="center"/>
            <w:hideMark/>
          </w:tcPr>
          <w:p w14:paraId="15EB16B5"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-34.191</w:t>
            </w:r>
          </w:p>
        </w:tc>
      </w:tr>
      <w:tr w:rsidR="00686B36" w:rsidRPr="00686B36" w14:paraId="515B4701" w14:textId="77777777" w:rsidTr="003C56BE">
        <w:trPr>
          <w:tblCellSpacing w:w="15" w:type="dxa"/>
        </w:trPr>
        <w:tc>
          <w:tcPr>
            <w:tcW w:w="1946" w:type="pct"/>
            <w:vAlign w:val="center"/>
            <w:hideMark/>
          </w:tcPr>
          <w:p w14:paraId="1166ADF6" w14:textId="77777777" w:rsidR="00686B36" w:rsidRPr="00686B36" w:rsidRDefault="00686B36" w:rsidP="00686B36">
            <w:pPr>
              <w:spacing w:after="0" w:line="240" w:lineRule="auto"/>
              <w:ind w:left="0" w:right="0" w:firstLine="0"/>
              <w:jc w:val="center"/>
              <w:rPr>
                <w:color w:val="auto"/>
                <w:szCs w:val="24"/>
                <w:lang w:bidi="ar-SA"/>
              </w:rPr>
            </w:pPr>
          </w:p>
        </w:tc>
        <w:tc>
          <w:tcPr>
            <w:tcW w:w="1366" w:type="pct"/>
            <w:vAlign w:val="center"/>
            <w:hideMark/>
          </w:tcPr>
          <w:p w14:paraId="2B2C7263"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(13.103)</w:t>
            </w:r>
          </w:p>
        </w:tc>
        <w:tc>
          <w:tcPr>
            <w:tcW w:w="1625" w:type="pct"/>
            <w:vAlign w:val="center"/>
            <w:hideMark/>
          </w:tcPr>
          <w:p w14:paraId="632D0665"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(75.089)</w:t>
            </w:r>
          </w:p>
        </w:tc>
      </w:tr>
      <w:tr w:rsidR="00686B36" w:rsidRPr="00686B36" w14:paraId="659E6FF2" w14:textId="77777777" w:rsidTr="003C56BE">
        <w:trPr>
          <w:tblCellSpacing w:w="15" w:type="dxa"/>
        </w:trPr>
        <w:tc>
          <w:tcPr>
            <w:tcW w:w="1946" w:type="pct"/>
            <w:vAlign w:val="center"/>
            <w:hideMark/>
          </w:tcPr>
          <w:p w14:paraId="35BFC3EF" w14:textId="77777777" w:rsidR="00686B36" w:rsidRPr="00686B36" w:rsidRDefault="00686B36" w:rsidP="00686B36">
            <w:pPr>
              <w:spacing w:after="0" w:line="240" w:lineRule="auto"/>
              <w:ind w:left="0" w:right="0" w:firstLine="0"/>
              <w:jc w:val="center"/>
              <w:rPr>
                <w:color w:val="auto"/>
                <w:szCs w:val="24"/>
                <w:lang w:bidi="ar-SA"/>
              </w:rPr>
            </w:pPr>
          </w:p>
        </w:tc>
        <w:tc>
          <w:tcPr>
            <w:tcW w:w="1366" w:type="pct"/>
            <w:vAlign w:val="center"/>
            <w:hideMark/>
          </w:tcPr>
          <w:p w14:paraId="18CC881C" w14:textId="77777777" w:rsidR="00686B36" w:rsidRPr="00686B36" w:rsidRDefault="00686B36" w:rsidP="00686B36">
            <w:pPr>
              <w:spacing w:after="0" w:line="240" w:lineRule="auto"/>
              <w:ind w:left="0" w:right="0" w:firstLine="0"/>
              <w:jc w:val="left"/>
              <w:rPr>
                <w:color w:val="auto"/>
                <w:sz w:val="20"/>
                <w:lang w:bidi="ar-SA"/>
              </w:rPr>
            </w:pPr>
          </w:p>
        </w:tc>
        <w:tc>
          <w:tcPr>
            <w:tcW w:w="1625" w:type="pct"/>
            <w:vAlign w:val="center"/>
            <w:hideMark/>
          </w:tcPr>
          <w:p w14:paraId="798E5D4E" w14:textId="77777777" w:rsidR="00686B36" w:rsidRPr="00686B36" w:rsidRDefault="00686B36" w:rsidP="00686B36">
            <w:pPr>
              <w:spacing w:after="0" w:line="240" w:lineRule="auto"/>
              <w:ind w:left="0" w:right="0" w:firstLine="0"/>
              <w:jc w:val="center"/>
              <w:rPr>
                <w:color w:val="auto"/>
                <w:sz w:val="20"/>
                <w:lang w:bidi="ar-SA"/>
              </w:rPr>
            </w:pPr>
          </w:p>
        </w:tc>
      </w:tr>
      <w:tr w:rsidR="00686B36" w:rsidRPr="00686B36" w14:paraId="72BCAF55" w14:textId="77777777" w:rsidTr="003C56BE">
        <w:trPr>
          <w:trHeight w:val="472"/>
          <w:tblCellSpacing w:w="15" w:type="dxa"/>
        </w:trPr>
        <w:tc>
          <w:tcPr>
            <w:tcW w:w="1946" w:type="pct"/>
            <w:vAlign w:val="center"/>
            <w:hideMark/>
          </w:tcPr>
          <w:p w14:paraId="0A398570" w14:textId="1DFFD631" w:rsidR="00686B36" w:rsidRPr="00686B36" w:rsidRDefault="00686B36" w:rsidP="00686B36">
            <w:pPr>
              <w:spacing w:after="0" w:line="240" w:lineRule="auto"/>
              <w:ind w:left="0" w:right="0" w:firstLine="0"/>
              <w:jc w:val="left"/>
              <w:rPr>
                <w:color w:val="auto"/>
                <w:szCs w:val="24"/>
                <w:lang w:bidi="ar-SA"/>
              </w:rPr>
            </w:pPr>
            <w:r w:rsidRPr="00686B36">
              <w:rPr>
                <w:color w:val="auto"/>
                <w:szCs w:val="24"/>
                <w:lang w:bidi="ar-SA"/>
              </w:rPr>
              <w:t>log(</w:t>
            </w:r>
            <w:r w:rsidR="003C56BE">
              <w:rPr>
                <w:color w:val="auto"/>
                <w:szCs w:val="24"/>
                <w:lang w:bidi="ar-SA"/>
              </w:rPr>
              <w:t>B</w:t>
            </w:r>
            <w:r w:rsidRPr="00686B36">
              <w:rPr>
                <w:color w:val="auto"/>
                <w:szCs w:val="24"/>
                <w:lang w:bidi="ar-SA"/>
              </w:rPr>
              <w:t>road</w:t>
            </w:r>
            <w:r w:rsidR="003C56BE">
              <w:rPr>
                <w:color w:val="auto"/>
                <w:szCs w:val="24"/>
                <w:lang w:bidi="ar-SA"/>
              </w:rPr>
              <w:t xml:space="preserve"> M</w:t>
            </w:r>
            <w:r w:rsidRPr="00686B36">
              <w:rPr>
                <w:color w:val="auto"/>
                <w:szCs w:val="24"/>
                <w:lang w:bidi="ar-SA"/>
              </w:rPr>
              <w:t>oney)</w:t>
            </w:r>
          </w:p>
        </w:tc>
        <w:tc>
          <w:tcPr>
            <w:tcW w:w="1366" w:type="pct"/>
            <w:vAlign w:val="center"/>
            <w:hideMark/>
          </w:tcPr>
          <w:p w14:paraId="5BC0CA17"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-1.615</w:t>
            </w:r>
          </w:p>
        </w:tc>
        <w:tc>
          <w:tcPr>
            <w:tcW w:w="1625" w:type="pct"/>
            <w:vAlign w:val="center"/>
            <w:hideMark/>
          </w:tcPr>
          <w:p w14:paraId="0E15BB3C"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-3.526</w:t>
            </w:r>
          </w:p>
        </w:tc>
      </w:tr>
      <w:tr w:rsidR="00686B36" w:rsidRPr="00686B36" w14:paraId="0F1ED4E9" w14:textId="77777777" w:rsidTr="003C56BE">
        <w:trPr>
          <w:tblCellSpacing w:w="15" w:type="dxa"/>
        </w:trPr>
        <w:tc>
          <w:tcPr>
            <w:tcW w:w="1946" w:type="pct"/>
            <w:vAlign w:val="center"/>
            <w:hideMark/>
          </w:tcPr>
          <w:p w14:paraId="4B9F351B" w14:textId="77777777" w:rsidR="00686B36" w:rsidRPr="00686B36" w:rsidRDefault="00686B36" w:rsidP="00686B36">
            <w:pPr>
              <w:spacing w:after="0" w:line="240" w:lineRule="auto"/>
              <w:ind w:left="0" w:right="0" w:firstLine="0"/>
              <w:jc w:val="center"/>
              <w:rPr>
                <w:color w:val="auto"/>
                <w:szCs w:val="24"/>
                <w:lang w:bidi="ar-SA"/>
              </w:rPr>
            </w:pPr>
          </w:p>
        </w:tc>
        <w:tc>
          <w:tcPr>
            <w:tcW w:w="1366" w:type="pct"/>
            <w:vAlign w:val="center"/>
            <w:hideMark/>
          </w:tcPr>
          <w:p w14:paraId="35C535EF"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(1.734)</w:t>
            </w:r>
          </w:p>
        </w:tc>
        <w:tc>
          <w:tcPr>
            <w:tcW w:w="1625" w:type="pct"/>
            <w:vAlign w:val="center"/>
            <w:hideMark/>
          </w:tcPr>
          <w:p w14:paraId="69B2E598"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(26.518)</w:t>
            </w:r>
          </w:p>
        </w:tc>
      </w:tr>
      <w:tr w:rsidR="00686B36" w:rsidRPr="00686B36" w14:paraId="0C41CDF8" w14:textId="77777777" w:rsidTr="003C56BE">
        <w:trPr>
          <w:tblCellSpacing w:w="15" w:type="dxa"/>
        </w:trPr>
        <w:tc>
          <w:tcPr>
            <w:tcW w:w="1946" w:type="pct"/>
            <w:vAlign w:val="center"/>
            <w:hideMark/>
          </w:tcPr>
          <w:p w14:paraId="2CDA9635" w14:textId="77777777" w:rsidR="00686B36" w:rsidRPr="00686B36" w:rsidRDefault="00686B36" w:rsidP="00686B36">
            <w:pPr>
              <w:spacing w:after="0" w:line="240" w:lineRule="auto"/>
              <w:ind w:left="0" w:right="0" w:firstLine="0"/>
              <w:jc w:val="center"/>
              <w:rPr>
                <w:color w:val="auto"/>
                <w:szCs w:val="24"/>
                <w:lang w:bidi="ar-SA"/>
              </w:rPr>
            </w:pPr>
          </w:p>
        </w:tc>
        <w:tc>
          <w:tcPr>
            <w:tcW w:w="1366" w:type="pct"/>
            <w:vAlign w:val="center"/>
            <w:hideMark/>
          </w:tcPr>
          <w:p w14:paraId="58C1457F" w14:textId="77777777" w:rsidR="00686B36" w:rsidRPr="00686B36" w:rsidRDefault="00686B36" w:rsidP="00686B36">
            <w:pPr>
              <w:spacing w:after="0" w:line="240" w:lineRule="auto"/>
              <w:ind w:left="0" w:right="0" w:firstLine="0"/>
              <w:jc w:val="left"/>
              <w:rPr>
                <w:color w:val="auto"/>
                <w:sz w:val="20"/>
                <w:lang w:bidi="ar-SA"/>
              </w:rPr>
            </w:pPr>
          </w:p>
        </w:tc>
        <w:tc>
          <w:tcPr>
            <w:tcW w:w="1625" w:type="pct"/>
            <w:vAlign w:val="center"/>
            <w:hideMark/>
          </w:tcPr>
          <w:p w14:paraId="0993F59A" w14:textId="77777777" w:rsidR="00686B36" w:rsidRPr="00686B36" w:rsidRDefault="00686B36" w:rsidP="00686B36">
            <w:pPr>
              <w:spacing w:after="0" w:line="240" w:lineRule="auto"/>
              <w:ind w:left="0" w:right="0" w:firstLine="0"/>
              <w:jc w:val="center"/>
              <w:rPr>
                <w:color w:val="auto"/>
                <w:sz w:val="20"/>
                <w:lang w:bidi="ar-SA"/>
              </w:rPr>
            </w:pPr>
          </w:p>
        </w:tc>
      </w:tr>
      <w:tr w:rsidR="00686B36" w:rsidRPr="00686B36" w14:paraId="67AAA42C" w14:textId="77777777" w:rsidTr="003C56BE">
        <w:trPr>
          <w:tblCellSpacing w:w="15" w:type="dxa"/>
        </w:trPr>
        <w:tc>
          <w:tcPr>
            <w:tcW w:w="1946" w:type="pct"/>
            <w:vAlign w:val="center"/>
            <w:hideMark/>
          </w:tcPr>
          <w:p w14:paraId="53875F56" w14:textId="38CD0B64" w:rsidR="00686B36" w:rsidRPr="00686B36" w:rsidRDefault="00686B36" w:rsidP="00686B36">
            <w:pPr>
              <w:spacing w:after="0" w:line="240" w:lineRule="auto"/>
              <w:ind w:left="0" w:right="0" w:firstLine="0"/>
              <w:jc w:val="left"/>
              <w:rPr>
                <w:color w:val="auto"/>
                <w:szCs w:val="24"/>
                <w:lang w:bidi="ar-SA"/>
              </w:rPr>
            </w:pPr>
            <w:r w:rsidRPr="00686B36">
              <w:rPr>
                <w:color w:val="auto"/>
                <w:szCs w:val="24"/>
                <w:lang w:bidi="ar-SA"/>
              </w:rPr>
              <w:t>log(Total</w:t>
            </w:r>
            <w:r w:rsidR="003C56BE">
              <w:rPr>
                <w:color w:val="auto"/>
                <w:szCs w:val="24"/>
                <w:lang w:bidi="ar-SA"/>
              </w:rPr>
              <w:t xml:space="preserve"> </w:t>
            </w:r>
            <w:r w:rsidRPr="00686B36">
              <w:rPr>
                <w:color w:val="auto"/>
                <w:szCs w:val="24"/>
                <w:lang w:bidi="ar-SA"/>
              </w:rPr>
              <w:t>Assets)</w:t>
            </w:r>
          </w:p>
        </w:tc>
        <w:tc>
          <w:tcPr>
            <w:tcW w:w="1366" w:type="pct"/>
            <w:vAlign w:val="center"/>
            <w:hideMark/>
          </w:tcPr>
          <w:p w14:paraId="0B614195"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2.002</w:t>
            </w:r>
          </w:p>
        </w:tc>
        <w:tc>
          <w:tcPr>
            <w:tcW w:w="1625" w:type="pct"/>
            <w:vAlign w:val="center"/>
            <w:hideMark/>
          </w:tcPr>
          <w:p w14:paraId="2D1DB4B7"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9.044</w:t>
            </w:r>
          </w:p>
        </w:tc>
      </w:tr>
      <w:tr w:rsidR="00686B36" w:rsidRPr="00686B36" w14:paraId="70EB5D62" w14:textId="77777777" w:rsidTr="003C56BE">
        <w:trPr>
          <w:tblCellSpacing w:w="15" w:type="dxa"/>
        </w:trPr>
        <w:tc>
          <w:tcPr>
            <w:tcW w:w="1946" w:type="pct"/>
            <w:vAlign w:val="center"/>
            <w:hideMark/>
          </w:tcPr>
          <w:p w14:paraId="18692812" w14:textId="77777777" w:rsidR="00686B36" w:rsidRPr="00686B36" w:rsidRDefault="00686B36" w:rsidP="00686B36">
            <w:pPr>
              <w:spacing w:after="0" w:line="240" w:lineRule="auto"/>
              <w:ind w:left="0" w:right="0" w:firstLine="0"/>
              <w:jc w:val="center"/>
              <w:rPr>
                <w:color w:val="auto"/>
                <w:szCs w:val="24"/>
                <w:lang w:bidi="ar-SA"/>
              </w:rPr>
            </w:pPr>
          </w:p>
        </w:tc>
        <w:tc>
          <w:tcPr>
            <w:tcW w:w="1366" w:type="pct"/>
            <w:vAlign w:val="center"/>
            <w:hideMark/>
          </w:tcPr>
          <w:p w14:paraId="1532E63A"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(1.947)</w:t>
            </w:r>
          </w:p>
        </w:tc>
        <w:tc>
          <w:tcPr>
            <w:tcW w:w="1625" w:type="pct"/>
            <w:vAlign w:val="center"/>
            <w:hideMark/>
          </w:tcPr>
          <w:p w14:paraId="5CB6EE93"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(26.099)</w:t>
            </w:r>
          </w:p>
        </w:tc>
      </w:tr>
      <w:tr w:rsidR="00686B36" w:rsidRPr="00686B36" w14:paraId="76D57692" w14:textId="77777777" w:rsidTr="003C56BE">
        <w:trPr>
          <w:tblCellSpacing w:w="15" w:type="dxa"/>
        </w:trPr>
        <w:tc>
          <w:tcPr>
            <w:tcW w:w="1946" w:type="pct"/>
            <w:vAlign w:val="center"/>
            <w:hideMark/>
          </w:tcPr>
          <w:p w14:paraId="106A6C98" w14:textId="77777777" w:rsidR="00686B36" w:rsidRPr="00686B36" w:rsidRDefault="00686B36" w:rsidP="00686B36">
            <w:pPr>
              <w:spacing w:after="0" w:line="240" w:lineRule="auto"/>
              <w:ind w:left="0" w:right="0" w:firstLine="0"/>
              <w:jc w:val="center"/>
              <w:rPr>
                <w:color w:val="auto"/>
                <w:szCs w:val="24"/>
                <w:lang w:bidi="ar-SA"/>
              </w:rPr>
            </w:pPr>
          </w:p>
        </w:tc>
        <w:tc>
          <w:tcPr>
            <w:tcW w:w="1366" w:type="pct"/>
            <w:vAlign w:val="center"/>
            <w:hideMark/>
          </w:tcPr>
          <w:p w14:paraId="5DD4BD96" w14:textId="77777777" w:rsidR="00686B36" w:rsidRPr="00686B36" w:rsidRDefault="00686B36" w:rsidP="00686B36">
            <w:pPr>
              <w:spacing w:after="0" w:line="240" w:lineRule="auto"/>
              <w:ind w:left="0" w:right="0" w:firstLine="0"/>
              <w:jc w:val="left"/>
              <w:rPr>
                <w:color w:val="auto"/>
                <w:sz w:val="20"/>
                <w:lang w:bidi="ar-SA"/>
              </w:rPr>
            </w:pPr>
          </w:p>
        </w:tc>
        <w:tc>
          <w:tcPr>
            <w:tcW w:w="1625" w:type="pct"/>
            <w:vAlign w:val="center"/>
            <w:hideMark/>
          </w:tcPr>
          <w:p w14:paraId="457A1070" w14:textId="77777777" w:rsidR="00686B36" w:rsidRPr="00686B36" w:rsidRDefault="00686B36" w:rsidP="00686B36">
            <w:pPr>
              <w:spacing w:after="0" w:line="240" w:lineRule="auto"/>
              <w:ind w:left="0" w:right="0" w:firstLine="0"/>
              <w:jc w:val="center"/>
              <w:rPr>
                <w:color w:val="auto"/>
                <w:sz w:val="20"/>
                <w:lang w:bidi="ar-SA"/>
              </w:rPr>
            </w:pPr>
          </w:p>
        </w:tc>
      </w:tr>
      <w:tr w:rsidR="00686B36" w:rsidRPr="00686B36" w14:paraId="27FB6DB6" w14:textId="77777777" w:rsidTr="003C56BE">
        <w:trPr>
          <w:tblCellSpacing w:w="15" w:type="dxa"/>
        </w:trPr>
        <w:tc>
          <w:tcPr>
            <w:tcW w:w="1946" w:type="pct"/>
            <w:vAlign w:val="center"/>
            <w:hideMark/>
          </w:tcPr>
          <w:p w14:paraId="7632AFBA" w14:textId="77777777" w:rsidR="00686B36" w:rsidRPr="00686B36" w:rsidRDefault="00686B36" w:rsidP="00686B36">
            <w:pPr>
              <w:spacing w:after="0" w:line="240" w:lineRule="auto"/>
              <w:ind w:left="0" w:right="0" w:firstLine="0"/>
              <w:jc w:val="left"/>
              <w:rPr>
                <w:color w:val="auto"/>
                <w:szCs w:val="24"/>
                <w:lang w:bidi="ar-SA"/>
              </w:rPr>
            </w:pPr>
            <w:r w:rsidRPr="00686B36">
              <w:rPr>
                <w:color w:val="auto"/>
                <w:szCs w:val="24"/>
                <w:lang w:bidi="ar-SA"/>
              </w:rPr>
              <w:t>Constant</w:t>
            </w:r>
          </w:p>
        </w:tc>
        <w:tc>
          <w:tcPr>
            <w:tcW w:w="1366" w:type="pct"/>
            <w:vAlign w:val="center"/>
            <w:hideMark/>
          </w:tcPr>
          <w:p w14:paraId="118C79F8"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38.257</w:t>
            </w:r>
          </w:p>
        </w:tc>
        <w:tc>
          <w:tcPr>
            <w:tcW w:w="1625" w:type="pct"/>
            <w:vAlign w:val="center"/>
            <w:hideMark/>
          </w:tcPr>
          <w:p w14:paraId="552FDB43"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21.058</w:t>
            </w:r>
          </w:p>
        </w:tc>
      </w:tr>
      <w:tr w:rsidR="00686B36" w:rsidRPr="00686B36" w14:paraId="58D76F51" w14:textId="77777777" w:rsidTr="003C56BE">
        <w:trPr>
          <w:tblCellSpacing w:w="15" w:type="dxa"/>
        </w:trPr>
        <w:tc>
          <w:tcPr>
            <w:tcW w:w="1946" w:type="pct"/>
            <w:vAlign w:val="center"/>
            <w:hideMark/>
          </w:tcPr>
          <w:p w14:paraId="73ACA6D2" w14:textId="77777777" w:rsidR="00686B36" w:rsidRPr="00686B36" w:rsidRDefault="00686B36" w:rsidP="00686B36">
            <w:pPr>
              <w:spacing w:after="0" w:line="240" w:lineRule="auto"/>
              <w:ind w:left="0" w:right="0" w:firstLine="0"/>
              <w:jc w:val="center"/>
              <w:rPr>
                <w:color w:val="auto"/>
                <w:szCs w:val="24"/>
                <w:lang w:bidi="ar-SA"/>
              </w:rPr>
            </w:pPr>
          </w:p>
        </w:tc>
        <w:tc>
          <w:tcPr>
            <w:tcW w:w="1366" w:type="pct"/>
            <w:vAlign w:val="center"/>
            <w:hideMark/>
          </w:tcPr>
          <w:p w14:paraId="4188BFF9"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(40.707)</w:t>
            </w:r>
          </w:p>
        </w:tc>
        <w:tc>
          <w:tcPr>
            <w:tcW w:w="1625" w:type="pct"/>
            <w:vAlign w:val="center"/>
            <w:hideMark/>
          </w:tcPr>
          <w:p w14:paraId="36398CB3" w14:textId="7B48C265"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(1</w:t>
            </w:r>
            <w:r w:rsidR="00271CC7">
              <w:rPr>
                <w:color w:val="auto"/>
                <w:szCs w:val="24"/>
                <w:lang w:bidi="ar-SA"/>
              </w:rPr>
              <w:t>5</w:t>
            </w:r>
            <w:r w:rsidRPr="00686B36">
              <w:rPr>
                <w:color w:val="auto"/>
                <w:szCs w:val="24"/>
                <w:lang w:bidi="ar-SA"/>
              </w:rPr>
              <w:t>.317)</w:t>
            </w:r>
          </w:p>
        </w:tc>
      </w:tr>
      <w:tr w:rsidR="00686B36" w:rsidRPr="00686B36" w14:paraId="66DD7D1C" w14:textId="77777777" w:rsidTr="003C56BE">
        <w:trPr>
          <w:tblCellSpacing w:w="15" w:type="dxa"/>
        </w:trPr>
        <w:tc>
          <w:tcPr>
            <w:tcW w:w="1946" w:type="pct"/>
            <w:vAlign w:val="center"/>
            <w:hideMark/>
          </w:tcPr>
          <w:p w14:paraId="5BD64A6B" w14:textId="77777777" w:rsidR="00686B36" w:rsidRPr="00686B36" w:rsidRDefault="00686B36" w:rsidP="00686B36">
            <w:pPr>
              <w:spacing w:after="0" w:line="240" w:lineRule="auto"/>
              <w:ind w:left="0" w:right="0" w:firstLine="0"/>
              <w:jc w:val="center"/>
              <w:rPr>
                <w:color w:val="auto"/>
                <w:szCs w:val="24"/>
                <w:lang w:bidi="ar-SA"/>
              </w:rPr>
            </w:pPr>
          </w:p>
        </w:tc>
        <w:tc>
          <w:tcPr>
            <w:tcW w:w="1366" w:type="pct"/>
            <w:vAlign w:val="center"/>
            <w:hideMark/>
          </w:tcPr>
          <w:p w14:paraId="46F1DC76" w14:textId="77777777" w:rsidR="00686B36" w:rsidRPr="00686B36" w:rsidRDefault="00686B36" w:rsidP="00686B36">
            <w:pPr>
              <w:spacing w:after="0" w:line="240" w:lineRule="auto"/>
              <w:ind w:left="0" w:right="0" w:firstLine="0"/>
              <w:jc w:val="left"/>
              <w:rPr>
                <w:color w:val="auto"/>
                <w:sz w:val="20"/>
                <w:lang w:bidi="ar-SA"/>
              </w:rPr>
            </w:pPr>
          </w:p>
        </w:tc>
        <w:tc>
          <w:tcPr>
            <w:tcW w:w="1625" w:type="pct"/>
            <w:vAlign w:val="center"/>
            <w:hideMark/>
          </w:tcPr>
          <w:p w14:paraId="47A382CB" w14:textId="77777777" w:rsidR="00686B36" w:rsidRPr="00686B36" w:rsidRDefault="00686B36" w:rsidP="00686B36">
            <w:pPr>
              <w:spacing w:after="0" w:line="240" w:lineRule="auto"/>
              <w:ind w:left="0" w:right="0" w:firstLine="0"/>
              <w:jc w:val="center"/>
              <w:rPr>
                <w:color w:val="auto"/>
                <w:sz w:val="20"/>
                <w:lang w:bidi="ar-SA"/>
              </w:rPr>
            </w:pPr>
          </w:p>
        </w:tc>
      </w:tr>
      <w:tr w:rsidR="00686B36" w:rsidRPr="00686B36" w14:paraId="08C5D142" w14:textId="77777777" w:rsidTr="003C56BE">
        <w:trPr>
          <w:tblCellSpacing w:w="15" w:type="dxa"/>
        </w:trPr>
        <w:tc>
          <w:tcPr>
            <w:tcW w:w="4968" w:type="pct"/>
            <w:gridSpan w:val="3"/>
            <w:tcBorders>
              <w:bottom w:val="single" w:sz="6" w:space="0" w:color="000000"/>
            </w:tcBorders>
            <w:vAlign w:val="center"/>
            <w:hideMark/>
          </w:tcPr>
          <w:p w14:paraId="5A15936E" w14:textId="77777777" w:rsidR="00686B36" w:rsidRPr="00686B36" w:rsidRDefault="00686B36" w:rsidP="00686B36">
            <w:pPr>
              <w:spacing w:after="0" w:line="240" w:lineRule="auto"/>
              <w:ind w:left="0" w:right="0" w:firstLine="0"/>
              <w:jc w:val="center"/>
              <w:rPr>
                <w:color w:val="auto"/>
                <w:sz w:val="20"/>
                <w:lang w:bidi="ar-SA"/>
              </w:rPr>
            </w:pPr>
          </w:p>
        </w:tc>
      </w:tr>
      <w:tr w:rsidR="00686B36" w:rsidRPr="00686B36" w14:paraId="225F98CD" w14:textId="77777777" w:rsidTr="003C56BE">
        <w:trPr>
          <w:tblCellSpacing w:w="15" w:type="dxa"/>
        </w:trPr>
        <w:tc>
          <w:tcPr>
            <w:tcW w:w="1946" w:type="pct"/>
            <w:vAlign w:val="center"/>
            <w:hideMark/>
          </w:tcPr>
          <w:p w14:paraId="27F992D7" w14:textId="77777777" w:rsidR="00686B36" w:rsidRPr="00686B36" w:rsidRDefault="00686B36" w:rsidP="00686B36">
            <w:pPr>
              <w:spacing w:after="0" w:line="240" w:lineRule="auto"/>
              <w:ind w:left="0" w:right="0" w:firstLine="0"/>
              <w:jc w:val="left"/>
              <w:rPr>
                <w:color w:val="auto"/>
                <w:szCs w:val="24"/>
                <w:lang w:bidi="ar-SA"/>
              </w:rPr>
            </w:pPr>
            <w:r w:rsidRPr="00686B36">
              <w:rPr>
                <w:color w:val="auto"/>
                <w:szCs w:val="24"/>
                <w:lang w:bidi="ar-SA"/>
              </w:rPr>
              <w:t>Observations</w:t>
            </w:r>
          </w:p>
        </w:tc>
        <w:tc>
          <w:tcPr>
            <w:tcW w:w="1366" w:type="pct"/>
            <w:vAlign w:val="center"/>
            <w:hideMark/>
          </w:tcPr>
          <w:p w14:paraId="2C830EFC"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98</w:t>
            </w:r>
          </w:p>
        </w:tc>
        <w:tc>
          <w:tcPr>
            <w:tcW w:w="1625" w:type="pct"/>
            <w:vAlign w:val="center"/>
            <w:hideMark/>
          </w:tcPr>
          <w:p w14:paraId="3AE29AF6"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98</w:t>
            </w:r>
          </w:p>
        </w:tc>
      </w:tr>
      <w:tr w:rsidR="00686B36" w:rsidRPr="00686B36" w14:paraId="3B098828" w14:textId="77777777" w:rsidTr="003C56BE">
        <w:trPr>
          <w:tblCellSpacing w:w="15" w:type="dxa"/>
        </w:trPr>
        <w:tc>
          <w:tcPr>
            <w:tcW w:w="1946" w:type="pct"/>
            <w:vAlign w:val="center"/>
            <w:hideMark/>
          </w:tcPr>
          <w:p w14:paraId="4875A43F" w14:textId="77777777" w:rsidR="00686B36" w:rsidRPr="00686B36" w:rsidRDefault="00686B36" w:rsidP="00686B36">
            <w:pPr>
              <w:spacing w:after="0" w:line="240" w:lineRule="auto"/>
              <w:ind w:left="0" w:right="0" w:firstLine="0"/>
              <w:jc w:val="left"/>
              <w:rPr>
                <w:color w:val="auto"/>
                <w:szCs w:val="24"/>
                <w:lang w:bidi="ar-SA"/>
              </w:rPr>
            </w:pPr>
            <w:r w:rsidRPr="00686B36">
              <w:rPr>
                <w:color w:val="auto"/>
                <w:szCs w:val="24"/>
                <w:lang w:bidi="ar-SA"/>
              </w:rPr>
              <w:lastRenderedPageBreak/>
              <w:t>R</w:t>
            </w:r>
            <w:r w:rsidRPr="00686B36">
              <w:rPr>
                <w:color w:val="auto"/>
                <w:szCs w:val="24"/>
                <w:vertAlign w:val="superscript"/>
                <w:lang w:bidi="ar-SA"/>
              </w:rPr>
              <w:t>2</w:t>
            </w:r>
          </w:p>
        </w:tc>
        <w:tc>
          <w:tcPr>
            <w:tcW w:w="1366" w:type="pct"/>
            <w:vAlign w:val="center"/>
            <w:hideMark/>
          </w:tcPr>
          <w:p w14:paraId="642AF26E"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0.359</w:t>
            </w:r>
          </w:p>
        </w:tc>
        <w:tc>
          <w:tcPr>
            <w:tcW w:w="1625" w:type="pct"/>
            <w:vAlign w:val="center"/>
            <w:hideMark/>
          </w:tcPr>
          <w:p w14:paraId="5EA3553A" w14:textId="77777777" w:rsidR="00686B36" w:rsidRPr="00686B36" w:rsidRDefault="00686B36" w:rsidP="00686B36">
            <w:pPr>
              <w:spacing w:after="0" w:line="240" w:lineRule="auto"/>
              <w:ind w:left="0" w:right="0" w:firstLine="0"/>
              <w:jc w:val="center"/>
              <w:rPr>
                <w:color w:val="auto"/>
                <w:szCs w:val="24"/>
                <w:lang w:bidi="ar-SA"/>
              </w:rPr>
            </w:pPr>
            <w:r w:rsidRPr="00686B36">
              <w:rPr>
                <w:color w:val="auto"/>
                <w:szCs w:val="24"/>
                <w:lang w:bidi="ar-SA"/>
              </w:rPr>
              <w:t>0.389</w:t>
            </w:r>
          </w:p>
        </w:tc>
      </w:tr>
      <w:tr w:rsidR="00686B36" w:rsidRPr="00686B36" w14:paraId="1A6E3C99" w14:textId="77777777" w:rsidTr="003C56BE">
        <w:trPr>
          <w:tblCellSpacing w:w="15" w:type="dxa"/>
        </w:trPr>
        <w:tc>
          <w:tcPr>
            <w:tcW w:w="4968" w:type="pct"/>
            <w:gridSpan w:val="3"/>
            <w:tcBorders>
              <w:bottom w:val="single" w:sz="6" w:space="0" w:color="000000"/>
            </w:tcBorders>
            <w:vAlign w:val="center"/>
            <w:hideMark/>
          </w:tcPr>
          <w:p w14:paraId="77B94A8F" w14:textId="77777777" w:rsidR="00686B36" w:rsidRPr="00686B36" w:rsidRDefault="00686B36" w:rsidP="00686B36">
            <w:pPr>
              <w:spacing w:after="0" w:line="240" w:lineRule="auto"/>
              <w:ind w:left="0" w:right="0" w:firstLine="0"/>
              <w:jc w:val="center"/>
              <w:rPr>
                <w:color w:val="auto"/>
                <w:szCs w:val="24"/>
                <w:lang w:bidi="ar-SA"/>
              </w:rPr>
            </w:pPr>
          </w:p>
        </w:tc>
      </w:tr>
      <w:tr w:rsidR="00686B36" w:rsidRPr="00686B36" w14:paraId="6CD75338" w14:textId="77777777" w:rsidTr="003C56BE">
        <w:trPr>
          <w:tblCellSpacing w:w="15" w:type="dxa"/>
        </w:trPr>
        <w:tc>
          <w:tcPr>
            <w:tcW w:w="1946" w:type="pct"/>
            <w:vAlign w:val="center"/>
            <w:hideMark/>
          </w:tcPr>
          <w:p w14:paraId="12177BBF" w14:textId="77777777" w:rsidR="00686B36" w:rsidRPr="00686B36" w:rsidRDefault="00686B36" w:rsidP="00686B36">
            <w:pPr>
              <w:spacing w:after="0" w:line="240" w:lineRule="auto"/>
              <w:ind w:left="0" w:right="0" w:firstLine="0"/>
              <w:jc w:val="left"/>
              <w:rPr>
                <w:color w:val="auto"/>
                <w:szCs w:val="24"/>
                <w:lang w:bidi="ar-SA"/>
              </w:rPr>
            </w:pPr>
            <w:r w:rsidRPr="00686B36">
              <w:rPr>
                <w:i/>
                <w:iCs/>
                <w:color w:val="auto"/>
                <w:szCs w:val="24"/>
                <w:lang w:bidi="ar-SA"/>
              </w:rPr>
              <w:t>Note:</w:t>
            </w:r>
          </w:p>
        </w:tc>
        <w:tc>
          <w:tcPr>
            <w:tcW w:w="3006" w:type="pct"/>
            <w:gridSpan w:val="2"/>
            <w:vAlign w:val="center"/>
            <w:hideMark/>
          </w:tcPr>
          <w:p w14:paraId="29F310C6" w14:textId="77777777" w:rsidR="00686B36" w:rsidRPr="00686B36" w:rsidRDefault="00686B36" w:rsidP="00686B36">
            <w:pPr>
              <w:spacing w:after="0" w:line="240" w:lineRule="auto"/>
              <w:ind w:left="0" w:right="0" w:firstLine="0"/>
              <w:jc w:val="right"/>
              <w:rPr>
                <w:color w:val="auto"/>
                <w:szCs w:val="24"/>
                <w:lang w:bidi="ar-SA"/>
              </w:rPr>
            </w:pPr>
            <w:r w:rsidRPr="00686B36">
              <w:rPr>
                <w:color w:val="auto"/>
                <w:szCs w:val="24"/>
                <w:vertAlign w:val="superscript"/>
                <w:lang w:bidi="ar-SA"/>
              </w:rPr>
              <w:t>*</w:t>
            </w:r>
            <w:r w:rsidRPr="00686B36">
              <w:rPr>
                <w:color w:val="auto"/>
                <w:szCs w:val="24"/>
                <w:lang w:bidi="ar-SA"/>
              </w:rPr>
              <w:t>p&lt;0.1; </w:t>
            </w:r>
            <w:r w:rsidRPr="00686B36">
              <w:rPr>
                <w:color w:val="auto"/>
                <w:szCs w:val="24"/>
                <w:vertAlign w:val="superscript"/>
                <w:lang w:bidi="ar-SA"/>
              </w:rPr>
              <w:t>**</w:t>
            </w:r>
            <w:r w:rsidRPr="00686B36">
              <w:rPr>
                <w:color w:val="auto"/>
                <w:szCs w:val="24"/>
                <w:lang w:bidi="ar-SA"/>
              </w:rPr>
              <w:t>p&lt;0.05; </w:t>
            </w:r>
            <w:r w:rsidRPr="00686B36">
              <w:rPr>
                <w:color w:val="auto"/>
                <w:szCs w:val="24"/>
                <w:vertAlign w:val="superscript"/>
                <w:lang w:bidi="ar-SA"/>
              </w:rPr>
              <w:t>***</w:t>
            </w:r>
            <w:r w:rsidRPr="00686B36">
              <w:rPr>
                <w:color w:val="auto"/>
                <w:szCs w:val="24"/>
                <w:lang w:bidi="ar-SA"/>
              </w:rPr>
              <w:t>p&lt;0.01</w:t>
            </w:r>
          </w:p>
        </w:tc>
      </w:tr>
    </w:tbl>
    <w:p w14:paraId="4DDDAD43" w14:textId="7E15DB0C" w:rsidR="009B68EA" w:rsidRDefault="009B68EA">
      <w:pPr>
        <w:spacing w:after="41"/>
        <w:ind w:left="8" w:right="0" w:firstLine="0"/>
        <w:jc w:val="left"/>
      </w:pPr>
    </w:p>
    <w:p w14:paraId="4C4CCF63" w14:textId="77777777" w:rsidR="009B68EA" w:rsidRDefault="009B1B9B">
      <w:pPr>
        <w:spacing w:after="175"/>
        <w:ind w:left="0" w:right="0" w:firstLine="0"/>
        <w:jc w:val="left"/>
      </w:pPr>
      <w:r>
        <w:t xml:space="preserve"> </w:t>
      </w:r>
    </w:p>
    <w:p w14:paraId="39BCDFF5" w14:textId="77777777" w:rsidR="009B68EA" w:rsidRDefault="009B1B9B">
      <w:pPr>
        <w:spacing w:after="0"/>
        <w:ind w:left="0" w:right="0" w:firstLine="0"/>
        <w:jc w:val="left"/>
      </w:pPr>
      <w:r>
        <w:t xml:space="preserve"> </w:t>
      </w:r>
    </w:p>
    <w:p w14:paraId="7DD2FEC4" w14:textId="44E5F536" w:rsidR="009B68EA" w:rsidRDefault="009B1B9B" w:rsidP="009065A9">
      <w:pPr>
        <w:spacing w:line="357" w:lineRule="auto"/>
        <w:ind w:left="-5" w:right="85"/>
      </w:pPr>
      <w:r>
        <w:t xml:space="preserve">In the first model, </w:t>
      </w:r>
      <w:r w:rsidR="003C56BE">
        <w:t xml:space="preserve">none of the variables </w:t>
      </w:r>
      <w:r>
        <w:t>w</w:t>
      </w:r>
      <w:r w:rsidR="003C56BE">
        <w:t>ere</w:t>
      </w:r>
      <w:r>
        <w:t xml:space="preserve"> statistically significant. The estimated intercept was found to be </w:t>
      </w:r>
      <w:r w:rsidR="003C56BE">
        <w:t>38.257 (s</w:t>
      </w:r>
      <w:r w:rsidR="00271CC7">
        <w:t>e</w:t>
      </w:r>
      <w:r w:rsidR="003C56BE">
        <w:t xml:space="preserve"> =40.71).</w:t>
      </w:r>
      <w:r>
        <w:t xml:space="preserve"> This shows that when the independent variables are held constant, the average</w:t>
      </w:r>
      <w:r w:rsidR="003C56BE">
        <w:t xml:space="preserve"> systematic risk of a bank, as measured by the Marginal Expected Shortfall (</w:t>
      </w:r>
      <w:r>
        <w:t>MES</w:t>
      </w:r>
      <w:r w:rsidR="003C56BE">
        <w:t>),</w:t>
      </w:r>
      <w:r>
        <w:t xml:space="preserve"> was </w:t>
      </w:r>
      <w:r w:rsidR="003C56BE">
        <w:t>38.257%, with a standard deviation of 40.71%</w:t>
      </w:r>
      <w:r>
        <w:t xml:space="preserve">. It can also be taken to mean that factors other than the ones considered for the independent variables account for a MES of </w:t>
      </w:r>
      <w:r w:rsidR="003C56BE">
        <w:t>38.257%</w:t>
      </w:r>
      <w:r>
        <w:t xml:space="preserve">. Inflation had an estimated coefficient of </w:t>
      </w:r>
      <w:r w:rsidR="003C56BE">
        <w:t>10.249</w:t>
      </w:r>
      <w:r>
        <w:t xml:space="preserve"> but it was also insignificant. This shows that a one unit increase in the inflation rate corresponds to a </w:t>
      </w:r>
      <w:r w:rsidR="003C56BE">
        <w:t>10.249%</w:t>
      </w:r>
      <w:r>
        <w:t xml:space="preserve"> </w:t>
      </w:r>
      <w:r w:rsidR="003C56BE">
        <w:t>in</w:t>
      </w:r>
      <w:r>
        <w:t>crease in the</w:t>
      </w:r>
      <w:r w:rsidR="003C56BE">
        <w:t xml:space="preserve"> average</w:t>
      </w:r>
      <w:r>
        <w:t xml:space="preserve"> marginal expected shortfall of the banks. </w:t>
      </w:r>
      <w:r w:rsidR="009065A9">
        <w:t>The logarithm of b</w:t>
      </w:r>
      <w:r>
        <w:t xml:space="preserve">road money had an estimated coefficient of </w:t>
      </w:r>
      <w:r w:rsidR="009065A9">
        <w:t>-1.615</w:t>
      </w:r>
      <w:r w:rsidR="00271CC7">
        <w:t>(se=1.734)</w:t>
      </w:r>
      <w:r>
        <w:t>, which was not statistically significant</w:t>
      </w:r>
      <w:r w:rsidR="009065A9">
        <w:t>, implying that one percent increase in broad money led to a 1.65% decrease in the average MES of the banks. The log of total assets had an estimated coefficient of 2%</w:t>
      </w:r>
      <w:r w:rsidR="00271CC7">
        <w:t>(se=1.947)</w:t>
      </w:r>
      <w:r w:rsidR="009065A9">
        <w:t xml:space="preserve"> but it was insignificant. This shows that a one percent increase in the total assets of a bank led to a 2% increase in its MES on average, all other factors held constant. </w:t>
      </w:r>
      <w:r>
        <w:t xml:space="preserve">The capital transitional agreement (CAT) had an estimated regression coefficient of </w:t>
      </w:r>
      <w:r w:rsidR="009065A9">
        <w:t>0.325</w:t>
      </w:r>
      <w:r w:rsidR="00271CC7">
        <w:t>(se=0.75)</w:t>
      </w:r>
      <w:r>
        <w:t xml:space="preserve"> which indicates that a change from the period before the CAT, to the period after led to a </w:t>
      </w:r>
      <w:r w:rsidR="009065A9">
        <w:t>0.325% increase</w:t>
      </w:r>
      <w:r>
        <w:t xml:space="preserve"> in the marginal expected shortfall of the banks.  </w:t>
      </w:r>
    </w:p>
    <w:p w14:paraId="2284B1EC" w14:textId="6F83AAD7" w:rsidR="009B68EA" w:rsidRDefault="009B1B9B" w:rsidP="009065A9">
      <w:pPr>
        <w:spacing w:after="220" w:line="357" w:lineRule="auto"/>
        <w:ind w:left="-5" w:right="85"/>
      </w:pPr>
      <w:r>
        <w:t xml:space="preserve">In the second model, </w:t>
      </w:r>
      <w:r w:rsidR="009065A9">
        <w:t>only the capital transitional arrangement period had a statistically significant effect on the CoVaR</w:t>
      </w:r>
      <w:r>
        <w:t xml:space="preserve">. The intercept was estimated to be </w:t>
      </w:r>
      <w:r w:rsidR="009065A9">
        <w:t>21.058%</w:t>
      </w:r>
      <w:r>
        <w:t xml:space="preserve"> </w:t>
      </w:r>
      <w:r w:rsidR="009065A9">
        <w:t>but</w:t>
      </w:r>
      <w:r>
        <w:t xml:space="preserve"> this was</w:t>
      </w:r>
      <w:r w:rsidR="009065A9">
        <w:t xml:space="preserve"> not</w:t>
      </w:r>
      <w:r>
        <w:t xml:space="preserve"> statistically significant at</w:t>
      </w:r>
      <w:r w:rsidR="009065A9">
        <w:t xml:space="preserve"> any</w:t>
      </w:r>
      <w:r>
        <w:t xml:space="preserve"> level of significance. This shows that when the independent variables are held constant, the average CoVaR is </w:t>
      </w:r>
      <w:r w:rsidR="009065A9">
        <w:t>expected to be 21.058% but</w:t>
      </w:r>
      <w:r>
        <w:t xml:space="preserve"> this relationship is </w:t>
      </w:r>
      <w:r w:rsidR="009065A9">
        <w:t xml:space="preserve">not </w:t>
      </w:r>
      <w:r>
        <w:t xml:space="preserve">statistically significant. The inflation rate had an estimated coefficient of </w:t>
      </w:r>
      <w:r w:rsidR="009065A9">
        <w:t>-31.191</w:t>
      </w:r>
      <w:r>
        <w:t xml:space="preserve"> </w:t>
      </w:r>
      <w:r w:rsidR="009065A9">
        <w:t>but</w:t>
      </w:r>
      <w:r>
        <w:t xml:space="preserve"> it was </w:t>
      </w:r>
      <w:r w:rsidR="009065A9">
        <w:t xml:space="preserve">not </w:t>
      </w:r>
      <w:r>
        <w:t>statistically significant at</w:t>
      </w:r>
      <w:r w:rsidR="009065A9">
        <w:t xml:space="preserve"> any </w:t>
      </w:r>
      <w:r>
        <w:t xml:space="preserve">level of significance. This shows that a one-unit increase in the inflation rate led to a </w:t>
      </w:r>
      <w:r w:rsidR="009065A9">
        <w:t xml:space="preserve">-31.191 decrease </w:t>
      </w:r>
      <w:r>
        <w:t xml:space="preserve">in the </w:t>
      </w:r>
      <w:proofErr w:type="gramStart"/>
      <w:r>
        <w:t>CoVaR</w:t>
      </w:r>
      <w:proofErr w:type="gramEnd"/>
      <w:r w:rsidR="009065A9">
        <w:t xml:space="preserve"> but this relationship was not statistically meaningful</w:t>
      </w:r>
      <w:r>
        <w:t>. Capital transitional arrangement had an estimated coefficient of -</w:t>
      </w:r>
      <w:r w:rsidR="009065A9">
        <w:t>10.739</w:t>
      </w:r>
      <w:r>
        <w:t xml:space="preserve"> and this was statistically significant at 1% level of significance. This shows that a change from the pre-CTA to the CTA period corresponded with a decrease in the</w:t>
      </w:r>
      <w:r w:rsidR="009065A9">
        <w:t xml:space="preserve"> systematic risk, as measured by</w:t>
      </w:r>
      <w:r>
        <w:t xml:space="preserve"> CoVaR</w:t>
      </w:r>
      <w:r w:rsidR="009065A9">
        <w:t>,</w:t>
      </w:r>
      <w:r>
        <w:t xml:space="preserve"> by -</w:t>
      </w:r>
      <w:r w:rsidR="009065A9">
        <w:t>10.74%</w:t>
      </w:r>
      <w:r>
        <w:t xml:space="preserve">, and this was statistically significant at 1% level of significance.  </w:t>
      </w:r>
      <w:r w:rsidR="009065A9">
        <w:t xml:space="preserve">The log of broad money had a regression coefficient of -3.526 and this was not statistically significant at any level of significance. </w:t>
      </w:r>
      <w:r w:rsidR="009065A9">
        <w:lastRenderedPageBreak/>
        <w:t xml:space="preserve">This shows that a one percent increase in the broad money </w:t>
      </w:r>
      <w:r w:rsidR="00100CE3">
        <w:t>led to a de</w:t>
      </w:r>
      <w:r w:rsidR="009065A9">
        <w:t xml:space="preserve">crease in the delta CoVaR by </w:t>
      </w:r>
      <w:r w:rsidR="00100CE3">
        <w:t>-3.526, although this relationship was not statistically meaningful</w:t>
      </w:r>
      <w:r w:rsidR="009065A9">
        <w:t>.</w:t>
      </w:r>
      <w:r w:rsidR="00100CE3">
        <w:t xml:space="preserve"> Finally, the log of total assets had an estimated coefficient of 9.044 (se=26.099) but was not statistically significant. This shows that a percentage point increase in the total assets of a bank increased its systematic risk by 9.044% but this relationship had no statistical significance. </w:t>
      </w:r>
    </w:p>
    <w:p w14:paraId="57AA6301" w14:textId="77777777" w:rsidR="009B68EA" w:rsidRDefault="009B1B9B">
      <w:pPr>
        <w:pStyle w:val="Heading3"/>
        <w:ind w:left="-5" w:right="0"/>
      </w:pPr>
      <w:bookmarkStart w:id="29" w:name="_Toc138448123"/>
      <w:r>
        <w:t>4.5.</w:t>
      </w:r>
      <w:r>
        <w:rPr>
          <w:rFonts w:ascii="Arial" w:eastAsia="Arial" w:hAnsi="Arial" w:cs="Arial"/>
        </w:rPr>
        <w:t xml:space="preserve"> </w:t>
      </w:r>
      <w:r>
        <w:t>DISCUSSION</w:t>
      </w:r>
      <w:bookmarkEnd w:id="29"/>
      <w:r>
        <w:t xml:space="preserve"> </w:t>
      </w:r>
    </w:p>
    <w:p w14:paraId="3EA50703" w14:textId="053D6704" w:rsidR="009B68EA" w:rsidRDefault="009B1B9B" w:rsidP="00AE3EC7">
      <w:pPr>
        <w:spacing w:before="240" w:after="206" w:line="358" w:lineRule="auto"/>
        <w:ind w:left="-5" w:right="85"/>
      </w:pPr>
      <w:r>
        <w:t>The results show that none of the independent variables were statistically meaningful in explaining the changes in the</w:t>
      </w:r>
      <w:r w:rsidR="00100CE3">
        <w:t xml:space="preserve"> systematic risk</w:t>
      </w:r>
      <w:r>
        <w:t xml:space="preserve"> of Kenyan commercial banks</w:t>
      </w:r>
      <w:r w:rsidR="00100CE3">
        <w:t xml:space="preserve">, as measured by the Marginal Expected Shortfall (MES) and CoVaR. </w:t>
      </w:r>
      <w:r>
        <w:t xml:space="preserve"> However, the</w:t>
      </w:r>
      <w:r w:rsidR="00100CE3">
        <w:t xml:space="preserve"> transition from the pre-</w:t>
      </w:r>
      <w:r>
        <w:t>CTA</w:t>
      </w:r>
      <w:r w:rsidR="00100CE3">
        <w:t xml:space="preserve"> to the post-CTA period reduced the average systematic risk of a bank by 10%, as measured by the CoVaR. When measured using MES, the onset of the CTA led to a light increase in systematic risk, but this relationship was not statistically significant.</w:t>
      </w:r>
      <w:r>
        <w:t xml:space="preserve"> These results show that the relationship between the capital transitional agreement period and bank systematic risk is negative. The CTA period was established to allow banks to allocate more provisional capital for their risk assets. Therefore, these results show that the banking sector is stronger after the CTA period </w:t>
      </w:r>
      <w:r w:rsidR="00100CE3">
        <w:t>began,</w:t>
      </w:r>
      <w:r>
        <w:t xml:space="preserve"> perhaps because banks </w:t>
      </w:r>
      <w:r w:rsidR="00271CC7">
        <w:t>began</w:t>
      </w:r>
      <w:r>
        <w:t xml:space="preserve"> to allocate more provisional capital for their risk assets, or to hold less risky assets to offset the need for large capital buffers.  </w:t>
      </w:r>
    </w:p>
    <w:p w14:paraId="759DF41C" w14:textId="7EDDF9A5" w:rsidR="00100CE3" w:rsidRDefault="00100CE3" w:rsidP="00AE3EC7">
      <w:pPr>
        <w:spacing w:before="240" w:after="206" w:line="358" w:lineRule="auto"/>
        <w:ind w:left="-5" w:right="85"/>
      </w:pPr>
      <w:r>
        <w:t xml:space="preserve">The differing results based on the measure of systematic risk can be attributed to their underlying concepts and methodologies. Marginal Expected Shortfall (MES) gives a measure of how a bank contributes to systematic risk </w:t>
      </w:r>
      <w:proofErr w:type="gramStart"/>
      <w:r>
        <w:t>in excess of</w:t>
      </w:r>
      <w:proofErr w:type="gramEnd"/>
      <w:r>
        <w:t xml:space="preserve"> the given level, which in this case is the banking systems </w:t>
      </w:r>
      <w:proofErr w:type="spellStart"/>
      <w:r>
        <w:t>VaR.</w:t>
      </w:r>
      <w:proofErr w:type="spellEnd"/>
      <w:r>
        <w:t xml:space="preserve"> Put another way, it measures </w:t>
      </w:r>
      <w:r w:rsidR="00FD0BC6">
        <w:t xml:space="preserve">how much a bank would lose </w:t>
      </w:r>
      <w:proofErr w:type="gramStart"/>
      <w:r w:rsidR="00FD0BC6">
        <w:t>in excess of</w:t>
      </w:r>
      <w:proofErr w:type="gramEnd"/>
      <w:r w:rsidR="00FD0BC6">
        <w:t xml:space="preserve"> the </w:t>
      </w:r>
      <w:proofErr w:type="spellStart"/>
      <w:r w:rsidR="00FD0BC6">
        <w:t>VaR</w:t>
      </w:r>
      <w:proofErr w:type="spellEnd"/>
      <w:r w:rsidR="00FD0BC6">
        <w:t xml:space="preserve"> of all the banks. Since it is a tail risk measure, it makes sense that </w:t>
      </w:r>
      <w:r w:rsidR="00271CC7">
        <w:t>its</w:t>
      </w:r>
      <w:r w:rsidR="00FD0BC6">
        <w:t xml:space="preserve"> values tend to be quite small. The CoVaR on the other hand, measures a bank’s contribution to the risk of the overall banking system. It is not a tail risk measure and is therefore a better measure to assess the changes in normal levels of systematic risk. The MES can be used to measure the extreme levels of systematic risk. Therefore, even though they measure the same thing, ostensibly, they measure it in very different ways and hence in effect are measuring different ‘parts’ of the same thing. </w:t>
      </w:r>
    </w:p>
    <w:p w14:paraId="6C2D3E8A" w14:textId="46DF92AF" w:rsidR="00FD0BC6" w:rsidRDefault="00FD0BC6" w:rsidP="00AE3EC7">
      <w:pPr>
        <w:spacing w:before="240" w:after="206" w:line="358" w:lineRule="auto"/>
        <w:ind w:left="-5" w:right="85"/>
      </w:pPr>
      <w:r>
        <w:t xml:space="preserve">This study suffered several problems that reduced the power of its analysis. The r-squared of the first model was 0.359 and that of the second model was 0.389. This shows that the models </w:t>
      </w:r>
      <w:r>
        <w:lastRenderedPageBreak/>
        <w:t xml:space="preserve">explained 35.9% and 38.9% of the variation in MES and CoVaR, respectively. However, the sample used in this study contained twelve-year data for 9 banks since listed banks were needed to construct the measures of systematic risk. Taking this into consideration, together with the short CTA period, explains in part, the low r-squares. Further studies can repeat the analysis in future </w:t>
      </w:r>
      <w:r w:rsidR="00271CC7">
        <w:t xml:space="preserve">when a better sample is available. </w:t>
      </w:r>
    </w:p>
    <w:p w14:paraId="5C0ADC46" w14:textId="77777777" w:rsidR="009B68EA" w:rsidRDefault="009B1B9B">
      <w:pPr>
        <w:spacing w:after="0"/>
        <w:ind w:left="0" w:right="0" w:firstLine="0"/>
        <w:jc w:val="left"/>
      </w:pPr>
      <w:r>
        <w:t xml:space="preserve"> </w:t>
      </w:r>
      <w:r>
        <w:tab/>
        <w:t xml:space="preserve"> </w:t>
      </w:r>
      <w:r>
        <w:br w:type="page"/>
      </w:r>
    </w:p>
    <w:p w14:paraId="27B14FA2" w14:textId="77777777" w:rsidR="009B68EA" w:rsidRDefault="009B1B9B">
      <w:pPr>
        <w:pStyle w:val="Heading2"/>
        <w:ind w:left="-5"/>
      </w:pPr>
      <w:bookmarkStart w:id="30" w:name="_Toc138448124"/>
      <w:r>
        <w:lastRenderedPageBreak/>
        <w:t>5.</w:t>
      </w:r>
      <w:r>
        <w:rPr>
          <w:rFonts w:ascii="Arial" w:eastAsia="Arial" w:hAnsi="Arial" w:cs="Arial"/>
        </w:rPr>
        <w:t xml:space="preserve"> </w:t>
      </w:r>
      <w:r>
        <w:t>CONCLUSION</w:t>
      </w:r>
      <w:bookmarkEnd w:id="30"/>
      <w:r>
        <w:t xml:space="preserve"> </w:t>
      </w:r>
    </w:p>
    <w:p w14:paraId="5848CA66" w14:textId="77777777" w:rsidR="009B68EA" w:rsidRDefault="009B1B9B">
      <w:pPr>
        <w:pStyle w:val="Heading3"/>
        <w:ind w:left="-5" w:right="0"/>
      </w:pPr>
      <w:bookmarkStart w:id="31" w:name="_Toc138448125"/>
      <w:r>
        <w:t>5.1.</w:t>
      </w:r>
      <w:r>
        <w:rPr>
          <w:rFonts w:ascii="Arial" w:eastAsia="Arial" w:hAnsi="Arial" w:cs="Arial"/>
        </w:rPr>
        <w:t xml:space="preserve"> </w:t>
      </w:r>
      <w:r>
        <w:t>INTRODUCTION</w:t>
      </w:r>
      <w:bookmarkEnd w:id="31"/>
      <w:r>
        <w:t xml:space="preserve"> </w:t>
      </w:r>
    </w:p>
    <w:p w14:paraId="7B898F01" w14:textId="77777777" w:rsidR="009B68EA" w:rsidRDefault="009B1B9B">
      <w:pPr>
        <w:spacing w:after="219" w:line="358" w:lineRule="auto"/>
        <w:ind w:left="-5" w:right="85"/>
      </w:pPr>
      <w:r>
        <w:t xml:space="preserve">This study sought to establish the relationship between the capital transitional arrangement and systematic risk of the Kenyan banking sector. This chapter provides a conclusion of the study. It highlights the main findings, assesses the limitations of the study, and provides some suggestions for further research.  </w:t>
      </w:r>
    </w:p>
    <w:p w14:paraId="67402567" w14:textId="77777777" w:rsidR="009B68EA" w:rsidRDefault="009B1B9B">
      <w:pPr>
        <w:pStyle w:val="Heading3"/>
        <w:ind w:left="-5" w:right="0"/>
      </w:pPr>
      <w:bookmarkStart w:id="32" w:name="_Toc138448126"/>
      <w:r>
        <w:t>5.2.</w:t>
      </w:r>
      <w:r>
        <w:rPr>
          <w:rFonts w:ascii="Arial" w:eastAsia="Arial" w:hAnsi="Arial" w:cs="Arial"/>
        </w:rPr>
        <w:t xml:space="preserve"> </w:t>
      </w:r>
      <w:r>
        <w:t>SUMMARY OF THE RESULTS</w:t>
      </w:r>
      <w:bookmarkEnd w:id="32"/>
      <w:r>
        <w:t xml:space="preserve"> </w:t>
      </w:r>
    </w:p>
    <w:p w14:paraId="22E7CCFE" w14:textId="6C623F40" w:rsidR="009B68EA" w:rsidRDefault="009B1B9B">
      <w:pPr>
        <w:spacing w:after="201" w:line="357" w:lineRule="auto"/>
        <w:ind w:left="-5" w:right="85"/>
      </w:pPr>
      <w:r>
        <w:t>The main findings of this study are that the capital transitional arrangement led to a decrease in the systematic risk of the Kenyan banking sector. When the banking sector’s systematic risk was measured using the marginal expected shortfall, the relationship between CTA and systematic risk of the banking sector was found to be</w:t>
      </w:r>
      <w:r w:rsidR="00271CC7">
        <w:t xml:space="preserve"> slightly positive</w:t>
      </w:r>
      <w:r>
        <w:t xml:space="preserve"> but insignificant. However, when the systematic risk was measured using the delta CoVaR, the relationship between CTA and the banking sector’s systematic risk was found to be negative and statistically significant at 1% level of significance.  </w:t>
      </w:r>
      <w:r w:rsidR="00271CC7">
        <w:t>The different results are attributed to the different underlying concepts and methodologies of the two measures of systematic risk.</w:t>
      </w:r>
    </w:p>
    <w:p w14:paraId="31AFE751" w14:textId="77777777" w:rsidR="009B68EA" w:rsidRDefault="009B1B9B">
      <w:pPr>
        <w:spacing w:after="225" w:line="357" w:lineRule="auto"/>
        <w:ind w:left="-5" w:right="85"/>
      </w:pPr>
      <w:r>
        <w:t xml:space="preserve">The models had low adjusted r-squared values and highly significant intercepts. This may indicate that some hitherto unconsidered variables affect the systematic risk of the Kenyan banking sector. Further, none of the independent variables had a statistically significant relationship with the MES but yield differential and inflation rate had positive and statistically significant relationships with the delta </w:t>
      </w:r>
      <w:proofErr w:type="spellStart"/>
      <w:r>
        <w:t>CoVaRs</w:t>
      </w:r>
      <w:proofErr w:type="spellEnd"/>
      <w:r>
        <w:t xml:space="preserve"> of the banks.  </w:t>
      </w:r>
    </w:p>
    <w:p w14:paraId="4449ED5C" w14:textId="77777777" w:rsidR="009B68EA" w:rsidRDefault="009B1B9B">
      <w:pPr>
        <w:pStyle w:val="Heading3"/>
        <w:ind w:left="-5" w:right="0"/>
      </w:pPr>
      <w:bookmarkStart w:id="33" w:name="_Toc138448127"/>
      <w:r>
        <w:t>5.3.</w:t>
      </w:r>
      <w:r>
        <w:rPr>
          <w:rFonts w:ascii="Arial" w:eastAsia="Arial" w:hAnsi="Arial" w:cs="Arial"/>
        </w:rPr>
        <w:t xml:space="preserve"> </w:t>
      </w:r>
      <w:r>
        <w:t>LIMITATIONS OF THE STUDY</w:t>
      </w:r>
      <w:bookmarkEnd w:id="33"/>
      <w:r>
        <w:t xml:space="preserve"> </w:t>
      </w:r>
    </w:p>
    <w:p w14:paraId="6323C194" w14:textId="77777777" w:rsidR="009B68EA" w:rsidRDefault="009B1B9B">
      <w:pPr>
        <w:spacing w:after="196" w:line="361" w:lineRule="auto"/>
        <w:ind w:left="-5" w:right="85"/>
      </w:pPr>
      <w:r>
        <w:t xml:space="preserve">One of the limitations of the study is the small size of the sample. In Kenya, there are only 11 listed banks in the Nairobi Securities Exchange (NSE). Out of this 11, one is Bank of Kigali which was recently included and therefore not enough data was available to warrant its inclusion in the study’s sample. Furthermore, National Bank of Kenya was delisted and bought by the Kenya Commercial Bank Group. This limited the sample to just 9 banks. However, the Kenyan banking sector is comprised of 43 active commercial banks. Non-listed banks could not be included in this study due to the use of market-based measures of banking sector systematic risk.  </w:t>
      </w:r>
    </w:p>
    <w:p w14:paraId="696532B7" w14:textId="6128A8DE" w:rsidR="009B68EA" w:rsidRDefault="009B1B9B" w:rsidP="00271CC7">
      <w:pPr>
        <w:spacing w:line="358" w:lineRule="auto"/>
        <w:ind w:left="-5" w:right="85"/>
      </w:pPr>
      <w:r>
        <w:t xml:space="preserve">Another limitation of the study was the use of a limited number of control variables. To control for the effects variables other than the CTA period on the systematic risk of the Kenyan banking sector, </w:t>
      </w:r>
      <w:r>
        <w:lastRenderedPageBreak/>
        <w:t>three variables were included to the model. They were the</w:t>
      </w:r>
      <w:r w:rsidR="00271CC7">
        <w:t xml:space="preserve"> log total assets of the </w:t>
      </w:r>
      <w:proofErr w:type="gramStart"/>
      <w:r w:rsidR="00271CC7">
        <w:t>banks,</w:t>
      </w:r>
      <w:proofErr w:type="gramEnd"/>
      <w:r>
        <w:t xml:space="preserve"> the inflation rate and </w:t>
      </w:r>
      <w:r w:rsidR="00271CC7">
        <w:t xml:space="preserve">the log of </w:t>
      </w:r>
      <w:r>
        <w:t>broad money</w:t>
      </w:r>
      <w:r w:rsidR="00271CC7">
        <w:t xml:space="preserve"> were used as control variables.</w:t>
      </w:r>
      <w:r>
        <w:t xml:space="preserve"> </w:t>
      </w:r>
    </w:p>
    <w:p w14:paraId="6A577F4E" w14:textId="77777777" w:rsidR="009B68EA" w:rsidRDefault="009B1B9B">
      <w:pPr>
        <w:spacing w:after="224" w:line="358" w:lineRule="auto"/>
        <w:ind w:left="-5" w:right="85"/>
      </w:pPr>
      <w:r>
        <w:t xml:space="preserve">However, since the adjusted r-squared values were found to be low, this indicates that the variables included in the study had a low explanatory power. </w:t>
      </w:r>
    </w:p>
    <w:p w14:paraId="39BBB199" w14:textId="77777777" w:rsidR="009B68EA" w:rsidRDefault="009B1B9B">
      <w:pPr>
        <w:pStyle w:val="Heading3"/>
        <w:spacing w:after="100"/>
        <w:ind w:left="-5" w:right="0"/>
      </w:pPr>
      <w:bookmarkStart w:id="34" w:name="_Toc138448128"/>
      <w:r>
        <w:t>5.4.</w:t>
      </w:r>
      <w:r>
        <w:rPr>
          <w:rFonts w:ascii="Arial" w:eastAsia="Arial" w:hAnsi="Arial" w:cs="Arial"/>
        </w:rPr>
        <w:t xml:space="preserve"> </w:t>
      </w:r>
      <w:r>
        <w:t>RECOMMENDATIONS FOR FURTHER RESEARCH</w:t>
      </w:r>
      <w:bookmarkEnd w:id="34"/>
      <w:r>
        <w:t xml:space="preserve"> </w:t>
      </w:r>
    </w:p>
    <w:p w14:paraId="70990163" w14:textId="77777777" w:rsidR="009B68EA" w:rsidRDefault="009B1B9B">
      <w:pPr>
        <w:spacing w:after="201" w:line="358" w:lineRule="auto"/>
        <w:ind w:left="-5" w:right="85"/>
      </w:pPr>
      <w:r>
        <w:t xml:space="preserve">Further research can use book-based measures of systematic risk to permit the inclusion of all 43 commercial banks in Kenya to the study sample. This would give a more complete picture of the true effect between the Capital Transitional Arrangement and the systematic risk of the Kenyan banking sector. Also, further research can replicate this study towards the end of the CTA period to determine whether there was a more significant reduction in the systematic risk of the banking sector. Furthermore, further research can use control variables with more explanatory power in their modeling.  </w:t>
      </w:r>
    </w:p>
    <w:p w14:paraId="38D725C1" w14:textId="77777777" w:rsidR="009B68EA" w:rsidRDefault="009B1B9B">
      <w:pPr>
        <w:spacing w:after="180"/>
        <w:ind w:left="0" w:right="0" w:firstLine="0"/>
        <w:jc w:val="left"/>
      </w:pPr>
      <w:r>
        <w:t xml:space="preserve"> </w:t>
      </w:r>
    </w:p>
    <w:p w14:paraId="30D04172" w14:textId="77777777" w:rsidR="009B68EA" w:rsidRDefault="009B1B9B">
      <w:pPr>
        <w:spacing w:after="0"/>
        <w:ind w:left="0" w:right="0" w:firstLine="0"/>
        <w:jc w:val="left"/>
      </w:pPr>
      <w:r>
        <w:t xml:space="preserve"> </w:t>
      </w:r>
      <w:r>
        <w:tab/>
        <w:t xml:space="preserve"> </w:t>
      </w:r>
      <w:r>
        <w:br w:type="page"/>
      </w:r>
    </w:p>
    <w:p w14:paraId="406B6E35" w14:textId="77777777" w:rsidR="009B68EA" w:rsidRDefault="009B1B9B">
      <w:pPr>
        <w:pStyle w:val="Heading2"/>
        <w:ind w:left="-5"/>
      </w:pPr>
      <w:bookmarkStart w:id="35" w:name="_Toc138448129"/>
      <w:r>
        <w:lastRenderedPageBreak/>
        <w:t>6.</w:t>
      </w:r>
      <w:r>
        <w:rPr>
          <w:rFonts w:ascii="Arial" w:eastAsia="Arial" w:hAnsi="Arial" w:cs="Arial"/>
        </w:rPr>
        <w:t xml:space="preserve"> </w:t>
      </w:r>
      <w:r>
        <w:t>REFERENCES</w:t>
      </w:r>
      <w:bookmarkEnd w:id="35"/>
      <w:r>
        <w:t xml:space="preserve"> </w:t>
      </w:r>
    </w:p>
    <w:p w14:paraId="746FBF24" w14:textId="77777777" w:rsidR="009B68EA" w:rsidRDefault="009B1B9B" w:rsidP="002C149D">
      <w:pPr>
        <w:spacing w:line="368" w:lineRule="auto"/>
        <w:ind w:left="567" w:right="85" w:hanging="567"/>
      </w:pPr>
      <w:r>
        <w:t xml:space="preserve">Acharya, Viral, and Hassan Naqvi. 2012. “The Seeds of a Crisis: A Theory of Bank Liquidity and Risk Taking over the Business Cycle.” </w:t>
      </w:r>
      <w:r>
        <w:rPr>
          <w:i/>
        </w:rPr>
        <w:t>Journal of Financial Economics</w:t>
      </w:r>
      <w:r>
        <w:t xml:space="preserve"> 106 (2): 349–66. </w:t>
      </w:r>
      <w:hyperlink r:id="rId16">
        <w:r>
          <w:rPr>
            <w:color w:val="4472C4"/>
          </w:rPr>
          <w:t>https://doi.org/10.1016/j.jfineco.2012.05.014</w:t>
        </w:r>
      </w:hyperlink>
      <w:hyperlink r:id="rId17">
        <w:r>
          <w:t>.</w:t>
        </w:r>
      </w:hyperlink>
      <w:r>
        <w:t xml:space="preserve"> </w:t>
      </w:r>
    </w:p>
    <w:p w14:paraId="7E04CAC0" w14:textId="77777777" w:rsidR="009B68EA" w:rsidRDefault="009B1B9B" w:rsidP="00A82DD6">
      <w:pPr>
        <w:spacing w:after="30" w:line="359" w:lineRule="auto"/>
        <w:ind w:left="567" w:right="85" w:hanging="567"/>
      </w:pPr>
      <w:r>
        <w:t xml:space="preserve">Allen, Franklin, and Douglas Gale. 2000. “Bubbles and Crises.” </w:t>
      </w:r>
      <w:r>
        <w:rPr>
          <w:i/>
        </w:rPr>
        <w:t>The Economic Journal</w:t>
      </w:r>
      <w:r>
        <w:t xml:space="preserve"> 110 (460): 236–55. </w:t>
      </w:r>
      <w:hyperlink r:id="rId18">
        <w:r>
          <w:rPr>
            <w:color w:val="4472C4"/>
          </w:rPr>
          <w:t>https://doi.org/10.1111/1468</w:t>
        </w:r>
      </w:hyperlink>
      <w:hyperlink r:id="rId19">
        <w:r>
          <w:rPr>
            <w:color w:val="4472C4"/>
          </w:rPr>
          <w:t>-</w:t>
        </w:r>
      </w:hyperlink>
      <w:hyperlink r:id="rId20">
        <w:r>
          <w:rPr>
            <w:color w:val="4472C4"/>
          </w:rPr>
          <w:t>0297.00499</w:t>
        </w:r>
      </w:hyperlink>
      <w:hyperlink r:id="rId21">
        <w:r>
          <w:t>.</w:t>
        </w:r>
      </w:hyperlink>
      <w:r>
        <w:t xml:space="preserve"> </w:t>
      </w:r>
    </w:p>
    <w:p w14:paraId="5C3E9BDF" w14:textId="568DDD7A" w:rsidR="009B68EA" w:rsidRDefault="009B1B9B" w:rsidP="00A82DD6">
      <w:pPr>
        <w:spacing w:after="30" w:line="359" w:lineRule="auto"/>
        <w:ind w:left="567" w:right="85" w:hanging="567"/>
      </w:pPr>
      <w:r>
        <w:t xml:space="preserve">BCBS. 2017. “Regulatory Treatment of Accounting Provisions–Interim Approach </w:t>
      </w:r>
      <w:proofErr w:type="spellStart"/>
      <w:r>
        <w:t>andTransitional</w:t>
      </w:r>
      <w:proofErr w:type="spellEnd"/>
      <w:r>
        <w:t xml:space="preserve"> Arrangements.” Bank for International Settlements. </w:t>
      </w:r>
    </w:p>
    <w:p w14:paraId="68EE9B91" w14:textId="77777777" w:rsidR="009B68EA" w:rsidRDefault="009B1B9B" w:rsidP="00A82DD6">
      <w:pPr>
        <w:spacing w:after="30" w:line="359" w:lineRule="auto"/>
        <w:ind w:left="567" w:right="85" w:hanging="567"/>
        <w:jc w:val="left"/>
      </w:pPr>
      <w:r>
        <w:t xml:space="preserve">Cohen, Benjamin H., and Gerald Edwards. 2017. “The New Era of Expected Credit Loss </w:t>
      </w:r>
    </w:p>
    <w:p w14:paraId="24D2F68C" w14:textId="77777777" w:rsidR="009B68EA" w:rsidRDefault="009B1B9B" w:rsidP="00A82DD6">
      <w:pPr>
        <w:spacing w:after="30" w:line="359" w:lineRule="auto"/>
        <w:ind w:left="567" w:right="85" w:hanging="567"/>
        <w:jc w:val="left"/>
      </w:pPr>
      <w:r>
        <w:t xml:space="preserve">Provisioning.” SSRN Scholarly Paper. Rochester, NY. </w:t>
      </w:r>
      <w:hyperlink r:id="rId22">
        <w:r w:rsidRPr="00A82DD6">
          <w:t>https://papers.ssrn.com/abstract=2931474</w:t>
        </w:r>
      </w:hyperlink>
      <w:hyperlink r:id="rId23">
        <w:r>
          <w:t>.</w:t>
        </w:r>
      </w:hyperlink>
      <w:r>
        <w:t xml:space="preserve"> </w:t>
      </w:r>
    </w:p>
    <w:p w14:paraId="4C492FC7" w14:textId="77777777" w:rsidR="009B68EA" w:rsidRDefault="009B1B9B" w:rsidP="00A82DD6">
      <w:pPr>
        <w:spacing w:after="30" w:line="359" w:lineRule="auto"/>
        <w:ind w:left="567" w:right="85" w:hanging="567"/>
        <w:jc w:val="left"/>
      </w:pPr>
      <w:r>
        <w:t xml:space="preserve">Deloitte. 2019. “After the First Year of IFRS 9.” Deloitte United Kingdom. 2019. </w:t>
      </w:r>
    </w:p>
    <w:p w14:paraId="2EBAB3BF" w14:textId="77777777" w:rsidR="009B68EA" w:rsidRDefault="00000000" w:rsidP="00A82DD6">
      <w:pPr>
        <w:spacing w:after="30" w:line="359" w:lineRule="auto"/>
        <w:ind w:left="567" w:right="85" w:hanging="567"/>
        <w:jc w:val="left"/>
      </w:pPr>
      <w:hyperlink r:id="rId24">
        <w:r w:rsidR="009B1B9B" w:rsidRPr="00A82DD6">
          <w:t>https://www2.deloitte.com/uk/en/pages/financial</w:t>
        </w:r>
      </w:hyperlink>
      <w:hyperlink r:id="rId25">
        <w:r w:rsidR="009B1B9B" w:rsidRPr="00A82DD6">
          <w:t>-</w:t>
        </w:r>
      </w:hyperlink>
      <w:hyperlink r:id="rId26">
        <w:r w:rsidR="009B1B9B" w:rsidRPr="00A82DD6">
          <w:t>services/articles/after</w:t>
        </w:r>
      </w:hyperlink>
      <w:hyperlink r:id="rId27">
        <w:r w:rsidR="009B1B9B" w:rsidRPr="00A82DD6">
          <w:t>-</w:t>
        </w:r>
      </w:hyperlink>
      <w:hyperlink r:id="rId28">
        <w:r w:rsidR="009B1B9B" w:rsidRPr="00A82DD6">
          <w:t>the</w:t>
        </w:r>
      </w:hyperlink>
      <w:hyperlink r:id="rId29">
        <w:r w:rsidR="009B1B9B" w:rsidRPr="00A82DD6">
          <w:t>-</w:t>
        </w:r>
      </w:hyperlink>
      <w:hyperlink r:id="rId30">
        <w:r w:rsidR="009B1B9B" w:rsidRPr="00A82DD6">
          <w:t>first</w:t>
        </w:r>
      </w:hyperlink>
      <w:hyperlink r:id="rId31">
        <w:r w:rsidR="009B1B9B" w:rsidRPr="00A82DD6">
          <w:t>-</w:t>
        </w:r>
      </w:hyperlink>
      <w:hyperlink r:id="rId32">
        <w:r w:rsidR="009B1B9B" w:rsidRPr="00A82DD6">
          <w:t>year</w:t>
        </w:r>
      </w:hyperlink>
      <w:hyperlink r:id="rId33">
        <w:r w:rsidR="009B1B9B" w:rsidRPr="00A82DD6">
          <w:t>-</w:t>
        </w:r>
      </w:hyperlink>
      <w:hyperlink r:id="rId34">
        <w:r w:rsidR="009B1B9B" w:rsidRPr="00A82DD6">
          <w:t>of</w:t>
        </w:r>
      </w:hyperlink>
      <w:hyperlink r:id="rId35">
        <w:r w:rsidR="009B1B9B" w:rsidRPr="00A82DD6">
          <w:t>-</w:t>
        </w:r>
      </w:hyperlink>
      <w:hyperlink r:id="rId36">
        <w:r w:rsidR="009B1B9B" w:rsidRPr="00A82DD6">
          <w:t>ifrs</w:t>
        </w:r>
      </w:hyperlink>
      <w:hyperlink r:id="rId37">
        <w:r w:rsidR="009B1B9B" w:rsidRPr="00A82DD6">
          <w:t>-</w:t>
        </w:r>
      </w:hyperlink>
    </w:p>
    <w:p w14:paraId="4B8E60AE" w14:textId="77777777" w:rsidR="009B68EA" w:rsidRDefault="00000000" w:rsidP="00A82DD6">
      <w:pPr>
        <w:spacing w:after="30" w:line="359" w:lineRule="auto"/>
        <w:ind w:left="567" w:right="85" w:hanging="567"/>
        <w:jc w:val="left"/>
      </w:pPr>
      <w:hyperlink r:id="rId38">
        <w:r w:rsidR="009B1B9B" w:rsidRPr="00A82DD6">
          <w:t>9.html</w:t>
        </w:r>
      </w:hyperlink>
      <w:hyperlink r:id="rId39">
        <w:r w:rsidR="009B1B9B">
          <w:t>.</w:t>
        </w:r>
      </w:hyperlink>
      <w:r w:rsidR="009B1B9B">
        <w:t xml:space="preserve"> </w:t>
      </w:r>
    </w:p>
    <w:p w14:paraId="301FD931" w14:textId="77777777" w:rsidR="009B68EA" w:rsidRDefault="009B1B9B" w:rsidP="00A82DD6">
      <w:pPr>
        <w:spacing w:after="155"/>
        <w:ind w:left="567" w:right="85" w:hanging="567"/>
      </w:pPr>
      <w:r>
        <w:t xml:space="preserve">Dong, </w:t>
      </w:r>
      <w:proofErr w:type="spellStart"/>
      <w:r>
        <w:t>Minyue</w:t>
      </w:r>
      <w:proofErr w:type="spellEnd"/>
      <w:r>
        <w:t xml:space="preserve">, and Romain Oberson. 2021. “Moving Toward the Expected Credit Loss Model </w:t>
      </w:r>
    </w:p>
    <w:p w14:paraId="50DBE871" w14:textId="77777777" w:rsidR="009B68EA" w:rsidRDefault="009B1B9B" w:rsidP="00A82DD6">
      <w:pPr>
        <w:spacing w:after="40" w:line="355" w:lineRule="auto"/>
        <w:ind w:left="567" w:right="85" w:hanging="567"/>
      </w:pPr>
      <w:r>
        <w:t xml:space="preserve">Under IFRS 9: Capital Transitional Arrangement and Bank Systematic Risk.” </w:t>
      </w:r>
      <w:r>
        <w:rPr>
          <w:i/>
        </w:rPr>
        <w:t>Accounting and Business Research</w:t>
      </w:r>
      <w:r>
        <w:t xml:space="preserve"> 0 (0): 1–39. </w:t>
      </w:r>
      <w:hyperlink r:id="rId40">
        <w:r>
          <w:rPr>
            <w:color w:val="4472C4"/>
          </w:rPr>
          <w:t>https://doi.org/10.1080/00014788.2021.1952060</w:t>
        </w:r>
      </w:hyperlink>
      <w:hyperlink r:id="rId41">
        <w:r>
          <w:t>.</w:t>
        </w:r>
      </w:hyperlink>
      <w:r>
        <w:t xml:space="preserve"> </w:t>
      </w:r>
    </w:p>
    <w:p w14:paraId="1F71275F" w14:textId="77777777" w:rsidR="009B68EA" w:rsidRDefault="009B1B9B" w:rsidP="00A82DD6">
      <w:pPr>
        <w:spacing w:after="47" w:line="358" w:lineRule="auto"/>
        <w:ind w:left="567" w:right="85" w:hanging="567"/>
      </w:pPr>
      <w:r>
        <w:t xml:space="preserve">Elliott, Larry. 2011. “Global Financial Crisis: Five Key Stages 2007-2011.” </w:t>
      </w:r>
      <w:r>
        <w:rPr>
          <w:i/>
        </w:rPr>
        <w:t>The Guardian</w:t>
      </w:r>
      <w:r>
        <w:t xml:space="preserve">, August 7, 2011, sec. Business. </w:t>
      </w:r>
      <w:hyperlink r:id="rId42">
        <w:r>
          <w:rPr>
            <w:color w:val="4472C4"/>
          </w:rPr>
          <w:t>https://www.theguardian.com/business/2011/aug/07/global</w:t>
        </w:r>
      </w:hyperlink>
      <w:hyperlink r:id="rId43">
        <w:r>
          <w:rPr>
            <w:color w:val="4472C4"/>
          </w:rPr>
          <w:t>-</w:t>
        </w:r>
      </w:hyperlink>
      <w:hyperlink r:id="rId44">
        <w:r>
          <w:rPr>
            <w:color w:val="4472C4"/>
          </w:rPr>
          <w:t>financial</w:t>
        </w:r>
      </w:hyperlink>
      <w:hyperlink r:id="rId45"/>
      <w:hyperlink r:id="rId46">
        <w:r>
          <w:rPr>
            <w:color w:val="4472C4"/>
          </w:rPr>
          <w:t>crisis</w:t>
        </w:r>
      </w:hyperlink>
      <w:hyperlink r:id="rId47">
        <w:r>
          <w:rPr>
            <w:color w:val="4472C4"/>
          </w:rPr>
          <w:t>-</w:t>
        </w:r>
      </w:hyperlink>
      <w:hyperlink r:id="rId48">
        <w:r>
          <w:rPr>
            <w:color w:val="4472C4"/>
          </w:rPr>
          <w:t>key</w:t>
        </w:r>
      </w:hyperlink>
      <w:hyperlink r:id="rId49">
        <w:r>
          <w:rPr>
            <w:color w:val="4472C4"/>
          </w:rPr>
          <w:t>-</w:t>
        </w:r>
      </w:hyperlink>
      <w:hyperlink r:id="rId50">
        <w:r>
          <w:rPr>
            <w:color w:val="4472C4"/>
          </w:rPr>
          <w:t>stages</w:t>
        </w:r>
      </w:hyperlink>
      <w:hyperlink r:id="rId51">
        <w:r>
          <w:t>.</w:t>
        </w:r>
      </w:hyperlink>
      <w:r>
        <w:t xml:space="preserve"> </w:t>
      </w:r>
    </w:p>
    <w:p w14:paraId="530025B4" w14:textId="77777777" w:rsidR="009B68EA" w:rsidRDefault="009B1B9B" w:rsidP="00A82DD6">
      <w:pPr>
        <w:spacing w:after="110"/>
        <w:ind w:left="567" w:right="85" w:hanging="567"/>
      </w:pPr>
      <w:r>
        <w:t xml:space="preserve">European Banking Authority. 2018. “Report on IFRS 9 and Its Implementation.” </w:t>
      </w:r>
    </w:p>
    <w:p w14:paraId="47B33B17" w14:textId="77777777" w:rsidR="009B68EA" w:rsidRDefault="009B1B9B" w:rsidP="00A82DD6">
      <w:pPr>
        <w:spacing w:line="388" w:lineRule="auto"/>
        <w:ind w:left="567" w:right="85" w:hanging="567"/>
      </w:pPr>
      <w:r w:rsidRPr="00575933">
        <w:rPr>
          <w:lang w:val="de-DE"/>
        </w:rPr>
        <w:t xml:space="preserve">Groff, Maja Zaman, and Barbara Mörec. </w:t>
      </w:r>
      <w:r>
        <w:t xml:space="preserve">2021. “IFRS 9 Transition Effect on Equity in a Post Bank Recovery Environment: The Case of Slovenia.” </w:t>
      </w:r>
      <w:r>
        <w:rPr>
          <w:i/>
        </w:rPr>
        <w:t>Economic Research-</w:t>
      </w:r>
      <w:proofErr w:type="spellStart"/>
      <w:r>
        <w:rPr>
          <w:i/>
        </w:rPr>
        <w:t>Ekonomska</w:t>
      </w:r>
      <w:proofErr w:type="spellEnd"/>
      <w:r>
        <w:rPr>
          <w:i/>
        </w:rPr>
        <w:t xml:space="preserve"> </w:t>
      </w:r>
      <w:proofErr w:type="spellStart"/>
      <w:r>
        <w:rPr>
          <w:i/>
        </w:rPr>
        <w:t>Istraživanja</w:t>
      </w:r>
      <w:proofErr w:type="spellEnd"/>
      <w:r>
        <w:t xml:space="preserve"> 34 </w:t>
      </w:r>
    </w:p>
    <w:p w14:paraId="41EEACE2" w14:textId="77777777" w:rsidR="009B68EA" w:rsidRDefault="009B1B9B" w:rsidP="00A82DD6">
      <w:pPr>
        <w:spacing w:after="115"/>
        <w:ind w:left="567" w:right="0" w:hanging="567"/>
        <w:jc w:val="left"/>
      </w:pPr>
      <w:r>
        <w:t xml:space="preserve">(1): 670–86. </w:t>
      </w:r>
      <w:hyperlink r:id="rId52">
        <w:r>
          <w:rPr>
            <w:color w:val="4472C4"/>
          </w:rPr>
          <w:t>https://doi.org/10.1080/1331677X.2020.1804425</w:t>
        </w:r>
      </w:hyperlink>
      <w:hyperlink r:id="rId53">
        <w:r>
          <w:t>.</w:t>
        </w:r>
      </w:hyperlink>
      <w:r>
        <w:t xml:space="preserve"> </w:t>
      </w:r>
    </w:p>
    <w:p w14:paraId="7C6B3789" w14:textId="77777777" w:rsidR="009B68EA" w:rsidRDefault="009B1B9B" w:rsidP="00A82DD6">
      <w:pPr>
        <w:spacing w:after="115"/>
        <w:ind w:left="567" w:right="85" w:hanging="567"/>
      </w:pPr>
      <w:r>
        <w:t xml:space="preserve">Kothari, C. R. 2004. </w:t>
      </w:r>
      <w:r>
        <w:rPr>
          <w:i/>
        </w:rPr>
        <w:t>Research Methodology: Methods and Techniques</w:t>
      </w:r>
      <w:r>
        <w:t xml:space="preserve">. New Age International. </w:t>
      </w:r>
    </w:p>
    <w:p w14:paraId="383E7004" w14:textId="77777777" w:rsidR="009B68EA" w:rsidRDefault="009B1B9B" w:rsidP="00A82DD6">
      <w:pPr>
        <w:spacing w:after="157"/>
        <w:ind w:left="567" w:right="85" w:hanging="567"/>
      </w:pPr>
      <w:proofErr w:type="spellStart"/>
      <w:r>
        <w:t>Nkoro</w:t>
      </w:r>
      <w:proofErr w:type="spellEnd"/>
      <w:r>
        <w:t xml:space="preserve">, Emeka, and Aham Kelvin Uko. 2016. “Autoregressive Distributed Lag (ARDL) </w:t>
      </w:r>
    </w:p>
    <w:p w14:paraId="4E5C1CFF" w14:textId="77777777" w:rsidR="009B68EA" w:rsidRDefault="009B1B9B" w:rsidP="00A82DD6">
      <w:pPr>
        <w:spacing w:after="130"/>
        <w:ind w:left="567" w:right="85" w:hanging="567"/>
      </w:pPr>
      <w:r>
        <w:t xml:space="preserve">Cointegration Technique: Application and Interpretation,” 29. </w:t>
      </w:r>
    </w:p>
    <w:p w14:paraId="3ED150C8" w14:textId="77777777" w:rsidR="009B68EA" w:rsidRDefault="009B1B9B" w:rsidP="00A82DD6">
      <w:pPr>
        <w:spacing w:after="145"/>
        <w:ind w:left="567" w:right="85" w:hanging="567"/>
      </w:pPr>
      <w:r>
        <w:t xml:space="preserve">Novotny-Farkas, Zoltán. 2016. “The Interaction of the IFRS 9 Expected Loss Approach with </w:t>
      </w:r>
    </w:p>
    <w:p w14:paraId="7F14E2F1" w14:textId="77777777" w:rsidR="009B68EA" w:rsidRDefault="009B1B9B" w:rsidP="00A82DD6">
      <w:pPr>
        <w:spacing w:line="358" w:lineRule="auto"/>
        <w:ind w:left="567" w:right="85" w:hanging="567"/>
      </w:pPr>
      <w:r>
        <w:t xml:space="preserve">Supervisory Rules and Implications for Financial Stability.” </w:t>
      </w:r>
      <w:r>
        <w:rPr>
          <w:i/>
        </w:rPr>
        <w:t>Accounting in Europe</w:t>
      </w:r>
      <w:r>
        <w:t xml:space="preserve"> 13 (2): 197– 227. </w:t>
      </w:r>
      <w:hyperlink r:id="rId54">
        <w:r>
          <w:rPr>
            <w:color w:val="4472C4"/>
          </w:rPr>
          <w:t>https://doi.org/10.1080/17449480.2016.1210180</w:t>
        </w:r>
      </w:hyperlink>
      <w:hyperlink r:id="rId55">
        <w:r>
          <w:t>.</w:t>
        </w:r>
      </w:hyperlink>
      <w:r>
        <w:t xml:space="preserve"> </w:t>
      </w:r>
    </w:p>
    <w:p w14:paraId="3F25A09F" w14:textId="77777777" w:rsidR="00542BA7" w:rsidRPr="00542BA7" w:rsidRDefault="00542BA7" w:rsidP="00542BA7">
      <w:pPr>
        <w:pStyle w:val="Bibliography"/>
        <w:rPr>
          <w:szCs w:val="24"/>
        </w:rPr>
      </w:pPr>
      <w:proofErr w:type="spellStart"/>
      <w:r w:rsidRPr="00542BA7">
        <w:rPr>
          <w:szCs w:val="24"/>
        </w:rPr>
        <w:lastRenderedPageBreak/>
        <w:t>Pesaran</w:t>
      </w:r>
      <w:proofErr w:type="spellEnd"/>
      <w:r w:rsidRPr="00542BA7">
        <w:rPr>
          <w:szCs w:val="24"/>
        </w:rPr>
        <w:t xml:space="preserve">, M.H. (2006) ‘Estimation and Inference in Large Heterogeneous Panels with a Multifactor Error Structure’, </w:t>
      </w:r>
      <w:proofErr w:type="spellStart"/>
      <w:r w:rsidRPr="00542BA7">
        <w:rPr>
          <w:i/>
          <w:iCs/>
          <w:szCs w:val="24"/>
        </w:rPr>
        <w:t>Econometrica</w:t>
      </w:r>
      <w:proofErr w:type="spellEnd"/>
      <w:r w:rsidRPr="00542BA7">
        <w:rPr>
          <w:szCs w:val="24"/>
        </w:rPr>
        <w:t>, 74(4), pp. 967–1012. Available at: https://doi.org/10.1111/j.1468-0262.2006.00692.x.</w:t>
      </w:r>
    </w:p>
    <w:p w14:paraId="3C3101FA" w14:textId="672294C0" w:rsidR="00542BA7" w:rsidRPr="00542BA7" w:rsidRDefault="00542BA7" w:rsidP="00542BA7">
      <w:pPr>
        <w:pStyle w:val="Bibliography"/>
        <w:rPr>
          <w:szCs w:val="24"/>
        </w:rPr>
      </w:pPr>
      <w:proofErr w:type="spellStart"/>
      <w:r w:rsidRPr="00542BA7">
        <w:rPr>
          <w:szCs w:val="24"/>
        </w:rPr>
        <w:t>Pesaran</w:t>
      </w:r>
      <w:proofErr w:type="spellEnd"/>
      <w:r w:rsidRPr="00542BA7">
        <w:rPr>
          <w:szCs w:val="24"/>
        </w:rPr>
        <w:t xml:space="preserve">, M.H., Shin, Y. and Smith, R.P. (1999) ‘Pooled Mean Group Estimation of Dynamic Heterogeneous Panels’, </w:t>
      </w:r>
      <w:r w:rsidRPr="00542BA7">
        <w:rPr>
          <w:i/>
          <w:iCs/>
          <w:szCs w:val="24"/>
        </w:rPr>
        <w:t>Journal of the American Statistical Association</w:t>
      </w:r>
      <w:r w:rsidRPr="00542BA7">
        <w:rPr>
          <w:szCs w:val="24"/>
        </w:rPr>
        <w:t>, 94(446), pp. 621–634. Available at: https://doi.org/10.1080/01621459.1999.10474156.</w:t>
      </w:r>
    </w:p>
    <w:p w14:paraId="5F533308" w14:textId="77777777" w:rsidR="009B68EA" w:rsidRDefault="009B1B9B" w:rsidP="00A82DD6">
      <w:pPr>
        <w:spacing w:line="367" w:lineRule="auto"/>
        <w:ind w:left="567" w:right="85" w:hanging="567"/>
      </w:pPr>
      <w:r>
        <w:t xml:space="preserve">Sánchez Serrano, Antonio. 2018. “Financial stability consequences of the expected credit loss model in IFRS 9,” May. </w:t>
      </w:r>
      <w:hyperlink r:id="rId56">
        <w:r>
          <w:rPr>
            <w:color w:val="4472C4"/>
          </w:rPr>
          <w:t>https://repositorio.bde.es/handle/123456789/11273</w:t>
        </w:r>
      </w:hyperlink>
      <w:hyperlink r:id="rId57">
        <w:r>
          <w:t>.</w:t>
        </w:r>
      </w:hyperlink>
      <w:r>
        <w:t xml:space="preserve"> </w:t>
      </w:r>
    </w:p>
    <w:p w14:paraId="15D9A0F0" w14:textId="77777777" w:rsidR="009B68EA" w:rsidRDefault="009B1B9B" w:rsidP="00A82DD6">
      <w:pPr>
        <w:spacing w:line="364" w:lineRule="auto"/>
        <w:ind w:left="567" w:right="85" w:hanging="567"/>
      </w:pPr>
      <w:r>
        <w:t xml:space="preserve">Taylor, Daniel, and François Aubert. 2022. “IFRS-9 Adoption and Income Smoothing Nexus: A Comparison of the Post-Adoption Effects Between European and Sub-Saharan African Banks.” </w:t>
      </w:r>
      <w:r>
        <w:rPr>
          <w:i/>
        </w:rPr>
        <w:t>Journal of Accounting and Taxation</w:t>
      </w:r>
      <w:r>
        <w:t xml:space="preserve"> 14 (June): 189–202. </w:t>
      </w:r>
      <w:hyperlink r:id="rId58">
        <w:r>
          <w:rPr>
            <w:color w:val="4472C4"/>
          </w:rPr>
          <w:t>https://doi.org/10.5897/JAT2022.0539</w:t>
        </w:r>
      </w:hyperlink>
      <w:hyperlink r:id="rId59">
        <w:r>
          <w:t>.</w:t>
        </w:r>
      </w:hyperlink>
      <w:r>
        <w:t xml:space="preserve"> </w:t>
      </w:r>
    </w:p>
    <w:p w14:paraId="58FFC14C" w14:textId="77777777" w:rsidR="009B68EA" w:rsidRDefault="009B1B9B" w:rsidP="00A82DD6">
      <w:pPr>
        <w:spacing w:after="115"/>
        <w:ind w:left="567" w:right="85" w:hanging="567"/>
      </w:pPr>
      <w:proofErr w:type="spellStart"/>
      <w:r>
        <w:t>Yieke</w:t>
      </w:r>
      <w:proofErr w:type="spellEnd"/>
      <w:r>
        <w:t xml:space="preserve">, Lennox. n.d. “4 Effects of IFRS 9 on Kenya’s Banking Sector.” Accessed July 20, 2022. </w:t>
      </w:r>
    </w:p>
    <w:p w14:paraId="3DBE7A05" w14:textId="68E7D183" w:rsidR="009B68EA" w:rsidRDefault="00000000" w:rsidP="00542BA7">
      <w:pPr>
        <w:spacing w:after="390"/>
        <w:ind w:left="567" w:right="0" w:hanging="567"/>
        <w:jc w:val="left"/>
      </w:pPr>
      <w:hyperlink r:id="rId60">
        <w:r w:rsidR="009B1B9B">
          <w:rPr>
            <w:color w:val="4472C4"/>
          </w:rPr>
          <w:t>https://www.linkedin.com/pulse/4</w:t>
        </w:r>
      </w:hyperlink>
      <w:hyperlink r:id="rId61">
        <w:r w:rsidR="009B1B9B">
          <w:rPr>
            <w:color w:val="4472C4"/>
          </w:rPr>
          <w:t>-</w:t>
        </w:r>
      </w:hyperlink>
      <w:hyperlink r:id="rId62">
        <w:r w:rsidR="009B1B9B">
          <w:rPr>
            <w:color w:val="4472C4"/>
          </w:rPr>
          <w:t>effects</w:t>
        </w:r>
      </w:hyperlink>
      <w:hyperlink r:id="rId63">
        <w:r w:rsidR="009B1B9B">
          <w:rPr>
            <w:color w:val="4472C4"/>
          </w:rPr>
          <w:t>-</w:t>
        </w:r>
      </w:hyperlink>
      <w:hyperlink r:id="rId64">
        <w:r w:rsidR="009B1B9B">
          <w:rPr>
            <w:color w:val="4472C4"/>
          </w:rPr>
          <w:t>ifrs</w:t>
        </w:r>
      </w:hyperlink>
      <w:hyperlink r:id="rId65">
        <w:r w:rsidR="009B1B9B">
          <w:rPr>
            <w:color w:val="4472C4"/>
          </w:rPr>
          <w:t>-</w:t>
        </w:r>
      </w:hyperlink>
      <w:hyperlink r:id="rId66">
        <w:r w:rsidR="009B1B9B">
          <w:rPr>
            <w:color w:val="4472C4"/>
          </w:rPr>
          <w:t>9</w:t>
        </w:r>
      </w:hyperlink>
      <w:hyperlink r:id="rId67">
        <w:r w:rsidR="009B1B9B">
          <w:rPr>
            <w:color w:val="4472C4"/>
          </w:rPr>
          <w:t>-</w:t>
        </w:r>
      </w:hyperlink>
      <w:hyperlink r:id="rId68">
        <w:r w:rsidR="009B1B9B">
          <w:rPr>
            <w:color w:val="4472C4"/>
          </w:rPr>
          <w:t>kenyas</w:t>
        </w:r>
      </w:hyperlink>
      <w:hyperlink r:id="rId69">
        <w:r w:rsidR="009B1B9B">
          <w:rPr>
            <w:color w:val="4472C4"/>
          </w:rPr>
          <w:t>-</w:t>
        </w:r>
      </w:hyperlink>
      <w:hyperlink r:id="rId70">
        <w:r w:rsidR="009B1B9B">
          <w:rPr>
            <w:color w:val="4472C4"/>
          </w:rPr>
          <w:t>banking</w:t>
        </w:r>
      </w:hyperlink>
      <w:hyperlink r:id="rId71">
        <w:r w:rsidR="009B1B9B">
          <w:rPr>
            <w:color w:val="4472C4"/>
          </w:rPr>
          <w:t>-</w:t>
        </w:r>
      </w:hyperlink>
      <w:hyperlink r:id="rId72">
        <w:r w:rsidR="009B1B9B">
          <w:rPr>
            <w:color w:val="4472C4"/>
          </w:rPr>
          <w:t>sector</w:t>
        </w:r>
      </w:hyperlink>
      <w:hyperlink r:id="rId73">
        <w:r w:rsidR="009B1B9B">
          <w:rPr>
            <w:color w:val="4472C4"/>
          </w:rPr>
          <w:t>-</w:t>
        </w:r>
      </w:hyperlink>
      <w:hyperlink r:id="rId74">
        <w:r w:rsidR="009B1B9B">
          <w:rPr>
            <w:color w:val="4472C4"/>
          </w:rPr>
          <w:t>lennox</w:t>
        </w:r>
      </w:hyperlink>
      <w:hyperlink r:id="rId75">
        <w:r w:rsidR="009B1B9B">
          <w:rPr>
            <w:color w:val="4472C4"/>
          </w:rPr>
          <w:t>-</w:t>
        </w:r>
      </w:hyperlink>
      <w:hyperlink r:id="rId76">
        <w:r w:rsidR="009B1B9B">
          <w:rPr>
            <w:color w:val="4472C4"/>
          </w:rPr>
          <w:t>yieke</w:t>
        </w:r>
      </w:hyperlink>
      <w:hyperlink r:id="rId77">
        <w:r w:rsidR="009B1B9B">
          <w:t>.</w:t>
        </w:r>
      </w:hyperlink>
      <w:r w:rsidR="009B1B9B">
        <w:t xml:space="preserve"> </w:t>
      </w:r>
    </w:p>
    <w:sectPr w:rsidR="009B68EA" w:rsidSect="00542BA7">
      <w:pgSz w:w="12240" w:h="15840"/>
      <w:pgMar w:top="1451" w:right="1346" w:bottom="1439" w:left="1441"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Ferdinand Othieno" w:date="2023-02-10T11:09:00Z" w:initials="FO">
    <w:p w14:paraId="7B6B4C3B" w14:textId="043EA8E4" w:rsidR="002C149D" w:rsidRDefault="002C149D" w:rsidP="00603C54">
      <w:pPr>
        <w:pStyle w:val="CommentText"/>
        <w:ind w:left="0" w:firstLine="0"/>
        <w:jc w:val="left"/>
      </w:pPr>
      <w:r>
        <w:rPr>
          <w:rStyle w:val="CommentReference"/>
        </w:rPr>
        <w:annotationRef/>
      </w:r>
      <w:r>
        <w:t>Format numbering properly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B6B4C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90A479" w16cex:dateUtc="2023-02-10T08: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B6B4C3B" w16cid:durableId="2790A4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47D16" w14:textId="77777777" w:rsidR="00BF12EF" w:rsidRDefault="00BF12EF" w:rsidP="00542BA7">
      <w:pPr>
        <w:spacing w:after="0" w:line="240" w:lineRule="auto"/>
      </w:pPr>
      <w:r>
        <w:separator/>
      </w:r>
    </w:p>
  </w:endnote>
  <w:endnote w:type="continuationSeparator" w:id="0">
    <w:p w14:paraId="7D45783D" w14:textId="77777777" w:rsidR="00BF12EF" w:rsidRDefault="00BF12EF" w:rsidP="00542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6553824"/>
      <w:docPartObj>
        <w:docPartGallery w:val="Page Numbers (Bottom of Page)"/>
        <w:docPartUnique/>
      </w:docPartObj>
    </w:sdtPr>
    <w:sdtEndPr>
      <w:rPr>
        <w:noProof/>
      </w:rPr>
    </w:sdtEndPr>
    <w:sdtContent>
      <w:p w14:paraId="6AA18055" w14:textId="5B6818D4" w:rsidR="00542BA7" w:rsidRDefault="00542B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8C03CF" w14:textId="77777777" w:rsidR="00542BA7" w:rsidRDefault="00542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FCE91" w14:textId="77777777" w:rsidR="00BF12EF" w:rsidRDefault="00BF12EF" w:rsidP="00542BA7">
      <w:pPr>
        <w:spacing w:after="0" w:line="240" w:lineRule="auto"/>
      </w:pPr>
      <w:r>
        <w:separator/>
      </w:r>
    </w:p>
  </w:footnote>
  <w:footnote w:type="continuationSeparator" w:id="0">
    <w:p w14:paraId="7E966514" w14:textId="77777777" w:rsidR="00BF12EF" w:rsidRDefault="00BF12EF" w:rsidP="00542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69E83FF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324011D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47926F05"/>
    <w:multiLevelType w:val="hybridMultilevel"/>
    <w:tmpl w:val="FFFFFFFF"/>
    <w:lvl w:ilvl="0" w:tplc="CFD84DF4">
      <w:start w:val="1"/>
      <w:numFmt w:val="lowerRoman"/>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61FC0">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76814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A4A462">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DC0B8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B06C96">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48E3E8">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C683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E02C5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D2B1E70"/>
    <w:multiLevelType w:val="multilevel"/>
    <w:tmpl w:val="FFFFFFFF"/>
    <w:lvl w:ilvl="0">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78566860">
    <w:abstractNumId w:val="3"/>
  </w:num>
  <w:num w:numId="2" w16cid:durableId="109856845">
    <w:abstractNumId w:val="2"/>
  </w:num>
  <w:num w:numId="3" w16cid:durableId="1892644772">
    <w:abstractNumId w:val="0"/>
  </w:num>
  <w:num w:numId="4" w16cid:durableId="12578597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erdinand Othieno">
    <w15:presenceInfo w15:providerId="AD" w15:userId="S::FOthieno@o365.strathmore.edu::6876eafb-e49c-42ed-8ffe-9fdbc628cd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8EA"/>
    <w:rsid w:val="00100CE3"/>
    <w:rsid w:val="00271CC7"/>
    <w:rsid w:val="002C149D"/>
    <w:rsid w:val="00370293"/>
    <w:rsid w:val="003C56BE"/>
    <w:rsid w:val="00542BA7"/>
    <w:rsid w:val="00575933"/>
    <w:rsid w:val="00686B36"/>
    <w:rsid w:val="008738CA"/>
    <w:rsid w:val="009065A9"/>
    <w:rsid w:val="009B1B9B"/>
    <w:rsid w:val="009B68EA"/>
    <w:rsid w:val="00A82DD6"/>
    <w:rsid w:val="00AE3EC7"/>
    <w:rsid w:val="00B21CFA"/>
    <w:rsid w:val="00BF12EF"/>
    <w:rsid w:val="00E1211D"/>
    <w:rsid w:val="00FD0BC6"/>
  </w:rsids>
  <m:mathPr>
    <m:mathFont m:val="Cambria Math"/>
    <m:brkBin m:val="before"/>
    <m:brkBinSub m:val="--"/>
    <m:smallFrac m:val="0"/>
    <m:dispDef/>
    <m:lMargin m:val="0"/>
    <m:rMargin m:val="0"/>
    <m:defJc m:val="centerGroup"/>
    <m:wrapIndent m:val="1440"/>
    <m:intLim m:val="subSup"/>
    <m:naryLim m:val="undOvr"/>
  </m:mathPr>
  <w:themeFontLang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5A116"/>
  <w15:docId w15:val="{188F0622-78F2-D744-A9B0-465077F4C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9" w:lineRule="auto"/>
      <w:ind w:left="10" w:right="5" w:hanging="10"/>
      <w:jc w:val="both"/>
    </w:pPr>
    <w:rPr>
      <w:rFonts w:ascii="Times New Roman" w:eastAsia="Times New Roman" w:hAnsi="Times New Roman" w:cs="Times New Roman"/>
      <w:color w:val="000000"/>
      <w:sz w:val="24"/>
      <w:lang w:val="en-US" w:eastAsia="en-US" w:bidi="en-US"/>
    </w:rPr>
  </w:style>
  <w:style w:type="paragraph" w:styleId="Heading1">
    <w:name w:val="heading 1"/>
    <w:next w:val="Normal"/>
    <w:link w:val="Heading1Char"/>
    <w:uiPriority w:val="9"/>
    <w:qFormat/>
    <w:pPr>
      <w:keepNext/>
      <w:keepLines/>
      <w:spacing w:after="5" w:line="259" w:lineRule="auto"/>
      <w:ind w:right="96"/>
      <w:jc w:val="center"/>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line="259" w:lineRule="auto"/>
      <w:ind w:left="10" w:right="94"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line="259" w:lineRule="auto"/>
      <w:ind w:left="10"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line="259" w:lineRule="auto"/>
      <w:ind w:left="10" w:hanging="10"/>
      <w:outlineLvl w:val="4"/>
    </w:pPr>
    <w:rPr>
      <w:rFonts w:ascii="Times New Roman" w:eastAsia="Times New Roman" w:hAnsi="Times New Roman" w:cs="Times New Roman"/>
      <w:b/>
      <w:i/>
      <w:color w:val="000000"/>
      <w:sz w:val="24"/>
    </w:rPr>
  </w:style>
  <w:style w:type="paragraph" w:styleId="Heading6">
    <w:name w:val="heading 6"/>
    <w:next w:val="Normal"/>
    <w:link w:val="Heading6Char"/>
    <w:uiPriority w:val="9"/>
    <w:unhideWhenUsed/>
    <w:qFormat/>
    <w:pPr>
      <w:keepNext/>
      <w:keepLines/>
      <w:spacing w:line="259" w:lineRule="auto"/>
      <w:ind w:left="10" w:hanging="10"/>
      <w:outlineLvl w:val="5"/>
    </w:pPr>
    <w:rPr>
      <w:rFonts w:ascii="Times New Roman" w:eastAsia="Times New Roman" w:hAnsi="Times New Roman" w:cs="Times New Roman"/>
      <w:b/>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i/>
      <w:color w:val="000000"/>
      <w:sz w:val="24"/>
    </w:rPr>
  </w:style>
  <w:style w:type="character" w:customStyle="1" w:styleId="Heading6Char">
    <w:name w:val="Heading 6 Char"/>
    <w:link w:val="Heading6"/>
    <w:rPr>
      <w:rFonts w:ascii="Times New Roman" w:eastAsia="Times New Roman" w:hAnsi="Times New Roman" w:cs="Times New Roman"/>
      <w:b/>
      <w:i/>
      <w:color w:val="000000"/>
      <w:sz w:val="24"/>
    </w:rPr>
  </w:style>
  <w:style w:type="character" w:customStyle="1" w:styleId="Heading3Char">
    <w:name w:val="Heading 3 Char"/>
    <w:link w:val="Heading3"/>
    <w:rPr>
      <w:rFonts w:ascii="Times New Roman" w:eastAsia="Times New Roman" w:hAnsi="Times New Roman" w:cs="Times New Roman"/>
      <w:b/>
      <w:color w:val="000000"/>
      <w:sz w:val="26"/>
    </w:rPr>
  </w:style>
  <w:style w:type="table" w:customStyle="1" w:styleId="TableGrid">
    <w:name w:val="TableGrid"/>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2C149D"/>
    <w:rPr>
      <w:sz w:val="16"/>
      <w:szCs w:val="16"/>
    </w:rPr>
  </w:style>
  <w:style w:type="paragraph" w:styleId="CommentText">
    <w:name w:val="annotation text"/>
    <w:basedOn w:val="Normal"/>
    <w:link w:val="CommentTextChar"/>
    <w:uiPriority w:val="99"/>
    <w:unhideWhenUsed/>
    <w:rsid w:val="002C149D"/>
    <w:pPr>
      <w:spacing w:line="240" w:lineRule="auto"/>
    </w:pPr>
    <w:rPr>
      <w:sz w:val="20"/>
    </w:rPr>
  </w:style>
  <w:style w:type="character" w:customStyle="1" w:styleId="CommentTextChar">
    <w:name w:val="Comment Text Char"/>
    <w:basedOn w:val="DefaultParagraphFont"/>
    <w:link w:val="CommentText"/>
    <w:uiPriority w:val="99"/>
    <w:rsid w:val="002C149D"/>
    <w:rPr>
      <w:rFonts w:ascii="Times New Roman" w:eastAsia="Times New Roman" w:hAnsi="Times New Roman" w:cs="Times New Roman"/>
      <w:color w:val="000000"/>
      <w:sz w:val="20"/>
      <w:lang w:val="en-US" w:eastAsia="en-US" w:bidi="en-US"/>
    </w:rPr>
  </w:style>
  <w:style w:type="paragraph" w:styleId="CommentSubject">
    <w:name w:val="annotation subject"/>
    <w:basedOn w:val="CommentText"/>
    <w:next w:val="CommentText"/>
    <w:link w:val="CommentSubjectChar"/>
    <w:uiPriority w:val="99"/>
    <w:semiHidden/>
    <w:unhideWhenUsed/>
    <w:rsid w:val="002C149D"/>
    <w:rPr>
      <w:b/>
      <w:bCs/>
    </w:rPr>
  </w:style>
  <w:style w:type="character" w:customStyle="1" w:styleId="CommentSubjectChar">
    <w:name w:val="Comment Subject Char"/>
    <w:basedOn w:val="CommentTextChar"/>
    <w:link w:val="CommentSubject"/>
    <w:uiPriority w:val="99"/>
    <w:semiHidden/>
    <w:rsid w:val="002C149D"/>
    <w:rPr>
      <w:rFonts w:ascii="Times New Roman" w:eastAsia="Times New Roman" w:hAnsi="Times New Roman" w:cs="Times New Roman"/>
      <w:b/>
      <w:bCs/>
      <w:color w:val="000000"/>
      <w:sz w:val="20"/>
      <w:lang w:val="en-US" w:eastAsia="en-US" w:bidi="en-US"/>
    </w:rPr>
  </w:style>
  <w:style w:type="paragraph" w:styleId="Revision">
    <w:name w:val="Revision"/>
    <w:hidden/>
    <w:uiPriority w:val="99"/>
    <w:semiHidden/>
    <w:rsid w:val="002C149D"/>
    <w:rPr>
      <w:rFonts w:ascii="Times New Roman" w:eastAsia="Times New Roman" w:hAnsi="Times New Roman" w:cs="Times New Roman"/>
      <w:color w:val="000000"/>
      <w:sz w:val="24"/>
      <w:lang w:val="en-US" w:eastAsia="en-US" w:bidi="en-US"/>
    </w:rPr>
  </w:style>
  <w:style w:type="paragraph" w:styleId="BodyText">
    <w:name w:val="Body Text"/>
    <w:basedOn w:val="Normal"/>
    <w:link w:val="BodyTextChar"/>
    <w:qFormat/>
    <w:rsid w:val="00A82DD6"/>
    <w:pPr>
      <w:spacing w:before="180" w:after="180" w:line="240" w:lineRule="auto"/>
      <w:ind w:left="0" w:right="0" w:firstLine="0"/>
      <w:jc w:val="left"/>
    </w:pPr>
    <w:rPr>
      <w:rFonts w:asciiTheme="minorHAnsi" w:eastAsiaTheme="minorHAnsi" w:hAnsiTheme="minorHAnsi" w:cstheme="minorBidi"/>
      <w:color w:val="auto"/>
      <w:szCs w:val="24"/>
      <w:lang w:bidi="ar-SA"/>
    </w:rPr>
  </w:style>
  <w:style w:type="character" w:customStyle="1" w:styleId="BodyTextChar">
    <w:name w:val="Body Text Char"/>
    <w:basedOn w:val="DefaultParagraphFont"/>
    <w:link w:val="BodyText"/>
    <w:rsid w:val="00A82DD6"/>
    <w:rPr>
      <w:rFonts w:eastAsiaTheme="minorHAnsi"/>
      <w:sz w:val="24"/>
      <w:szCs w:val="24"/>
      <w:lang w:val="en-US" w:eastAsia="en-US" w:bidi="ar-SA"/>
    </w:rPr>
  </w:style>
  <w:style w:type="paragraph" w:customStyle="1" w:styleId="FirstParagraph">
    <w:name w:val="First Paragraph"/>
    <w:basedOn w:val="BodyText"/>
    <w:next w:val="BodyText"/>
    <w:qFormat/>
    <w:rsid w:val="00A82DD6"/>
  </w:style>
  <w:style w:type="character" w:styleId="PlaceholderText">
    <w:name w:val="Placeholder Text"/>
    <w:basedOn w:val="DefaultParagraphFont"/>
    <w:uiPriority w:val="99"/>
    <w:semiHidden/>
    <w:rsid w:val="00A82DD6"/>
    <w:rPr>
      <w:color w:val="808080"/>
    </w:rPr>
  </w:style>
  <w:style w:type="paragraph" w:styleId="Caption">
    <w:name w:val="caption"/>
    <w:basedOn w:val="Normal"/>
    <w:next w:val="Normal"/>
    <w:uiPriority w:val="35"/>
    <w:unhideWhenUsed/>
    <w:qFormat/>
    <w:rsid w:val="003C56BE"/>
    <w:pPr>
      <w:spacing w:after="200" w:line="240" w:lineRule="auto"/>
    </w:pPr>
    <w:rPr>
      <w:i/>
      <w:iCs/>
      <w:color w:val="44546A" w:themeColor="text2"/>
      <w:sz w:val="18"/>
      <w:szCs w:val="18"/>
    </w:rPr>
  </w:style>
  <w:style w:type="paragraph" w:styleId="Header">
    <w:name w:val="header"/>
    <w:basedOn w:val="Normal"/>
    <w:link w:val="HeaderChar"/>
    <w:uiPriority w:val="99"/>
    <w:unhideWhenUsed/>
    <w:rsid w:val="00542B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2BA7"/>
    <w:rPr>
      <w:rFonts w:ascii="Times New Roman" w:eastAsia="Times New Roman" w:hAnsi="Times New Roman" w:cs="Times New Roman"/>
      <w:color w:val="000000"/>
      <w:sz w:val="24"/>
      <w:lang w:val="en-US" w:eastAsia="en-US" w:bidi="en-US"/>
    </w:rPr>
  </w:style>
  <w:style w:type="paragraph" w:styleId="Footer">
    <w:name w:val="footer"/>
    <w:basedOn w:val="Normal"/>
    <w:link w:val="FooterChar"/>
    <w:uiPriority w:val="99"/>
    <w:unhideWhenUsed/>
    <w:rsid w:val="00542B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2BA7"/>
    <w:rPr>
      <w:rFonts w:ascii="Times New Roman" w:eastAsia="Times New Roman" w:hAnsi="Times New Roman" w:cs="Times New Roman"/>
      <w:color w:val="000000"/>
      <w:sz w:val="24"/>
      <w:lang w:val="en-US" w:eastAsia="en-US" w:bidi="en-US"/>
    </w:rPr>
  </w:style>
  <w:style w:type="paragraph" w:styleId="TOCHeading">
    <w:name w:val="TOC Heading"/>
    <w:basedOn w:val="Heading1"/>
    <w:next w:val="Normal"/>
    <w:uiPriority w:val="39"/>
    <w:unhideWhenUsed/>
    <w:qFormat/>
    <w:rsid w:val="00542BA7"/>
    <w:pPr>
      <w:spacing w:before="240" w:after="0"/>
      <w:ind w:right="0"/>
      <w:jc w:val="left"/>
      <w:outlineLvl w:val="9"/>
    </w:pPr>
    <w:rPr>
      <w:rFonts w:asciiTheme="majorHAnsi" w:eastAsiaTheme="majorEastAsia" w:hAnsiTheme="majorHAnsi" w:cstheme="majorBidi"/>
      <w:b w:val="0"/>
      <w:color w:val="2F5496" w:themeColor="accent1" w:themeShade="BF"/>
      <w:sz w:val="32"/>
      <w:szCs w:val="32"/>
      <w:lang w:val="en-US" w:eastAsia="en-US" w:bidi="ar-SA"/>
    </w:rPr>
  </w:style>
  <w:style w:type="paragraph" w:styleId="TOC1">
    <w:name w:val="toc 1"/>
    <w:basedOn w:val="Normal"/>
    <w:next w:val="Normal"/>
    <w:autoRedefine/>
    <w:uiPriority w:val="39"/>
    <w:unhideWhenUsed/>
    <w:rsid w:val="00542BA7"/>
    <w:pPr>
      <w:spacing w:after="100"/>
      <w:ind w:left="0"/>
    </w:pPr>
  </w:style>
  <w:style w:type="paragraph" w:styleId="TOC2">
    <w:name w:val="toc 2"/>
    <w:basedOn w:val="Normal"/>
    <w:next w:val="Normal"/>
    <w:autoRedefine/>
    <w:uiPriority w:val="39"/>
    <w:unhideWhenUsed/>
    <w:rsid w:val="00542BA7"/>
    <w:pPr>
      <w:spacing w:after="100"/>
      <w:ind w:left="240"/>
    </w:pPr>
  </w:style>
  <w:style w:type="paragraph" w:styleId="TOC3">
    <w:name w:val="toc 3"/>
    <w:basedOn w:val="Normal"/>
    <w:next w:val="Normal"/>
    <w:autoRedefine/>
    <w:uiPriority w:val="39"/>
    <w:unhideWhenUsed/>
    <w:rsid w:val="00542BA7"/>
    <w:pPr>
      <w:spacing w:after="100"/>
      <w:ind w:left="480"/>
    </w:pPr>
  </w:style>
  <w:style w:type="character" w:styleId="Hyperlink">
    <w:name w:val="Hyperlink"/>
    <w:basedOn w:val="DefaultParagraphFont"/>
    <w:uiPriority w:val="99"/>
    <w:unhideWhenUsed/>
    <w:rsid w:val="00542BA7"/>
    <w:rPr>
      <w:color w:val="0563C1" w:themeColor="hyperlink"/>
      <w:u w:val="single"/>
    </w:rPr>
  </w:style>
  <w:style w:type="paragraph" w:styleId="TableofFigures">
    <w:name w:val="table of figures"/>
    <w:basedOn w:val="Normal"/>
    <w:next w:val="Normal"/>
    <w:uiPriority w:val="99"/>
    <w:unhideWhenUsed/>
    <w:rsid w:val="00542BA7"/>
    <w:pPr>
      <w:spacing w:after="0"/>
      <w:ind w:left="0"/>
    </w:pPr>
  </w:style>
  <w:style w:type="paragraph" w:styleId="Bibliography">
    <w:name w:val="Bibliography"/>
    <w:basedOn w:val="Normal"/>
    <w:next w:val="Normal"/>
    <w:uiPriority w:val="37"/>
    <w:unhideWhenUsed/>
    <w:rsid w:val="00542BA7"/>
    <w:pPr>
      <w:spacing w:after="240" w:line="240" w:lineRule="auto"/>
      <w:ind w:left="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308480">
      <w:bodyDiv w:val="1"/>
      <w:marLeft w:val="0"/>
      <w:marRight w:val="0"/>
      <w:marTop w:val="0"/>
      <w:marBottom w:val="0"/>
      <w:divBdr>
        <w:top w:val="none" w:sz="0" w:space="0" w:color="auto"/>
        <w:left w:val="none" w:sz="0" w:space="0" w:color="auto"/>
        <w:bottom w:val="none" w:sz="0" w:space="0" w:color="auto"/>
        <w:right w:val="none" w:sz="0" w:space="0" w:color="auto"/>
      </w:divBdr>
    </w:div>
    <w:div w:id="847866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2.deloitte.com/uk/en/pages/financial-services/articles/after-the-first-year-of-ifrs-9.html" TargetMode="External"/><Relationship Id="rId21" Type="http://schemas.openxmlformats.org/officeDocument/2006/relationships/hyperlink" Target="https://doi.org/10.1111/1468-0297.00499" TargetMode="External"/><Relationship Id="rId42" Type="http://schemas.openxmlformats.org/officeDocument/2006/relationships/hyperlink" Target="https://www.theguardian.com/business/2011/aug/07/global-financial-crisis-key-stages" TargetMode="External"/><Relationship Id="rId47" Type="http://schemas.openxmlformats.org/officeDocument/2006/relationships/hyperlink" Target="https://www.theguardian.com/business/2011/aug/07/global-financial-crisis-key-stages" TargetMode="External"/><Relationship Id="rId63" Type="http://schemas.openxmlformats.org/officeDocument/2006/relationships/hyperlink" Target="https://www.linkedin.com/pulse/4-effects-ifrs-9-kenyas-banking-sector-lennox-yieke" TargetMode="External"/><Relationship Id="rId68" Type="http://schemas.openxmlformats.org/officeDocument/2006/relationships/hyperlink" Target="https://www.linkedin.com/pulse/4-effects-ifrs-9-kenyas-banking-sector-lennox-yieke" TargetMode="External"/><Relationship Id="rId16" Type="http://schemas.openxmlformats.org/officeDocument/2006/relationships/hyperlink" Target="https://doi.org/10.1016/j.jfineco.2012.05.014" TargetMode="External"/><Relationship Id="rId11" Type="http://schemas.microsoft.com/office/2016/09/relationships/commentsIds" Target="commentsIds.xml"/><Relationship Id="rId24" Type="http://schemas.openxmlformats.org/officeDocument/2006/relationships/hyperlink" Target="https://www2.deloitte.com/uk/en/pages/financial-services/articles/after-the-first-year-of-ifrs-9.html" TargetMode="External"/><Relationship Id="rId32" Type="http://schemas.openxmlformats.org/officeDocument/2006/relationships/hyperlink" Target="https://www2.deloitte.com/uk/en/pages/financial-services/articles/after-the-first-year-of-ifrs-9.html" TargetMode="External"/><Relationship Id="rId37" Type="http://schemas.openxmlformats.org/officeDocument/2006/relationships/hyperlink" Target="https://www2.deloitte.com/uk/en/pages/financial-services/articles/after-the-first-year-of-ifrs-9.html" TargetMode="External"/><Relationship Id="rId40" Type="http://schemas.openxmlformats.org/officeDocument/2006/relationships/hyperlink" Target="https://doi.org/10.1080/00014788.2021.1952060" TargetMode="External"/><Relationship Id="rId45" Type="http://schemas.openxmlformats.org/officeDocument/2006/relationships/hyperlink" Target="https://www.theguardian.com/business/2011/aug/07/global-financial-crisis-key-stages" TargetMode="External"/><Relationship Id="rId53" Type="http://schemas.openxmlformats.org/officeDocument/2006/relationships/hyperlink" Target="https://doi.org/10.1080/1331677X.2020.1804425" TargetMode="External"/><Relationship Id="rId58" Type="http://schemas.openxmlformats.org/officeDocument/2006/relationships/hyperlink" Target="https://doi.org/10.5897/JAT2022.0539" TargetMode="External"/><Relationship Id="rId66" Type="http://schemas.openxmlformats.org/officeDocument/2006/relationships/hyperlink" Target="https://www.linkedin.com/pulse/4-effects-ifrs-9-kenyas-banking-sector-lennox-yieke" TargetMode="External"/><Relationship Id="rId74" Type="http://schemas.openxmlformats.org/officeDocument/2006/relationships/hyperlink" Target="https://www.linkedin.com/pulse/4-effects-ifrs-9-kenyas-banking-sector-lennox-yieke" TargetMode="External"/><Relationship Id="rId79"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s://www.linkedin.com/pulse/4-effects-ifrs-9-kenyas-banking-sector-lennox-yieke" TargetMode="External"/><Relationship Id="rId19" Type="http://schemas.openxmlformats.org/officeDocument/2006/relationships/hyperlink" Target="https://doi.org/10.1111/1468-0297.00499" TargetMode="External"/><Relationship Id="rId14" Type="http://schemas.openxmlformats.org/officeDocument/2006/relationships/image" Target="media/image2.jpg"/><Relationship Id="rId22" Type="http://schemas.openxmlformats.org/officeDocument/2006/relationships/hyperlink" Target="https://papers.ssrn.com/abstract=2931474" TargetMode="External"/><Relationship Id="rId27" Type="http://schemas.openxmlformats.org/officeDocument/2006/relationships/hyperlink" Target="https://www2.deloitte.com/uk/en/pages/financial-services/articles/after-the-first-year-of-ifrs-9.html" TargetMode="External"/><Relationship Id="rId30" Type="http://schemas.openxmlformats.org/officeDocument/2006/relationships/hyperlink" Target="https://www2.deloitte.com/uk/en/pages/financial-services/articles/after-the-first-year-of-ifrs-9.html" TargetMode="External"/><Relationship Id="rId35" Type="http://schemas.openxmlformats.org/officeDocument/2006/relationships/hyperlink" Target="https://www2.deloitte.com/uk/en/pages/financial-services/articles/after-the-first-year-of-ifrs-9.html" TargetMode="External"/><Relationship Id="rId43" Type="http://schemas.openxmlformats.org/officeDocument/2006/relationships/hyperlink" Target="https://www.theguardian.com/business/2011/aug/07/global-financial-crisis-key-stages" TargetMode="External"/><Relationship Id="rId48" Type="http://schemas.openxmlformats.org/officeDocument/2006/relationships/hyperlink" Target="https://www.theguardian.com/business/2011/aug/07/global-financial-crisis-key-stages" TargetMode="External"/><Relationship Id="rId56" Type="http://schemas.openxmlformats.org/officeDocument/2006/relationships/hyperlink" Target="https://repositorio.bde.es/handle/123456789/11273" TargetMode="External"/><Relationship Id="rId64" Type="http://schemas.openxmlformats.org/officeDocument/2006/relationships/hyperlink" Target="https://www.linkedin.com/pulse/4-effects-ifrs-9-kenyas-banking-sector-lennox-yieke" TargetMode="External"/><Relationship Id="rId69" Type="http://schemas.openxmlformats.org/officeDocument/2006/relationships/hyperlink" Target="https://www.linkedin.com/pulse/4-effects-ifrs-9-kenyas-banking-sector-lennox-yieke" TargetMode="External"/><Relationship Id="rId77" Type="http://schemas.openxmlformats.org/officeDocument/2006/relationships/hyperlink" Target="https://www.linkedin.com/pulse/4-effects-ifrs-9-kenyas-banking-sector-lennox-yieke" TargetMode="External"/><Relationship Id="rId8" Type="http://schemas.openxmlformats.org/officeDocument/2006/relationships/footer" Target="footer1.xml"/><Relationship Id="rId51" Type="http://schemas.openxmlformats.org/officeDocument/2006/relationships/hyperlink" Target="https://www.theguardian.com/business/2011/aug/07/global-financial-crisis-key-stages" TargetMode="External"/><Relationship Id="rId72" Type="http://schemas.openxmlformats.org/officeDocument/2006/relationships/hyperlink" Target="https://www.linkedin.com/pulse/4-effects-ifrs-9-kenyas-banking-sector-lennox-yieke" TargetMode="External"/><Relationship Id="rId80" Type="http://schemas.openxmlformats.org/officeDocument/2006/relationships/theme" Target="theme/theme1.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doi.org/10.1016/j.jfineco.2012.05.014" TargetMode="External"/><Relationship Id="rId25" Type="http://schemas.openxmlformats.org/officeDocument/2006/relationships/hyperlink" Target="https://www2.deloitte.com/uk/en/pages/financial-services/articles/after-the-first-year-of-ifrs-9.html" TargetMode="External"/><Relationship Id="rId33" Type="http://schemas.openxmlformats.org/officeDocument/2006/relationships/hyperlink" Target="https://www2.deloitte.com/uk/en/pages/financial-services/articles/after-the-first-year-of-ifrs-9.html" TargetMode="External"/><Relationship Id="rId38" Type="http://schemas.openxmlformats.org/officeDocument/2006/relationships/hyperlink" Target="https://www2.deloitte.com/uk/en/pages/financial-services/articles/after-the-first-year-of-ifrs-9.html" TargetMode="External"/><Relationship Id="rId46" Type="http://schemas.openxmlformats.org/officeDocument/2006/relationships/hyperlink" Target="https://www.theguardian.com/business/2011/aug/07/global-financial-crisis-key-stages" TargetMode="External"/><Relationship Id="rId59" Type="http://schemas.openxmlformats.org/officeDocument/2006/relationships/hyperlink" Target="https://doi.org/10.5897/JAT2022.0539" TargetMode="External"/><Relationship Id="rId67" Type="http://schemas.openxmlformats.org/officeDocument/2006/relationships/hyperlink" Target="https://www.linkedin.com/pulse/4-effects-ifrs-9-kenyas-banking-sector-lennox-yieke" TargetMode="External"/><Relationship Id="rId20" Type="http://schemas.openxmlformats.org/officeDocument/2006/relationships/hyperlink" Target="https://doi.org/10.1111/1468-0297.00499" TargetMode="External"/><Relationship Id="rId41" Type="http://schemas.openxmlformats.org/officeDocument/2006/relationships/hyperlink" Target="https://doi.org/10.1080/00014788.2021.1952060" TargetMode="External"/><Relationship Id="rId54" Type="http://schemas.openxmlformats.org/officeDocument/2006/relationships/hyperlink" Target="https://doi.org/10.1080/17449480.2016.1210180" TargetMode="External"/><Relationship Id="rId62" Type="http://schemas.openxmlformats.org/officeDocument/2006/relationships/hyperlink" Target="https://www.linkedin.com/pulse/4-effects-ifrs-9-kenyas-banking-sector-lennox-yieke" TargetMode="External"/><Relationship Id="rId70" Type="http://schemas.openxmlformats.org/officeDocument/2006/relationships/hyperlink" Target="https://www.linkedin.com/pulse/4-effects-ifrs-9-kenyas-banking-sector-lennox-yieke" TargetMode="External"/><Relationship Id="rId75" Type="http://schemas.openxmlformats.org/officeDocument/2006/relationships/hyperlink" Target="https://www.linkedin.com/pulse/4-effects-ifrs-9-kenyas-banking-sector-lennox-yiek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hyperlink" Target="https://papers.ssrn.com/abstract=2931474" TargetMode="External"/><Relationship Id="rId28" Type="http://schemas.openxmlformats.org/officeDocument/2006/relationships/hyperlink" Target="https://www2.deloitte.com/uk/en/pages/financial-services/articles/after-the-first-year-of-ifrs-9.html" TargetMode="External"/><Relationship Id="rId36" Type="http://schemas.openxmlformats.org/officeDocument/2006/relationships/hyperlink" Target="https://www2.deloitte.com/uk/en/pages/financial-services/articles/after-the-first-year-of-ifrs-9.html" TargetMode="External"/><Relationship Id="rId49" Type="http://schemas.openxmlformats.org/officeDocument/2006/relationships/hyperlink" Target="https://www.theguardian.com/business/2011/aug/07/global-financial-crisis-key-stages" TargetMode="External"/><Relationship Id="rId57" Type="http://schemas.openxmlformats.org/officeDocument/2006/relationships/hyperlink" Target="https://repositorio.bde.es/handle/123456789/11273" TargetMode="External"/><Relationship Id="rId10" Type="http://schemas.microsoft.com/office/2011/relationships/commentsExtended" Target="commentsExtended.xml"/><Relationship Id="rId31" Type="http://schemas.openxmlformats.org/officeDocument/2006/relationships/hyperlink" Target="https://www2.deloitte.com/uk/en/pages/financial-services/articles/after-the-first-year-of-ifrs-9.html" TargetMode="External"/><Relationship Id="rId44" Type="http://schemas.openxmlformats.org/officeDocument/2006/relationships/hyperlink" Target="https://www.theguardian.com/business/2011/aug/07/global-financial-crisis-key-stages" TargetMode="External"/><Relationship Id="rId52" Type="http://schemas.openxmlformats.org/officeDocument/2006/relationships/hyperlink" Target="https://doi.org/10.1080/1331677X.2020.1804425" TargetMode="External"/><Relationship Id="rId60" Type="http://schemas.openxmlformats.org/officeDocument/2006/relationships/hyperlink" Target="https://www.linkedin.com/pulse/4-effects-ifrs-9-kenyas-banking-sector-lennox-yieke" TargetMode="External"/><Relationship Id="rId65" Type="http://schemas.openxmlformats.org/officeDocument/2006/relationships/hyperlink" Target="https://www.linkedin.com/pulse/4-effects-ifrs-9-kenyas-banking-sector-lennox-yieke" TargetMode="External"/><Relationship Id="rId73" Type="http://schemas.openxmlformats.org/officeDocument/2006/relationships/hyperlink" Target="https://www.linkedin.com/pulse/4-effects-ifrs-9-kenyas-banking-sector-lennox-yieke"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hyperlink" Target="https://doi.org/10.1111/1468-0297.00499" TargetMode="External"/><Relationship Id="rId39" Type="http://schemas.openxmlformats.org/officeDocument/2006/relationships/hyperlink" Target="https://www2.deloitte.com/uk/en/pages/financial-services/articles/after-the-first-year-of-ifrs-9.html" TargetMode="External"/><Relationship Id="rId34" Type="http://schemas.openxmlformats.org/officeDocument/2006/relationships/hyperlink" Target="https://www2.deloitte.com/uk/en/pages/financial-services/articles/after-the-first-year-of-ifrs-9.html" TargetMode="External"/><Relationship Id="rId50" Type="http://schemas.openxmlformats.org/officeDocument/2006/relationships/hyperlink" Target="https://www.theguardian.com/business/2011/aug/07/global-financial-crisis-key-stages" TargetMode="External"/><Relationship Id="rId55" Type="http://schemas.openxmlformats.org/officeDocument/2006/relationships/hyperlink" Target="https://doi.org/10.1080/17449480.2016.1210180" TargetMode="External"/><Relationship Id="rId76" Type="http://schemas.openxmlformats.org/officeDocument/2006/relationships/hyperlink" Target="https://www.linkedin.com/pulse/4-effects-ifrs-9-kenyas-banking-sector-lennox-yieke" TargetMode="External"/><Relationship Id="rId7" Type="http://schemas.openxmlformats.org/officeDocument/2006/relationships/endnotes" Target="endnotes.xml"/><Relationship Id="rId71" Type="http://schemas.openxmlformats.org/officeDocument/2006/relationships/hyperlink" Target="https://www.linkedin.com/pulse/4-effects-ifrs-9-kenyas-banking-sector-lennox-yieke" TargetMode="External"/><Relationship Id="rId2" Type="http://schemas.openxmlformats.org/officeDocument/2006/relationships/numbering" Target="numbering.xml"/><Relationship Id="rId29" Type="http://schemas.openxmlformats.org/officeDocument/2006/relationships/hyperlink" Target="https://www2.deloitte.com/uk/en/pages/financial-services/articles/after-the-first-year-of-ifrs-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D8A739-E3B0-4C88-9D85-A066E60F8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32</Pages>
  <Words>10292</Words>
  <Characters>58666</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James Lago</cp:lastModifiedBy>
  <cp:revision>11</cp:revision>
  <dcterms:created xsi:type="dcterms:W3CDTF">2023-02-08T07:55:00Z</dcterms:created>
  <dcterms:modified xsi:type="dcterms:W3CDTF">2023-11-27T16:08:00Z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2023-06-22T19:32:24Z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677296fc-fb30-4db7-93ae-92ff4dce5e75</vt:lpwstr>
  </property>
  <property fmtid="{D5CDD505-2E9C-101B-9397-08002B2CF9AE}" pid="7" name="MSIP_Label_defa4170-0d19-0005-0004-bc88714345d2_ActionId">
    <vt:lpwstr>d511f97d-2d61-4ba7-a030-273f94b37e0d</vt:lpwstr>
  </property>
  <property fmtid="{D5CDD505-2E9C-101B-9397-08002B2CF9AE}" pid="8" name="MSIP_Label_defa4170-0d19-0005-0004-bc88714345d2_ContentBits">
    <vt:lpwstr>0</vt:lpwstr>
  </property>
  <property fmtid="{D5CDD505-2E9C-101B-9397-08002B2CF9AE}" pid="9" name="ZOTERO_PREF_1">
    <vt:lpwstr>&lt;data data-version="3" zotero-version="6.0.26"&gt;&lt;session id="etrDRXAY"/&gt;&lt;style id="http://www.zotero.org/styles/harvard-cite-them-right" hasBibliography="1" bibliographyStyleHasBeenSet="1"/&gt;&lt;prefs&gt;&lt;pref name="fieldType" value="Field"/&gt;&lt;pref name="automatic</vt:lpwstr>
  </property>
  <property fmtid="{D5CDD505-2E9C-101B-9397-08002B2CF9AE}" pid="10" name="ZOTERO_PREF_2">
    <vt:lpwstr>JournalAbbreviations" value="true"/&gt;&lt;/prefs&gt;&lt;/data&gt;</vt:lpwstr>
  </property>
</Properties>
</file>