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2.0 -->
  <w:body>
    <w:p w:rsidR="00084ABD" w:rsidRPr="00511019" w:rsidP="001C18E5">
      <w:pPr>
        <w:pStyle w:val="Heading2"/>
        <w:jc w:val="both"/>
        <w:rPr>
          <w:rFonts w:cs="Arial"/>
        </w:rPr>
      </w:pPr>
      <w:r w:rsidRPr="00511019">
        <w:rPr>
          <w:rFonts w:cs="Arial"/>
        </w:rPr>
        <w:t>INTRODUCTION</w:t>
      </w:r>
    </w:p>
    <w:p w:rsidR="00B349A4" w:rsidRPr="00511019" w:rsidP="001C18E5">
      <w:pPr>
        <w:jc w:val="both"/>
        <w:rPr>
          <w:rFonts w:ascii="Arial" w:hAnsi="Arial" w:cs="Arial"/>
        </w:rPr>
      </w:pPr>
      <w:r w:rsidRPr="00511019">
        <w:rPr>
          <w:rFonts w:ascii="Arial" w:hAnsi="Arial" w:cs="Arial"/>
        </w:rPr>
        <w:t>This report seeks to determine if there is an association between education level and marital status ,if there is a difference in the income levels of married and divorced couples and what the confidence intervals of income are. This information may be useful for advertisers in deciding who to target with different advertisements. The data used in this analysis is for 2241 individuals. The variables are listed in Table 1.</w:t>
      </w:r>
    </w:p>
    <w:p w:rsidR="00423690" w:rsidRPr="00511019" w:rsidP="001C18E5">
      <w:pPr>
        <w:pStyle w:val="Caption"/>
        <w:keepNext/>
        <w:jc w:val="both"/>
        <w:rPr>
          <w:rFonts w:ascii="Arial" w:hAnsi="Arial" w:cs="Arial"/>
          <w:color w:val="auto"/>
        </w:rPr>
      </w:pPr>
      <w:r w:rsidRPr="00511019">
        <w:rPr>
          <w:rFonts w:ascii="Arial" w:hAnsi="Arial" w:cs="Arial"/>
          <w:color w:val="auto"/>
        </w:rPr>
        <w:t xml:space="preserve">Table </w:t>
      </w:r>
      <w:r w:rsidRPr="00511019">
        <w:rPr>
          <w:rFonts w:ascii="Arial" w:hAnsi="Arial" w:cs="Arial"/>
          <w:color w:val="auto"/>
        </w:rPr>
        <w:fldChar w:fldCharType="begin"/>
      </w:r>
      <w:r w:rsidRPr="00511019">
        <w:rPr>
          <w:rFonts w:ascii="Arial" w:hAnsi="Arial" w:cs="Arial"/>
          <w:color w:val="auto"/>
        </w:rPr>
        <w:instrText xml:space="preserve"> SEQ Table \* ARABIC </w:instrText>
      </w:r>
      <w:r w:rsidRPr="00511019">
        <w:rPr>
          <w:rFonts w:ascii="Arial" w:hAnsi="Arial" w:cs="Arial"/>
          <w:color w:val="auto"/>
        </w:rPr>
        <w:fldChar w:fldCharType="separate"/>
      </w:r>
      <w:r w:rsidRPr="00511019" w:rsidR="00511019">
        <w:rPr>
          <w:rFonts w:ascii="Arial" w:hAnsi="Arial" w:cs="Arial"/>
          <w:noProof/>
          <w:color w:val="auto"/>
        </w:rPr>
        <w:t>1</w:t>
      </w:r>
      <w:r w:rsidRPr="00511019">
        <w:rPr>
          <w:rFonts w:ascii="Arial" w:hAnsi="Arial" w:cs="Arial"/>
          <w:color w:val="auto"/>
        </w:rPr>
        <w:fldChar w:fldCharType="end"/>
      </w:r>
      <w:r w:rsidRPr="00511019">
        <w:rPr>
          <w:rFonts w:ascii="Arial" w:hAnsi="Arial" w:cs="Arial"/>
          <w:color w:val="auto"/>
        </w:rPr>
        <w:t>: Variables Used in this Analysis</w:t>
      </w:r>
    </w:p>
    <w:tbl>
      <w:tblPr>
        <w:tblStyle w:val="TableGrid"/>
        <w:tblW w:w="5000" w:type="pct"/>
        <w:tblLook w:val="04A0"/>
      </w:tblPr>
      <w:tblGrid>
        <w:gridCol w:w="3116"/>
        <w:gridCol w:w="3117"/>
        <w:gridCol w:w="3117"/>
      </w:tblGrid>
      <w:tr w:rsidTr="00423690">
        <w:tblPrEx>
          <w:tblW w:w="5000" w:type="pct"/>
          <w:tblLook w:val="04A0"/>
        </w:tblPrEx>
        <w:tc>
          <w:tcPr>
            <w:tcW w:w="1666" w:type="pct"/>
          </w:tcPr>
          <w:p w:rsidR="00423690" w:rsidRPr="00511019" w:rsidP="001C18E5">
            <w:pPr>
              <w:jc w:val="both"/>
              <w:rPr>
                <w:rFonts w:ascii="Arial" w:hAnsi="Arial" w:cs="Arial"/>
                <w:b/>
              </w:rPr>
            </w:pPr>
            <w:r w:rsidRPr="00511019">
              <w:rPr>
                <w:rFonts w:ascii="Arial" w:hAnsi="Arial" w:cs="Arial"/>
                <w:b/>
              </w:rPr>
              <w:t>Variable</w:t>
            </w:r>
          </w:p>
        </w:tc>
        <w:tc>
          <w:tcPr>
            <w:tcW w:w="1667" w:type="pct"/>
          </w:tcPr>
          <w:p w:rsidR="00423690" w:rsidRPr="00511019" w:rsidP="001C18E5">
            <w:pPr>
              <w:jc w:val="both"/>
              <w:rPr>
                <w:rFonts w:ascii="Arial" w:hAnsi="Arial" w:cs="Arial"/>
                <w:b/>
              </w:rPr>
            </w:pPr>
            <w:r w:rsidRPr="00511019">
              <w:rPr>
                <w:rFonts w:ascii="Arial" w:hAnsi="Arial" w:cs="Arial"/>
                <w:b/>
              </w:rPr>
              <w:t>Type</w:t>
            </w:r>
          </w:p>
        </w:tc>
        <w:tc>
          <w:tcPr>
            <w:tcW w:w="1667" w:type="pct"/>
          </w:tcPr>
          <w:p w:rsidR="00423690" w:rsidRPr="00511019" w:rsidP="001C18E5">
            <w:pPr>
              <w:jc w:val="both"/>
              <w:rPr>
                <w:rFonts w:ascii="Arial" w:hAnsi="Arial" w:cs="Arial"/>
                <w:b/>
              </w:rPr>
            </w:pPr>
            <w:r w:rsidRPr="00511019">
              <w:rPr>
                <w:rFonts w:ascii="Arial" w:hAnsi="Arial" w:cs="Arial"/>
                <w:b/>
              </w:rPr>
              <w:t>Value Range</w:t>
            </w:r>
          </w:p>
        </w:tc>
      </w:tr>
      <w:tr w:rsidTr="00423690">
        <w:tblPrEx>
          <w:tblW w:w="5000" w:type="pct"/>
          <w:tblLook w:val="04A0"/>
        </w:tblPrEx>
        <w:tc>
          <w:tcPr>
            <w:tcW w:w="1666" w:type="pct"/>
          </w:tcPr>
          <w:p w:rsidR="00423690" w:rsidRPr="00511019" w:rsidP="001C18E5">
            <w:pPr>
              <w:jc w:val="both"/>
              <w:rPr>
                <w:rFonts w:ascii="Arial" w:hAnsi="Arial" w:cs="Arial"/>
              </w:rPr>
            </w:pPr>
            <w:r w:rsidRPr="00511019">
              <w:rPr>
                <w:rFonts w:ascii="Arial" w:hAnsi="Arial" w:cs="Arial"/>
              </w:rPr>
              <w:t>Income</w:t>
            </w:r>
          </w:p>
        </w:tc>
        <w:tc>
          <w:tcPr>
            <w:tcW w:w="1667" w:type="pct"/>
          </w:tcPr>
          <w:p w:rsidR="00423690" w:rsidRPr="00511019" w:rsidP="001C18E5">
            <w:pPr>
              <w:jc w:val="both"/>
              <w:rPr>
                <w:rFonts w:ascii="Arial" w:hAnsi="Arial" w:cs="Arial"/>
              </w:rPr>
            </w:pPr>
            <w:r w:rsidRPr="00511019">
              <w:rPr>
                <w:rFonts w:ascii="Arial" w:hAnsi="Arial" w:cs="Arial"/>
              </w:rPr>
              <w:t>Integer</w:t>
            </w:r>
          </w:p>
        </w:tc>
        <w:tc>
          <w:tcPr>
            <w:tcW w:w="1667" w:type="pct"/>
          </w:tcPr>
          <w:p w:rsidR="00423690" w:rsidRPr="00511019" w:rsidP="001C18E5">
            <w:pPr>
              <w:jc w:val="both"/>
              <w:rPr>
                <w:rFonts w:ascii="Arial" w:hAnsi="Arial" w:cs="Arial"/>
              </w:rPr>
            </w:pPr>
            <w:r w:rsidRPr="00511019">
              <w:rPr>
                <w:rFonts w:ascii="Arial" w:hAnsi="Arial" w:cs="Arial"/>
              </w:rPr>
              <w:t>≥ 0</w:t>
            </w:r>
          </w:p>
        </w:tc>
      </w:tr>
      <w:tr w:rsidTr="00423690">
        <w:tblPrEx>
          <w:tblW w:w="5000" w:type="pct"/>
          <w:tblLook w:val="04A0"/>
        </w:tblPrEx>
        <w:tc>
          <w:tcPr>
            <w:tcW w:w="1666" w:type="pct"/>
          </w:tcPr>
          <w:p w:rsidR="00423690" w:rsidRPr="00511019" w:rsidP="001C18E5">
            <w:pPr>
              <w:jc w:val="both"/>
              <w:rPr>
                <w:rFonts w:ascii="Arial" w:hAnsi="Arial" w:cs="Arial"/>
              </w:rPr>
            </w:pPr>
            <w:r w:rsidRPr="00511019">
              <w:rPr>
                <w:rFonts w:ascii="Arial" w:hAnsi="Arial" w:cs="Arial"/>
              </w:rPr>
              <w:t>Marital Status</w:t>
            </w:r>
          </w:p>
        </w:tc>
        <w:tc>
          <w:tcPr>
            <w:tcW w:w="1667" w:type="pct"/>
          </w:tcPr>
          <w:p w:rsidR="00423690" w:rsidRPr="00511019" w:rsidP="001C18E5">
            <w:pPr>
              <w:jc w:val="both"/>
              <w:rPr>
                <w:rFonts w:ascii="Arial" w:hAnsi="Arial" w:cs="Arial"/>
              </w:rPr>
            </w:pPr>
            <w:r w:rsidRPr="00511019">
              <w:rPr>
                <w:rFonts w:ascii="Arial" w:hAnsi="Arial" w:cs="Arial"/>
              </w:rPr>
              <w:t>Categorical</w:t>
            </w:r>
          </w:p>
        </w:tc>
        <w:tc>
          <w:tcPr>
            <w:tcW w:w="1667" w:type="pct"/>
          </w:tcPr>
          <w:p w:rsidR="00423690" w:rsidRPr="00511019" w:rsidP="001C18E5">
            <w:pPr>
              <w:jc w:val="both"/>
              <w:rPr>
                <w:rFonts w:ascii="Arial" w:hAnsi="Arial" w:cs="Arial"/>
              </w:rPr>
            </w:pPr>
            <w:r w:rsidRPr="00511019">
              <w:rPr>
                <w:rFonts w:ascii="Arial" w:hAnsi="Arial" w:cs="Arial"/>
              </w:rPr>
              <w:t>Absurd, Alone, Divorced, Married, Single, Together, Widow, YOLO</w:t>
            </w:r>
          </w:p>
        </w:tc>
      </w:tr>
      <w:tr w:rsidTr="00423690">
        <w:tblPrEx>
          <w:tblW w:w="5000" w:type="pct"/>
          <w:tblLook w:val="04A0"/>
        </w:tblPrEx>
        <w:tc>
          <w:tcPr>
            <w:tcW w:w="1666" w:type="pct"/>
          </w:tcPr>
          <w:p w:rsidR="00423690" w:rsidRPr="00511019" w:rsidP="001C18E5">
            <w:pPr>
              <w:jc w:val="both"/>
              <w:rPr>
                <w:rFonts w:ascii="Arial" w:hAnsi="Arial" w:cs="Arial"/>
              </w:rPr>
            </w:pPr>
            <w:r w:rsidRPr="00511019">
              <w:rPr>
                <w:rFonts w:ascii="Arial" w:hAnsi="Arial" w:cs="Arial"/>
              </w:rPr>
              <w:t>Education Level</w:t>
            </w:r>
          </w:p>
        </w:tc>
        <w:tc>
          <w:tcPr>
            <w:tcW w:w="1667" w:type="pct"/>
          </w:tcPr>
          <w:p w:rsidR="00423690" w:rsidRPr="00511019" w:rsidP="001C18E5">
            <w:pPr>
              <w:jc w:val="both"/>
              <w:rPr>
                <w:rFonts w:ascii="Arial" w:hAnsi="Arial" w:cs="Arial"/>
              </w:rPr>
            </w:pPr>
            <w:r w:rsidRPr="00511019">
              <w:rPr>
                <w:rFonts w:ascii="Arial" w:hAnsi="Arial" w:cs="Arial"/>
              </w:rPr>
              <w:t>Categorical</w:t>
            </w:r>
          </w:p>
        </w:tc>
        <w:tc>
          <w:tcPr>
            <w:tcW w:w="1667" w:type="pct"/>
          </w:tcPr>
          <w:p w:rsidR="00423690" w:rsidRPr="00511019" w:rsidP="001C18E5">
            <w:pPr>
              <w:jc w:val="both"/>
              <w:rPr>
                <w:rFonts w:ascii="Arial" w:hAnsi="Arial" w:cs="Arial"/>
              </w:rPr>
            </w:pPr>
            <w:r w:rsidRPr="00511019">
              <w:rPr>
                <w:rFonts w:ascii="Arial" w:hAnsi="Arial" w:cs="Arial"/>
              </w:rPr>
              <w:t>Basic, Graduate, Master, PhD</w:t>
            </w:r>
          </w:p>
        </w:tc>
      </w:tr>
    </w:tbl>
    <w:p w:rsidR="00B349A4" w:rsidRPr="00511019" w:rsidP="001C18E5">
      <w:pPr>
        <w:jc w:val="both"/>
        <w:rPr>
          <w:rFonts w:ascii="Arial" w:hAnsi="Arial" w:cs="Arial"/>
        </w:rPr>
      </w:pPr>
    </w:p>
    <w:p w:rsidR="00B349A4" w:rsidRPr="00511019" w:rsidP="001C18E5">
      <w:pPr>
        <w:pStyle w:val="Heading2"/>
        <w:jc w:val="both"/>
        <w:rPr>
          <w:rFonts w:cs="Arial"/>
        </w:rPr>
      </w:pPr>
      <w:r w:rsidRPr="00511019">
        <w:rPr>
          <w:rFonts w:cs="Arial"/>
        </w:rPr>
        <w:t>STATISTICAL ANALYSIS</w:t>
      </w:r>
    </w:p>
    <w:p w:rsidR="00423690" w:rsidRPr="00511019" w:rsidP="001C18E5">
      <w:pPr>
        <w:pStyle w:val="Heading2"/>
        <w:jc w:val="both"/>
        <w:rPr>
          <w:rFonts w:cs="Arial"/>
        </w:rPr>
      </w:pPr>
      <w:r w:rsidRPr="00511019">
        <w:rPr>
          <w:rFonts w:cs="Arial"/>
        </w:rPr>
        <w:t>Testing for Association Between Marital Status and Education Level</w:t>
      </w:r>
    </w:p>
    <w:p w:rsidR="00423690" w:rsidRPr="00511019" w:rsidP="001C18E5">
      <w:pPr>
        <w:jc w:val="both"/>
        <w:rPr>
          <w:rFonts w:ascii="Arial" w:hAnsi="Arial" w:cs="Arial"/>
        </w:rPr>
      </w:pPr>
      <w:r w:rsidRPr="00511019">
        <w:rPr>
          <w:rFonts w:ascii="Arial" w:hAnsi="Arial" w:cs="Arial"/>
        </w:rPr>
        <w:t xml:space="preserve">A Chi-Square test for an association is used to determine if there is a statistically significant association between marital status and level of education in the U.S population. This test is used because both marital status and education level are categorical variables. </w:t>
      </w:r>
      <w:r w:rsidRPr="00511019" w:rsidR="0044050C">
        <w:rPr>
          <w:rFonts w:ascii="Arial" w:hAnsi="Arial" w:cs="Arial"/>
        </w:rPr>
        <w:t>This test assumes that the data is count data, the variables are independent and mutually exclusive and the values in the ‘expected’ cells are greater than five in not less than 80% of the cells. Table 2 and 3 below show the values of the observed and expected values.</w:t>
      </w:r>
    </w:p>
    <w:p w:rsidR="00511019" w:rsidRPr="00511019" w:rsidP="00511019">
      <w:pPr>
        <w:pStyle w:val="Caption"/>
        <w:keepNext/>
        <w:rPr>
          <w:color w:val="auto"/>
        </w:rPr>
      </w:pPr>
      <w:r w:rsidRPr="00511019">
        <w:rPr>
          <w:color w:val="auto"/>
        </w:rPr>
        <w:t xml:space="preserve">Table </w:t>
      </w:r>
      <w:r w:rsidRPr="00511019">
        <w:rPr>
          <w:color w:val="auto"/>
        </w:rPr>
        <w:fldChar w:fldCharType="begin"/>
      </w:r>
      <w:r w:rsidRPr="00511019">
        <w:rPr>
          <w:color w:val="auto"/>
        </w:rPr>
        <w:instrText xml:space="preserve"> SEQ Table \* ARABIC </w:instrText>
      </w:r>
      <w:r w:rsidRPr="00511019">
        <w:rPr>
          <w:color w:val="auto"/>
        </w:rPr>
        <w:fldChar w:fldCharType="separate"/>
      </w:r>
      <w:r w:rsidRPr="00511019">
        <w:rPr>
          <w:noProof/>
          <w:color w:val="auto"/>
        </w:rPr>
        <w:t>2</w:t>
      </w:r>
      <w:r w:rsidRPr="00511019">
        <w:rPr>
          <w:color w:val="auto"/>
        </w:rPr>
        <w:fldChar w:fldCharType="end"/>
      </w:r>
      <w:r w:rsidRPr="00511019">
        <w:rPr>
          <w:color w:val="auto"/>
        </w:rPr>
        <w:t>: Observed Values</w:t>
      </w:r>
    </w:p>
    <w:tbl>
      <w:tblPr>
        <w:tblW w:w="5000" w:type="pct"/>
        <w:tblLook w:val="04A0"/>
      </w:tblPr>
      <w:tblGrid>
        <w:gridCol w:w="2071"/>
        <w:gridCol w:w="1130"/>
        <w:gridCol w:w="1129"/>
        <w:gridCol w:w="1447"/>
        <w:gridCol w:w="1129"/>
        <w:gridCol w:w="1129"/>
        <w:gridCol w:w="1315"/>
      </w:tblGrid>
      <w:tr w:rsidTr="00511019">
        <w:tblPrEx>
          <w:tblW w:w="5000" w:type="pct"/>
          <w:tblLook w:val="04A0"/>
        </w:tblPrEx>
        <w:trPr>
          <w:trHeight w:val="300"/>
        </w:trPr>
        <w:tc>
          <w:tcPr>
            <w:tcW w:w="110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Observed</w:t>
            </w:r>
          </w:p>
        </w:tc>
        <w:tc>
          <w:tcPr>
            <w:tcW w:w="604"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2n Cycle</w:t>
            </w:r>
          </w:p>
        </w:tc>
        <w:tc>
          <w:tcPr>
            <w:tcW w:w="604"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Basic</w:t>
            </w:r>
          </w:p>
        </w:tc>
        <w:tc>
          <w:tcPr>
            <w:tcW w:w="774"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Graduation</w:t>
            </w:r>
          </w:p>
        </w:tc>
        <w:tc>
          <w:tcPr>
            <w:tcW w:w="604"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Master</w:t>
            </w:r>
          </w:p>
        </w:tc>
        <w:tc>
          <w:tcPr>
            <w:tcW w:w="604"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PhD</w:t>
            </w:r>
          </w:p>
        </w:tc>
        <w:tc>
          <w:tcPr>
            <w:tcW w:w="703"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Total</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Absurd</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Alone</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3</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Divorced</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23</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119</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37</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52</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232</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Married</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81</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20</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433</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138</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192</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864</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Single</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37</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18</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252</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75</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98</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480</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Together</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57</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14</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286</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106</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117</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580</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Widow</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5</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35</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12</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24</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77</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YOLO</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Total</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203</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54</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1127</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370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486</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2240</w:t>
            </w:r>
          </w:p>
        </w:tc>
      </w:tr>
    </w:tbl>
    <w:p w:rsidR="0044050C" w:rsidRPr="00511019" w:rsidP="001C18E5">
      <w:pPr>
        <w:jc w:val="both"/>
        <w:rPr>
          <w:rFonts w:ascii="Arial" w:hAnsi="Arial" w:cs="Arial"/>
        </w:rPr>
      </w:pPr>
    </w:p>
    <w:p w:rsidR="00511019" w:rsidRPr="00511019" w:rsidP="00511019">
      <w:pPr>
        <w:pStyle w:val="Caption"/>
        <w:keepNext/>
        <w:rPr>
          <w:color w:val="auto"/>
        </w:rPr>
      </w:pPr>
      <w:r w:rsidRPr="00511019">
        <w:rPr>
          <w:color w:val="auto"/>
        </w:rPr>
        <w:t xml:space="preserve">Table </w:t>
      </w:r>
      <w:r w:rsidRPr="00511019">
        <w:rPr>
          <w:color w:val="auto"/>
        </w:rPr>
        <w:fldChar w:fldCharType="begin"/>
      </w:r>
      <w:r w:rsidRPr="00511019">
        <w:rPr>
          <w:color w:val="auto"/>
        </w:rPr>
        <w:instrText xml:space="preserve"> SEQ Table \* ARABIC </w:instrText>
      </w:r>
      <w:r w:rsidRPr="00511019">
        <w:rPr>
          <w:color w:val="auto"/>
        </w:rPr>
        <w:fldChar w:fldCharType="separate"/>
      </w:r>
      <w:r w:rsidRPr="00511019">
        <w:rPr>
          <w:noProof/>
          <w:color w:val="auto"/>
        </w:rPr>
        <w:t>3</w:t>
      </w:r>
      <w:r w:rsidRPr="00511019">
        <w:rPr>
          <w:color w:val="auto"/>
        </w:rPr>
        <w:fldChar w:fldCharType="end"/>
      </w:r>
      <w:r w:rsidRPr="00511019">
        <w:rPr>
          <w:color w:val="auto"/>
        </w:rPr>
        <w:t>: Expected Values</w:t>
      </w:r>
    </w:p>
    <w:tbl>
      <w:tblPr>
        <w:tblW w:w="5000" w:type="pct"/>
        <w:tblLook w:val="04A0"/>
      </w:tblPr>
      <w:tblGrid>
        <w:gridCol w:w="2071"/>
        <w:gridCol w:w="1130"/>
        <w:gridCol w:w="1129"/>
        <w:gridCol w:w="1447"/>
        <w:gridCol w:w="1129"/>
        <w:gridCol w:w="1129"/>
        <w:gridCol w:w="1315"/>
      </w:tblGrid>
      <w:tr w:rsidTr="00511019">
        <w:tblPrEx>
          <w:tblW w:w="5000" w:type="pct"/>
          <w:tblLook w:val="04A0"/>
        </w:tblPrEx>
        <w:trPr>
          <w:trHeight w:val="300"/>
        </w:trPr>
        <w:tc>
          <w:tcPr>
            <w:tcW w:w="110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Expected</w:t>
            </w:r>
          </w:p>
        </w:tc>
        <w:tc>
          <w:tcPr>
            <w:tcW w:w="604"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2n Cycle</w:t>
            </w:r>
          </w:p>
        </w:tc>
        <w:tc>
          <w:tcPr>
            <w:tcW w:w="604"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Basic</w:t>
            </w:r>
          </w:p>
        </w:tc>
        <w:tc>
          <w:tcPr>
            <w:tcW w:w="774"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Graduation</w:t>
            </w:r>
          </w:p>
        </w:tc>
        <w:tc>
          <w:tcPr>
            <w:tcW w:w="604"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Master</w:t>
            </w:r>
          </w:p>
        </w:tc>
        <w:tc>
          <w:tcPr>
            <w:tcW w:w="604"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PhD</w:t>
            </w:r>
          </w:p>
        </w:tc>
        <w:tc>
          <w:tcPr>
            <w:tcW w:w="703" w:type="pct"/>
            <w:tcBorders>
              <w:top w:val="single" w:sz="4" w:space="0" w:color="auto"/>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Total</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Absurd</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0.18</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0.05</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1.01</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0.33</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0.43</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Alone</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0.27</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0.07</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1.51</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0.50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0.65</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3</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Divorced</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21.03</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5.59</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116.73</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38.32</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50.34</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232</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Married</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78.30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20.83</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434.70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142.71</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187.46</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864</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Single</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43.50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11.57</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241.50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79.29</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104.14</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480</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Together</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52.56</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13.98</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291.81</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95.80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125.84</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580</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Widow</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6.98</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1.86</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38.74</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12.72</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16.71</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77</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YOLO</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0.18</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0.05</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1.01</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0.33</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0.43</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w:t>
            </w:r>
          </w:p>
        </w:tc>
      </w:tr>
      <w:tr w:rsidTr="00511019">
        <w:tblPrEx>
          <w:tblW w:w="5000" w:type="pct"/>
          <w:tblLook w:val="04A0"/>
        </w:tblPrEx>
        <w:trPr>
          <w:trHeight w:val="300"/>
        </w:trPr>
        <w:tc>
          <w:tcPr>
            <w:tcW w:w="1107" w:type="pct"/>
            <w:tcBorders>
              <w:top w:val="nil"/>
              <w:left w:val="single" w:sz="4" w:space="0" w:color="auto"/>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b/>
              </w:rPr>
            </w:pPr>
            <w:r w:rsidRPr="0044050C">
              <w:rPr>
                <w:rFonts w:ascii="Arial" w:eastAsia="Times New Roman" w:hAnsi="Arial" w:cs="Arial"/>
                <w:b/>
              </w:rPr>
              <w:t>Total</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203</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54</w:t>
            </w:r>
          </w:p>
        </w:tc>
        <w:tc>
          <w:tcPr>
            <w:tcW w:w="77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1127</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370</w:t>
            </w:r>
          </w:p>
        </w:tc>
        <w:tc>
          <w:tcPr>
            <w:tcW w:w="604"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486</w:t>
            </w:r>
          </w:p>
        </w:tc>
        <w:tc>
          <w:tcPr>
            <w:tcW w:w="703" w:type="pct"/>
            <w:tcBorders>
              <w:top w:val="nil"/>
              <w:left w:val="nil"/>
              <w:bottom w:val="single" w:sz="4" w:space="0" w:color="auto"/>
              <w:right w:val="single" w:sz="4" w:space="0" w:color="auto"/>
            </w:tcBorders>
            <w:shd w:val="clear" w:color="auto" w:fill="auto"/>
            <w:noWrap/>
            <w:vAlign w:val="bottom"/>
            <w:hideMark/>
          </w:tcPr>
          <w:p w:rsidR="0044050C" w:rsidRPr="0044050C" w:rsidP="001C18E5">
            <w:pPr>
              <w:spacing w:after="0" w:line="240" w:lineRule="auto"/>
              <w:jc w:val="both"/>
              <w:rPr>
                <w:rFonts w:ascii="Arial" w:eastAsia="Times New Roman" w:hAnsi="Arial" w:cs="Arial"/>
              </w:rPr>
            </w:pPr>
            <w:r w:rsidRPr="0044050C">
              <w:rPr>
                <w:rFonts w:ascii="Arial" w:eastAsia="Times New Roman" w:hAnsi="Arial" w:cs="Arial"/>
              </w:rPr>
              <w:t>2240</w:t>
            </w:r>
          </w:p>
        </w:tc>
      </w:tr>
    </w:tbl>
    <w:p w:rsidR="0044050C" w:rsidRPr="00511019" w:rsidP="001C18E5">
      <w:pPr>
        <w:jc w:val="both"/>
        <w:rPr>
          <w:rFonts w:ascii="Arial" w:hAnsi="Arial" w:cs="Arial"/>
        </w:rPr>
      </w:pPr>
    </w:p>
    <w:p w:rsidR="0044050C" w:rsidRPr="00511019" w:rsidP="001C18E5">
      <w:pPr>
        <w:tabs>
          <w:tab w:val="left" w:pos="3120"/>
        </w:tabs>
        <w:jc w:val="both"/>
        <w:rPr>
          <w:rFonts w:ascii="Arial" w:hAnsi="Arial" w:cs="Arial"/>
        </w:rPr>
      </w:pPr>
      <w:r w:rsidRPr="00511019">
        <w:rPr>
          <w:rFonts w:ascii="Arial" w:hAnsi="Arial" w:cs="Arial"/>
        </w:rPr>
        <w:t>This analysis used 5% as the level of significance. The p-value was found to be 0.50 which is greater than the level of significance therefore the null hypothesis fails to be rejected. This result shows that there is no association between marital status and education level. This information can be used by markets in designing advertisements. In seeking to appeal to audiences of different levels of education, they should not look at marital status as a clue. Or, in seeking to appeal to an audience of different marital status</w:t>
      </w:r>
      <w:r w:rsidRPr="00511019" w:rsidR="00CD7162">
        <w:rPr>
          <w:rFonts w:ascii="Arial" w:hAnsi="Arial" w:cs="Arial"/>
        </w:rPr>
        <w:t>, they should design advertisements to accommodate an audience with at least a basic education. This result may be subjected to type I error.</w:t>
      </w:r>
      <w:r w:rsidRPr="00511019" w:rsidR="00B91CFD">
        <w:rPr>
          <w:rFonts w:ascii="Arial" w:hAnsi="Arial" w:cs="Arial"/>
        </w:rPr>
        <w:t xml:space="preserve"> </w:t>
      </w:r>
      <w:r w:rsidRPr="00511019">
        <w:rPr>
          <w:rFonts w:ascii="Arial" w:hAnsi="Arial" w:cs="Arial"/>
        </w:rPr>
        <w:t xml:space="preserve"> </w:t>
      </w:r>
    </w:p>
    <w:p w:rsidR="00B91CFD" w:rsidRPr="00511019" w:rsidP="001C18E5">
      <w:pPr>
        <w:pStyle w:val="Heading2"/>
        <w:jc w:val="both"/>
        <w:rPr>
          <w:rFonts w:cs="Arial"/>
        </w:rPr>
      </w:pPr>
      <w:r w:rsidRPr="00511019">
        <w:rPr>
          <w:rFonts w:cs="Arial"/>
        </w:rPr>
        <w:t>Income Difference Between Married and Divorced Couples</w:t>
      </w:r>
    </w:p>
    <w:p w:rsidR="00B91CFD" w:rsidRPr="00511019" w:rsidP="001C18E5">
      <w:pPr>
        <w:jc w:val="both"/>
        <w:rPr>
          <w:rFonts w:ascii="Arial" w:hAnsi="Arial" w:cs="Arial"/>
        </w:rPr>
      </w:pPr>
      <w:r w:rsidRPr="00511019">
        <w:rPr>
          <w:rFonts w:ascii="Arial" w:hAnsi="Arial" w:cs="Arial"/>
        </w:rPr>
        <w:t>A two-sample t-test with unequal variances is used to determine if there is a statistically significant difference in the average income of married and divorced couples. This test assumes that the data is normally distributed, independent and the two samples do not have equal variances. The null hypothesis is that there is no difference in the average incomes of married and divorced couples. The results are shown in Table 4.</w:t>
      </w:r>
    </w:p>
    <w:p w:rsidR="00511019" w:rsidRPr="00511019" w:rsidP="00511019">
      <w:pPr>
        <w:pStyle w:val="Caption"/>
        <w:keepNext/>
        <w:rPr>
          <w:color w:val="auto"/>
        </w:rPr>
      </w:pPr>
      <w:r w:rsidRPr="00511019">
        <w:rPr>
          <w:color w:val="auto"/>
        </w:rPr>
        <w:t xml:space="preserve">Table </w:t>
      </w:r>
      <w:r w:rsidRPr="00511019">
        <w:rPr>
          <w:color w:val="auto"/>
        </w:rPr>
        <w:fldChar w:fldCharType="begin"/>
      </w:r>
      <w:r w:rsidRPr="00511019">
        <w:rPr>
          <w:color w:val="auto"/>
        </w:rPr>
        <w:instrText xml:space="preserve"> SEQ Table \* ARABIC </w:instrText>
      </w:r>
      <w:r w:rsidRPr="00511019">
        <w:rPr>
          <w:color w:val="auto"/>
        </w:rPr>
        <w:fldChar w:fldCharType="separate"/>
      </w:r>
      <w:r w:rsidRPr="00511019">
        <w:rPr>
          <w:noProof/>
          <w:color w:val="auto"/>
        </w:rPr>
        <w:t>4</w:t>
      </w:r>
      <w:r w:rsidRPr="00511019">
        <w:rPr>
          <w:color w:val="auto"/>
        </w:rPr>
        <w:fldChar w:fldCharType="end"/>
      </w:r>
      <w:r w:rsidRPr="00511019">
        <w:rPr>
          <w:color w:val="auto"/>
        </w:rPr>
        <w:t>: Two-sample t-test results</w:t>
      </w:r>
    </w:p>
    <w:tbl>
      <w:tblPr>
        <w:tblW w:w="5000" w:type="pct"/>
        <w:tblLook w:val="04A0"/>
      </w:tblPr>
      <w:tblGrid>
        <w:gridCol w:w="6480"/>
        <w:gridCol w:w="1440"/>
        <w:gridCol w:w="1440"/>
      </w:tblGrid>
      <w:tr w:rsidTr="00B91CFD">
        <w:tblPrEx>
          <w:tblW w:w="5000" w:type="pct"/>
          <w:tblLook w:val="04A0"/>
        </w:tblPrEx>
        <w:trPr>
          <w:trHeight w:val="300"/>
        </w:trPr>
        <w:tc>
          <w:tcPr>
            <w:tcW w:w="3462" w:type="pct"/>
            <w:tcBorders>
              <w:top w:val="single" w:sz="8" w:space="0" w:color="auto"/>
              <w:left w:val="nil"/>
              <w:bottom w:val="single" w:sz="4" w:space="0" w:color="auto"/>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i/>
                <w:iCs/>
              </w:rPr>
            </w:pPr>
            <w:r w:rsidRPr="00B91CFD">
              <w:rPr>
                <w:rFonts w:ascii="Arial" w:eastAsia="Times New Roman" w:hAnsi="Arial" w:cs="Arial"/>
                <w:i/>
                <w:iCs/>
              </w:rPr>
              <w:t> </w:t>
            </w:r>
          </w:p>
        </w:tc>
        <w:tc>
          <w:tcPr>
            <w:tcW w:w="769" w:type="pct"/>
            <w:tcBorders>
              <w:top w:val="single" w:sz="8" w:space="0" w:color="auto"/>
              <w:left w:val="nil"/>
              <w:bottom w:val="single" w:sz="4" w:space="0" w:color="auto"/>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i/>
                <w:iCs/>
              </w:rPr>
            </w:pPr>
            <w:r w:rsidRPr="00B91CFD">
              <w:rPr>
                <w:rFonts w:ascii="Arial" w:eastAsia="Times New Roman" w:hAnsi="Arial" w:cs="Arial"/>
                <w:i/>
                <w:iCs/>
              </w:rPr>
              <w:t>Divorced</w:t>
            </w:r>
          </w:p>
        </w:tc>
        <w:tc>
          <w:tcPr>
            <w:tcW w:w="769" w:type="pct"/>
            <w:tcBorders>
              <w:top w:val="single" w:sz="8" w:space="0" w:color="auto"/>
              <w:left w:val="nil"/>
              <w:bottom w:val="single" w:sz="4" w:space="0" w:color="auto"/>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i/>
                <w:iCs/>
              </w:rPr>
            </w:pPr>
            <w:r w:rsidRPr="00B91CFD">
              <w:rPr>
                <w:rFonts w:ascii="Arial" w:eastAsia="Times New Roman" w:hAnsi="Arial" w:cs="Arial"/>
                <w:i/>
                <w:iCs/>
              </w:rPr>
              <w:t>Married</w:t>
            </w:r>
          </w:p>
        </w:tc>
      </w:tr>
      <w:tr w:rsidTr="00B91CFD">
        <w:tblPrEx>
          <w:tblW w:w="5000" w:type="pct"/>
          <w:tblLook w:val="04A0"/>
        </w:tblPrEx>
        <w:trPr>
          <w:trHeight w:val="300"/>
        </w:trPr>
        <w:tc>
          <w:tcPr>
            <w:tcW w:w="3462"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Mean</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14186.97</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51305.91</w:t>
            </w:r>
          </w:p>
        </w:tc>
      </w:tr>
      <w:tr w:rsidTr="00B91CFD">
        <w:tblPrEx>
          <w:tblW w:w="5000" w:type="pct"/>
          <w:tblLook w:val="04A0"/>
        </w:tblPrEx>
        <w:trPr>
          <w:trHeight w:val="300"/>
        </w:trPr>
        <w:tc>
          <w:tcPr>
            <w:tcW w:w="3462"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Variance</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6.7E+08</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4.78E+08</w:t>
            </w:r>
          </w:p>
        </w:tc>
      </w:tr>
      <w:tr w:rsidTr="00B91CFD">
        <w:tblPrEx>
          <w:tblW w:w="5000" w:type="pct"/>
          <w:tblLook w:val="04A0"/>
        </w:tblPrEx>
        <w:trPr>
          <w:trHeight w:val="300"/>
        </w:trPr>
        <w:tc>
          <w:tcPr>
            <w:tcW w:w="3462"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Observations</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864</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864</w:t>
            </w:r>
          </w:p>
        </w:tc>
      </w:tr>
      <w:tr w:rsidTr="00B91CFD">
        <w:tblPrEx>
          <w:tblW w:w="5000" w:type="pct"/>
          <w:tblLook w:val="04A0"/>
        </w:tblPrEx>
        <w:trPr>
          <w:trHeight w:val="300"/>
        </w:trPr>
        <w:tc>
          <w:tcPr>
            <w:tcW w:w="3462"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Hypothesized Mean Difference</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0</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p>
        </w:tc>
      </w:tr>
      <w:tr w:rsidTr="00B91CFD">
        <w:tblPrEx>
          <w:tblW w:w="5000" w:type="pct"/>
          <w:tblLook w:val="04A0"/>
        </w:tblPrEx>
        <w:trPr>
          <w:trHeight w:val="300"/>
        </w:trPr>
        <w:tc>
          <w:tcPr>
            <w:tcW w:w="3462"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df</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1679</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p>
        </w:tc>
      </w:tr>
      <w:tr w:rsidTr="00B91CFD">
        <w:tblPrEx>
          <w:tblW w:w="5000" w:type="pct"/>
          <w:tblLook w:val="04A0"/>
        </w:tblPrEx>
        <w:trPr>
          <w:trHeight w:val="300"/>
        </w:trPr>
        <w:tc>
          <w:tcPr>
            <w:tcW w:w="3462"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t Stat</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-32.2083</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p>
        </w:tc>
      </w:tr>
      <w:tr w:rsidTr="00B91CFD">
        <w:tblPrEx>
          <w:tblW w:w="5000" w:type="pct"/>
          <w:tblLook w:val="04A0"/>
        </w:tblPrEx>
        <w:trPr>
          <w:trHeight w:val="300"/>
        </w:trPr>
        <w:tc>
          <w:tcPr>
            <w:tcW w:w="3462"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P(T&lt;=t) one-tail</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6.2E-178</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p>
        </w:tc>
      </w:tr>
      <w:tr w:rsidTr="00B91CFD">
        <w:tblPrEx>
          <w:tblW w:w="5000" w:type="pct"/>
          <w:tblLook w:val="04A0"/>
        </w:tblPrEx>
        <w:trPr>
          <w:trHeight w:val="300"/>
        </w:trPr>
        <w:tc>
          <w:tcPr>
            <w:tcW w:w="3462"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t Critical one-tail</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1.645762</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p>
        </w:tc>
      </w:tr>
      <w:tr w:rsidTr="00B91CFD">
        <w:tblPrEx>
          <w:tblW w:w="5000" w:type="pct"/>
          <w:tblLook w:val="04A0"/>
        </w:tblPrEx>
        <w:trPr>
          <w:trHeight w:val="300"/>
        </w:trPr>
        <w:tc>
          <w:tcPr>
            <w:tcW w:w="3462"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P(T&lt;=t) two-tail</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1.2E-177</w:t>
            </w:r>
          </w:p>
        </w:tc>
        <w:tc>
          <w:tcPr>
            <w:tcW w:w="769" w:type="pct"/>
            <w:tcBorders>
              <w:top w:val="nil"/>
              <w:left w:val="nil"/>
              <w:bottom w:val="nil"/>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p>
        </w:tc>
      </w:tr>
      <w:tr w:rsidTr="00B91CFD">
        <w:tblPrEx>
          <w:tblW w:w="5000" w:type="pct"/>
          <w:tblLook w:val="04A0"/>
        </w:tblPrEx>
        <w:trPr>
          <w:trHeight w:val="315"/>
        </w:trPr>
        <w:tc>
          <w:tcPr>
            <w:tcW w:w="3462" w:type="pct"/>
            <w:tcBorders>
              <w:top w:val="nil"/>
              <w:left w:val="nil"/>
              <w:bottom w:val="single" w:sz="8" w:space="0" w:color="auto"/>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t Critical two-tail</w:t>
            </w:r>
          </w:p>
        </w:tc>
        <w:tc>
          <w:tcPr>
            <w:tcW w:w="769" w:type="pct"/>
            <w:tcBorders>
              <w:top w:val="nil"/>
              <w:left w:val="nil"/>
              <w:bottom w:val="single" w:sz="8" w:space="0" w:color="auto"/>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1.961378</w:t>
            </w:r>
          </w:p>
        </w:tc>
        <w:tc>
          <w:tcPr>
            <w:tcW w:w="769" w:type="pct"/>
            <w:tcBorders>
              <w:top w:val="nil"/>
              <w:left w:val="nil"/>
              <w:bottom w:val="single" w:sz="8" w:space="0" w:color="auto"/>
              <w:right w:val="nil"/>
            </w:tcBorders>
            <w:shd w:val="clear" w:color="auto" w:fill="auto"/>
            <w:noWrap/>
            <w:vAlign w:val="bottom"/>
            <w:hideMark/>
          </w:tcPr>
          <w:p w:rsidR="00B91CFD" w:rsidRPr="00B91CFD" w:rsidP="001C18E5">
            <w:pPr>
              <w:spacing w:after="0" w:line="240" w:lineRule="auto"/>
              <w:jc w:val="both"/>
              <w:rPr>
                <w:rFonts w:ascii="Arial" w:eastAsia="Times New Roman" w:hAnsi="Arial" w:cs="Arial"/>
              </w:rPr>
            </w:pPr>
            <w:r w:rsidRPr="00B91CFD">
              <w:rPr>
                <w:rFonts w:ascii="Arial" w:eastAsia="Times New Roman" w:hAnsi="Arial" w:cs="Arial"/>
              </w:rPr>
              <w:t> </w:t>
            </w:r>
          </w:p>
        </w:tc>
      </w:tr>
    </w:tbl>
    <w:p w:rsidR="00B91CFD" w:rsidRPr="00511019" w:rsidP="001C18E5">
      <w:pPr>
        <w:jc w:val="both"/>
        <w:rPr>
          <w:rFonts w:ascii="Arial" w:hAnsi="Arial" w:cs="Arial"/>
        </w:rPr>
      </w:pPr>
    </w:p>
    <w:p w:rsidR="00B91CFD" w:rsidRPr="00511019" w:rsidP="001C18E5">
      <w:pPr>
        <w:jc w:val="both"/>
        <w:rPr>
          <w:rFonts w:ascii="Arial" w:hAnsi="Arial" w:cs="Arial"/>
        </w:rPr>
      </w:pPr>
      <w:r w:rsidRPr="00511019">
        <w:rPr>
          <w:rFonts w:ascii="Arial" w:hAnsi="Arial" w:cs="Arial"/>
        </w:rPr>
        <w:t xml:space="preserve">The level of significance was taken to be 5%. The p-value was found to be 1.2E-177 which is less than the level of significance hence the null hypothesis is rejected and it is concluded that there is a </w:t>
      </w:r>
      <w:r w:rsidRPr="00511019" w:rsidR="001C18E5">
        <w:rPr>
          <w:rFonts w:ascii="Arial" w:hAnsi="Arial" w:cs="Arial"/>
        </w:rPr>
        <w:t xml:space="preserve">statistically significant </w:t>
      </w:r>
      <w:r w:rsidRPr="00511019">
        <w:rPr>
          <w:rFonts w:ascii="Arial" w:hAnsi="Arial" w:cs="Arial"/>
        </w:rPr>
        <w:t xml:space="preserve">difference in the average incomes </w:t>
      </w:r>
      <w:r w:rsidRPr="00511019" w:rsidR="001C18E5">
        <w:rPr>
          <w:rFonts w:ascii="Arial" w:hAnsi="Arial" w:cs="Arial"/>
        </w:rPr>
        <w:t xml:space="preserve">of married and divorced couples. This implies that further study needs to be conducted to determine what the income levels for the different marital groups are so that advertisers can target price-differentiated products to the appropriate groups. </w:t>
      </w:r>
    </w:p>
    <w:p w:rsidR="001C18E5" w:rsidRPr="00511019" w:rsidP="001C18E5">
      <w:pPr>
        <w:pStyle w:val="Heading2"/>
      </w:pPr>
      <w:r w:rsidRPr="00511019">
        <w:t>Income Level Confidence Intervals</w:t>
      </w:r>
    </w:p>
    <w:p w:rsidR="001C18E5" w:rsidRPr="00511019" w:rsidP="001C18E5">
      <w:r w:rsidRPr="00511019">
        <w:t>In a study of sales predictive analytics,</w:t>
      </w:r>
      <w:r w:rsidR="00CE3A81">
        <w:t xml:space="preserve"> </w:t>
      </w:r>
      <w:r w:rsidR="00CE3A81">
        <w:fldChar w:fldCharType="begin"/>
      </w:r>
      <w:r w:rsidR="00CE3A81">
        <w:instrText xml:space="preserve"> ADDIN ZOTERO_ITEM CSL_CITATION {"citationID":"DfZXugMn","properties":{"formattedCitation":"(Mahammad, 2021)","plainCitation":"(Mahammad, 2021)","noteIndex":0},"citationItems":[{"id":2086,"uris":["http://zotero.org/users/local/XXne8Mwc/items/8LWAWTAA"],"uri":["http://zotero.org/users/local/XXne8Mwc/items/8LWAWTAA"],"itemData":{"id":2086,"type":"webpage","abstract":"In this paper, we look at the use of deep-gaining knowledge of models for sales predictive analytics. The important goal of this paper is to do not forget foremost tactics and case research of using deep getting to know for sales forecasting. The effect of deep learning generalization has been considered. This impact can be used to make sales predictions when there is a small quantity of historical records for specific sales time within the case when a brand new product or keep is launched. A stacking technique for building regression ensemble of single fashions has been studied. The results display that the use of stacking techniques, we will enhance the performance of predictive models for sales time.","language":"en-US","title":"Ads Sales Prediction Using Deep Learning | Think India Journal","URL":"https://thinkindiaquarterly.org/index.php/think-india/article/view/19255","author":[{"family":"Mahammad","given":"Naresh Naik K","suffix":"G Sravan Kumar,Salar"}],"accessed":{"date-parts":[["2022",1,12]]},"issued":{"date-parts":[["2021"]]}}}],"schema":"https://github.com/citation-style-language/schema/raw/master/csl-citation.json"} </w:instrText>
      </w:r>
      <w:r w:rsidR="00CE3A81">
        <w:fldChar w:fldCharType="separate"/>
      </w:r>
      <w:r w:rsidRPr="00CE3A81" w:rsidR="00CE3A81">
        <w:rPr>
          <w:rFonts w:ascii="Calibri" w:hAnsi="Calibri" w:cs="Calibri"/>
        </w:rPr>
        <w:t xml:space="preserve">Mahammad </w:t>
      </w:r>
      <w:r w:rsidR="00CE3A81">
        <w:rPr>
          <w:rFonts w:ascii="Calibri" w:hAnsi="Calibri" w:cs="Calibri"/>
        </w:rPr>
        <w:t>(</w:t>
      </w:r>
      <w:r w:rsidRPr="00CE3A81" w:rsidR="00CE3A81">
        <w:rPr>
          <w:rFonts w:ascii="Calibri" w:hAnsi="Calibri" w:cs="Calibri"/>
        </w:rPr>
        <w:t>2021)</w:t>
      </w:r>
      <w:r w:rsidR="00CE3A81">
        <w:fldChar w:fldCharType="end"/>
      </w:r>
      <w:r w:rsidR="00CE3A81">
        <w:t xml:space="preserve"> </w:t>
      </w:r>
      <w:r w:rsidRPr="00511019">
        <w:t xml:space="preserve">argues that income is an important predictive factor for the volume of sales. </w:t>
      </w:r>
      <w:r w:rsidRPr="00511019" w:rsidR="00511019">
        <w:t>This implies that advertisers should study income distributions to determine which products are likely to perform well in the market. In light of this, confidence intervals for income level were constructed and are presented in table 5.</w:t>
      </w:r>
    </w:p>
    <w:p w:rsidR="00511019" w:rsidRPr="00511019" w:rsidP="00511019">
      <w:pPr>
        <w:pStyle w:val="Caption"/>
        <w:keepNext/>
        <w:rPr>
          <w:color w:val="auto"/>
        </w:rPr>
      </w:pPr>
      <w:r w:rsidRPr="00511019">
        <w:rPr>
          <w:color w:val="auto"/>
        </w:rPr>
        <w:t xml:space="preserve">Table </w:t>
      </w:r>
      <w:r w:rsidRPr="00511019">
        <w:rPr>
          <w:color w:val="auto"/>
        </w:rPr>
        <w:fldChar w:fldCharType="begin"/>
      </w:r>
      <w:r w:rsidRPr="00511019">
        <w:rPr>
          <w:color w:val="auto"/>
        </w:rPr>
        <w:instrText xml:space="preserve"> SEQ Table \* ARABIC </w:instrText>
      </w:r>
      <w:r w:rsidRPr="00511019">
        <w:rPr>
          <w:color w:val="auto"/>
        </w:rPr>
        <w:fldChar w:fldCharType="separate"/>
      </w:r>
      <w:r w:rsidRPr="00511019">
        <w:rPr>
          <w:noProof/>
          <w:color w:val="auto"/>
        </w:rPr>
        <w:t>5</w:t>
      </w:r>
      <w:r w:rsidRPr="00511019">
        <w:rPr>
          <w:color w:val="auto"/>
        </w:rPr>
        <w:fldChar w:fldCharType="end"/>
      </w:r>
      <w:r w:rsidRPr="00511019">
        <w:rPr>
          <w:color w:val="auto"/>
        </w:rPr>
        <w:t>: Confidence Intervals for Income Levels</w:t>
      </w:r>
    </w:p>
    <w:tbl>
      <w:tblPr>
        <w:tblW w:w="5000" w:type="pct"/>
        <w:tblLook w:val="04A0"/>
      </w:tblPr>
      <w:tblGrid>
        <w:gridCol w:w="3742"/>
        <w:gridCol w:w="3742"/>
        <w:gridCol w:w="1866"/>
      </w:tblGrid>
      <w:tr w:rsidTr="00511019">
        <w:tblPrEx>
          <w:tblW w:w="5000" w:type="pct"/>
          <w:tblLook w:val="04A0"/>
        </w:tblPrEx>
        <w:trPr>
          <w:trHeight w:val="300"/>
        </w:trPr>
        <w:tc>
          <w:tcPr>
            <w:tcW w:w="200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C18E5" w:rsidRPr="001C18E5" w:rsidP="001C18E5">
            <w:pPr>
              <w:spacing w:after="0" w:line="240" w:lineRule="auto"/>
              <w:jc w:val="center"/>
              <w:rPr>
                <w:rFonts w:ascii="Calibri" w:eastAsia="Times New Roman" w:hAnsi="Calibri" w:cs="Calibri"/>
                <w:i/>
                <w:iCs/>
              </w:rPr>
            </w:pPr>
            <w:r w:rsidRPr="001C18E5">
              <w:rPr>
                <w:rFonts w:ascii="Calibri" w:eastAsia="Times New Roman" w:hAnsi="Calibri" w:cs="Calibri"/>
                <w:i/>
                <w:iCs/>
              </w:rPr>
              <w:t xml:space="preserve">Income </w:t>
            </w:r>
          </w:p>
        </w:tc>
        <w:tc>
          <w:tcPr>
            <w:tcW w:w="2001" w:type="pct"/>
            <w:tcBorders>
              <w:top w:val="single" w:sz="4" w:space="0" w:color="auto"/>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i/>
                <w:iCs/>
              </w:rPr>
            </w:pPr>
            <w:r w:rsidRPr="001C18E5">
              <w:rPr>
                <w:rFonts w:ascii="Calibri" w:eastAsia="Times New Roman" w:hAnsi="Calibri" w:cs="Calibri"/>
                <w:i/>
                <w:iCs/>
              </w:rPr>
              <w:t> </w:t>
            </w:r>
          </w:p>
        </w:tc>
        <w:tc>
          <w:tcPr>
            <w:tcW w:w="999" w:type="pct"/>
            <w:tcBorders>
              <w:top w:val="single" w:sz="4" w:space="0" w:color="auto"/>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i/>
                <w:iCs/>
              </w:rPr>
            </w:pPr>
            <w:r w:rsidRPr="001C18E5">
              <w:rPr>
                <w:rFonts w:ascii="Calibri" w:eastAsia="Times New Roman" w:hAnsi="Calibri" w:cs="Calibri"/>
                <w:i/>
                <w:iCs/>
              </w:rPr>
              <w:t> </w:t>
            </w:r>
          </w:p>
        </w:tc>
      </w:tr>
      <w:tr w:rsidTr="00511019">
        <w:tblPrEx>
          <w:tblW w:w="5000" w:type="pct"/>
          <w:tblLook w:val="04A0"/>
        </w:tblPrEx>
        <w:trPr>
          <w:trHeight w:val="300"/>
        </w:trPr>
        <w:tc>
          <w:tcPr>
            <w:tcW w:w="2001" w:type="pct"/>
            <w:tcBorders>
              <w:top w:val="nil"/>
              <w:left w:val="single" w:sz="4" w:space="0" w:color="auto"/>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Confidence Level</w:t>
            </w:r>
            <w:r w:rsidRPr="00511019">
              <w:rPr>
                <w:rFonts w:ascii="Calibri" w:eastAsia="Times New Roman" w:hAnsi="Calibri" w:cs="Calibri"/>
              </w:rPr>
              <w:t xml:space="preserve"> </w:t>
            </w:r>
            <w:r w:rsidRPr="001C18E5">
              <w:rPr>
                <w:rFonts w:ascii="Calibri" w:eastAsia="Times New Roman" w:hAnsi="Calibri" w:cs="Calibri"/>
              </w:rPr>
              <w:t>(90.0%)</w:t>
            </w:r>
          </w:p>
        </w:tc>
        <w:tc>
          <w:tcPr>
            <w:tcW w:w="2001"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Lower Limit</w:t>
            </w:r>
          </w:p>
        </w:tc>
        <w:tc>
          <w:tcPr>
            <w:tcW w:w="999"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jc w:val="right"/>
              <w:rPr>
                <w:rFonts w:ascii="Calibri" w:eastAsia="Times New Roman" w:hAnsi="Calibri" w:cs="Calibri"/>
              </w:rPr>
            </w:pPr>
            <w:r w:rsidRPr="001C18E5">
              <w:rPr>
                <w:rFonts w:ascii="Calibri" w:eastAsia="Times New Roman" w:hAnsi="Calibri" w:cs="Calibri"/>
              </w:rPr>
              <w:t>$51,367.30</w:t>
            </w:r>
          </w:p>
        </w:tc>
      </w:tr>
      <w:tr w:rsidTr="00511019">
        <w:tblPrEx>
          <w:tblW w:w="5000" w:type="pct"/>
          <w:tblLook w:val="04A0"/>
        </w:tblPrEx>
        <w:trPr>
          <w:trHeight w:val="315"/>
        </w:trPr>
        <w:tc>
          <w:tcPr>
            <w:tcW w:w="2001" w:type="pct"/>
            <w:tcBorders>
              <w:top w:val="nil"/>
              <w:left w:val="single" w:sz="4" w:space="0" w:color="auto"/>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 </w:t>
            </w:r>
          </w:p>
        </w:tc>
        <w:tc>
          <w:tcPr>
            <w:tcW w:w="2001"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Upper Limit</w:t>
            </w:r>
          </w:p>
        </w:tc>
        <w:tc>
          <w:tcPr>
            <w:tcW w:w="999"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jc w:val="right"/>
              <w:rPr>
                <w:rFonts w:ascii="Calibri" w:eastAsia="Times New Roman" w:hAnsi="Calibri" w:cs="Calibri"/>
              </w:rPr>
            </w:pPr>
            <w:r w:rsidRPr="001C18E5">
              <w:rPr>
                <w:rFonts w:ascii="Calibri" w:eastAsia="Times New Roman" w:hAnsi="Calibri" w:cs="Calibri"/>
              </w:rPr>
              <w:t>$53,127.21</w:t>
            </w:r>
          </w:p>
        </w:tc>
      </w:tr>
      <w:tr w:rsidTr="00511019">
        <w:tblPrEx>
          <w:tblW w:w="5000" w:type="pct"/>
          <w:tblLook w:val="04A0"/>
        </w:tblPrEx>
        <w:trPr>
          <w:trHeight w:val="300"/>
        </w:trPr>
        <w:tc>
          <w:tcPr>
            <w:tcW w:w="2001" w:type="pct"/>
            <w:tcBorders>
              <w:top w:val="nil"/>
              <w:left w:val="single" w:sz="4" w:space="0" w:color="auto"/>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Confidence Level</w:t>
            </w:r>
            <w:r w:rsidRPr="00511019">
              <w:rPr>
                <w:rFonts w:ascii="Calibri" w:eastAsia="Times New Roman" w:hAnsi="Calibri" w:cs="Calibri"/>
              </w:rPr>
              <w:t xml:space="preserve"> </w:t>
            </w:r>
            <w:r w:rsidRPr="001C18E5">
              <w:rPr>
                <w:rFonts w:ascii="Calibri" w:eastAsia="Times New Roman" w:hAnsi="Calibri" w:cs="Calibri"/>
              </w:rPr>
              <w:t>(95.0%)</w:t>
            </w:r>
          </w:p>
        </w:tc>
        <w:tc>
          <w:tcPr>
            <w:tcW w:w="2001"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Lower Limit</w:t>
            </w:r>
          </w:p>
        </w:tc>
        <w:tc>
          <w:tcPr>
            <w:tcW w:w="999"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jc w:val="right"/>
              <w:rPr>
                <w:rFonts w:ascii="Calibri" w:eastAsia="Times New Roman" w:hAnsi="Calibri" w:cs="Calibri"/>
              </w:rPr>
            </w:pPr>
            <w:r w:rsidRPr="001C18E5">
              <w:rPr>
                <w:rFonts w:ascii="Calibri" w:eastAsia="Times New Roman" w:hAnsi="Calibri" w:cs="Calibri"/>
              </w:rPr>
              <w:t>$51,198.59</w:t>
            </w:r>
          </w:p>
        </w:tc>
      </w:tr>
      <w:tr w:rsidTr="00511019">
        <w:tblPrEx>
          <w:tblW w:w="5000" w:type="pct"/>
          <w:tblLook w:val="04A0"/>
        </w:tblPrEx>
        <w:trPr>
          <w:trHeight w:val="300"/>
        </w:trPr>
        <w:tc>
          <w:tcPr>
            <w:tcW w:w="2001" w:type="pct"/>
            <w:tcBorders>
              <w:top w:val="nil"/>
              <w:left w:val="single" w:sz="4" w:space="0" w:color="auto"/>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 </w:t>
            </w:r>
          </w:p>
        </w:tc>
        <w:tc>
          <w:tcPr>
            <w:tcW w:w="2001"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Upper Limit</w:t>
            </w:r>
          </w:p>
        </w:tc>
        <w:tc>
          <w:tcPr>
            <w:tcW w:w="999"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jc w:val="right"/>
              <w:rPr>
                <w:rFonts w:ascii="Calibri" w:eastAsia="Times New Roman" w:hAnsi="Calibri" w:cs="Calibri"/>
              </w:rPr>
            </w:pPr>
            <w:r w:rsidRPr="001C18E5">
              <w:rPr>
                <w:rFonts w:ascii="Calibri" w:eastAsia="Times New Roman" w:hAnsi="Calibri" w:cs="Calibri"/>
              </w:rPr>
              <w:t>$53,295.92</w:t>
            </w:r>
          </w:p>
        </w:tc>
      </w:tr>
      <w:tr w:rsidTr="00511019">
        <w:tblPrEx>
          <w:tblW w:w="5000" w:type="pct"/>
          <w:tblLook w:val="04A0"/>
        </w:tblPrEx>
        <w:trPr>
          <w:trHeight w:val="315"/>
        </w:trPr>
        <w:tc>
          <w:tcPr>
            <w:tcW w:w="2001" w:type="pct"/>
            <w:tcBorders>
              <w:top w:val="nil"/>
              <w:left w:val="single" w:sz="4" w:space="0" w:color="auto"/>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Confidence Level</w:t>
            </w:r>
            <w:r w:rsidRPr="00511019" w:rsidR="00E90745">
              <w:rPr>
                <w:rFonts w:ascii="Calibri" w:eastAsia="Times New Roman" w:hAnsi="Calibri" w:cs="Calibri"/>
              </w:rPr>
              <w:t xml:space="preserve"> </w:t>
            </w:r>
            <w:r w:rsidRPr="001C18E5">
              <w:rPr>
                <w:rFonts w:ascii="Calibri" w:eastAsia="Times New Roman" w:hAnsi="Calibri" w:cs="Calibri"/>
              </w:rPr>
              <w:t>(99.0%)</w:t>
            </w:r>
          </w:p>
        </w:tc>
        <w:tc>
          <w:tcPr>
            <w:tcW w:w="2001"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Lower Limit</w:t>
            </w:r>
          </w:p>
        </w:tc>
        <w:tc>
          <w:tcPr>
            <w:tcW w:w="999"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jc w:val="right"/>
              <w:rPr>
                <w:rFonts w:ascii="Calibri" w:eastAsia="Times New Roman" w:hAnsi="Calibri" w:cs="Calibri"/>
              </w:rPr>
            </w:pPr>
            <w:r w:rsidRPr="001C18E5">
              <w:rPr>
                <w:rFonts w:ascii="Calibri" w:eastAsia="Times New Roman" w:hAnsi="Calibri" w:cs="Calibri"/>
              </w:rPr>
              <w:t>$50,868.64</w:t>
            </w:r>
          </w:p>
        </w:tc>
      </w:tr>
      <w:tr w:rsidTr="00511019">
        <w:tblPrEx>
          <w:tblW w:w="5000" w:type="pct"/>
          <w:tblLook w:val="04A0"/>
        </w:tblPrEx>
        <w:trPr>
          <w:trHeight w:val="300"/>
        </w:trPr>
        <w:tc>
          <w:tcPr>
            <w:tcW w:w="2001" w:type="pct"/>
            <w:tcBorders>
              <w:top w:val="nil"/>
              <w:left w:val="single" w:sz="4" w:space="0" w:color="auto"/>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 </w:t>
            </w:r>
          </w:p>
        </w:tc>
        <w:tc>
          <w:tcPr>
            <w:tcW w:w="2001"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rPr>
                <w:rFonts w:ascii="Calibri" w:eastAsia="Times New Roman" w:hAnsi="Calibri" w:cs="Calibri"/>
              </w:rPr>
            </w:pPr>
            <w:r w:rsidRPr="001C18E5">
              <w:rPr>
                <w:rFonts w:ascii="Calibri" w:eastAsia="Times New Roman" w:hAnsi="Calibri" w:cs="Calibri"/>
              </w:rPr>
              <w:t>Upper Limit</w:t>
            </w:r>
          </w:p>
        </w:tc>
        <w:tc>
          <w:tcPr>
            <w:tcW w:w="999" w:type="pct"/>
            <w:tcBorders>
              <w:top w:val="nil"/>
              <w:left w:val="nil"/>
              <w:bottom w:val="single" w:sz="4" w:space="0" w:color="auto"/>
              <w:right w:val="single" w:sz="4" w:space="0" w:color="auto"/>
            </w:tcBorders>
            <w:shd w:val="clear" w:color="auto" w:fill="auto"/>
            <w:noWrap/>
            <w:vAlign w:val="bottom"/>
            <w:hideMark/>
          </w:tcPr>
          <w:p w:rsidR="001C18E5" w:rsidRPr="001C18E5" w:rsidP="001C18E5">
            <w:pPr>
              <w:spacing w:after="0" w:line="240" w:lineRule="auto"/>
              <w:jc w:val="right"/>
              <w:rPr>
                <w:rFonts w:ascii="Calibri" w:eastAsia="Times New Roman" w:hAnsi="Calibri" w:cs="Calibri"/>
              </w:rPr>
            </w:pPr>
            <w:r w:rsidRPr="001C18E5">
              <w:rPr>
                <w:rFonts w:ascii="Calibri" w:eastAsia="Times New Roman" w:hAnsi="Calibri" w:cs="Calibri"/>
              </w:rPr>
              <w:t>$53,625.87</w:t>
            </w:r>
          </w:p>
        </w:tc>
      </w:tr>
    </w:tbl>
    <w:p w:rsidR="001C18E5" w:rsidRPr="00511019" w:rsidP="001C18E5"/>
    <w:p w:rsidR="001C18E5" w:rsidRPr="00511019" w:rsidP="00E90745">
      <w:pPr>
        <w:pStyle w:val="Heading2"/>
      </w:pPr>
      <w:r w:rsidRPr="00511019">
        <w:t>Critical Evaluation of Business Decision Making Methods</w:t>
      </w:r>
    </w:p>
    <w:p w:rsidR="00E90745" w:rsidP="001C18E5">
      <w:pPr>
        <w:jc w:val="both"/>
        <w:rPr>
          <w:rFonts w:ascii="Arial" w:hAnsi="Arial" w:cs="Arial"/>
        </w:rPr>
      </w:pPr>
      <w:r>
        <w:rPr>
          <w:rFonts w:ascii="Arial" w:hAnsi="Arial" w:cs="Arial"/>
        </w:rPr>
        <w:t xml:space="preserve">According to </w:t>
      </w:r>
      <w:r>
        <w:rPr>
          <w:rFonts w:ascii="Arial" w:hAnsi="Arial" w:cs="Arial"/>
        </w:rPr>
        <w:fldChar w:fldCharType="begin"/>
      </w:r>
      <w:r>
        <w:rPr>
          <w:rFonts w:ascii="Arial" w:hAnsi="Arial" w:cs="Arial"/>
        </w:rPr>
        <w:instrText xml:space="preserve"> ADDIN ZOTERO_ITEM CSL_CITATION {"citationID":"iEDX3lRj","properties":{"formattedCitation":"(Greenland, 1990)","plainCitation":"(Greenland, 1990)","noteIndex":0},"citationItems":[{"id":2095,"uris":["http://zotero.org/users/local/XXne8Mwc/items/7V93BJJ5"],"uri":["http://zotero.org/users/local/XXne8Mwc/items/7V93BJJ5"],"itemData":{"id":2095,"type":"article-journal","container-title":"Epidemiology","DOI":"10.1097/00001648-199011000-00003","ISSN":"1044-3983","issue":"6","journalAbbreviation":"Epidemiology","language":"en","page":"421-429","source":"DOI.org (Crossref)","title":"Randomization, Statistics, and Causal Inference:","title-short":"Randomization, Statistics, and Causal Inference","volume":"1","author":[{"family":"Greenland","given":"Sander"}],"issued":{"date-parts":[["1990",11]]}}}],"schema":"https://github.com/citation-style-language/schema/raw/master/csl-citation.json"} </w:instrText>
      </w:r>
      <w:r>
        <w:rPr>
          <w:rFonts w:ascii="Arial" w:hAnsi="Arial" w:cs="Arial"/>
        </w:rPr>
        <w:fldChar w:fldCharType="separate"/>
      </w:r>
      <w:r w:rsidRPr="00DC2055">
        <w:rPr>
          <w:rFonts w:ascii="Arial" w:hAnsi="Arial" w:cs="Arial"/>
        </w:rPr>
        <w:t>Greenland</w:t>
      </w:r>
      <w:bookmarkStart w:id="0" w:name="_GoBack"/>
      <w:bookmarkEnd w:id="0"/>
      <w:r w:rsidRPr="00DC2055">
        <w:rPr>
          <w:rFonts w:ascii="Arial" w:hAnsi="Arial" w:cs="Arial"/>
        </w:rPr>
        <w:t xml:space="preserve"> </w:t>
      </w:r>
      <w:r w:rsidR="00C90831">
        <w:rPr>
          <w:rFonts w:ascii="Arial" w:hAnsi="Arial" w:cs="Arial"/>
        </w:rPr>
        <w:t>(</w:t>
      </w:r>
      <w:r w:rsidRPr="00DC2055">
        <w:rPr>
          <w:rFonts w:ascii="Arial" w:hAnsi="Arial" w:cs="Arial"/>
        </w:rPr>
        <w:t>1990)</w:t>
      </w:r>
      <w:r>
        <w:rPr>
          <w:rFonts w:ascii="Arial" w:hAnsi="Arial" w:cs="Arial"/>
        </w:rPr>
        <w:fldChar w:fldCharType="end"/>
      </w:r>
      <w:r>
        <w:rPr>
          <w:rFonts w:ascii="Arial" w:hAnsi="Arial" w:cs="Arial"/>
        </w:rPr>
        <w:t xml:space="preserve">, formal business decision-making methods borrow heavily from statistical methods and are an application of statistical decision theory. </w:t>
      </w:r>
      <w:r>
        <w:rPr>
          <w:rFonts w:ascii="Arial" w:hAnsi="Arial" w:cs="Arial"/>
        </w:rPr>
        <w:fldChar w:fldCharType="begin"/>
      </w:r>
      <w:r>
        <w:rPr>
          <w:rFonts w:ascii="Arial" w:hAnsi="Arial" w:cs="Arial"/>
        </w:rPr>
        <w:instrText xml:space="preserve"> ADDIN ZOTERO_ITEM CSL_CITATION {"citationID":"5rdttxaE","properties":{"formattedCitation":"(Popovic, no date)","plainCitation":"(Popovic, no date)","noteIndex":0},"citationItems":[{"id":2096,"uris":["http://zotero.org/users/local/XXne8Mwc/items/65CZASPV"],"uri":["http://zotero.org/users/local/XXne8Mwc/items/65CZASPV"],"itemData":{"id":2096,"type":"article-journal","title":"The Potentials and Limitatons of Statistics as a Scientific Method of Inference","author":[{"family":"Popovic","given":"Biljana"}]}}],"schema":"https://github.com/citation-style-language/schema/raw/master/csl-citation.json"} </w:instrText>
      </w:r>
      <w:r>
        <w:rPr>
          <w:rFonts w:ascii="Arial" w:hAnsi="Arial" w:cs="Arial"/>
        </w:rPr>
        <w:fldChar w:fldCharType="separate"/>
      </w:r>
      <w:r w:rsidRPr="00DC2055">
        <w:rPr>
          <w:rFonts w:ascii="Arial" w:hAnsi="Arial" w:cs="Arial"/>
        </w:rPr>
        <w:t>(Popovic, no date)</w:t>
      </w:r>
      <w:r>
        <w:rPr>
          <w:rFonts w:ascii="Arial" w:hAnsi="Arial" w:cs="Arial"/>
        </w:rPr>
        <w:fldChar w:fldCharType="end"/>
      </w:r>
      <w:r>
        <w:rPr>
          <w:rFonts w:ascii="Arial" w:hAnsi="Arial" w:cs="Arial"/>
        </w:rPr>
        <w:t xml:space="preserve"> makes the point that mathematical statistics does not talk in certainties, but uses a sample of a whole population to infer population characteristics and gives a measure of the validity of the inference. Both authors concur that the crucial element in statistical inference is that of obtaining a ‘representative’ sample. </w:t>
      </w:r>
      <w:r>
        <w:rPr>
          <w:rFonts w:ascii="Arial" w:hAnsi="Arial" w:cs="Arial"/>
        </w:rPr>
        <w:fldChar w:fldCharType="begin"/>
      </w:r>
      <w:r>
        <w:rPr>
          <w:rFonts w:ascii="Arial" w:hAnsi="Arial" w:cs="Arial"/>
        </w:rPr>
        <w:instrText xml:space="preserve"> ADDIN ZOTERO_ITEM CSL_CITATION {"citationID":"gCwppMUV","properties":{"formattedCitation":"(Popovic, no date)","plainCitation":"(Popovic, no date)","noteIndex":0},"citationItems":[{"id":2096,"uris":["http://zotero.org/users/local/XXne8Mwc/items/65CZASPV"],"uri":["http://zotero.org/users/local/XXne8Mwc/items/65CZASPV"],"itemData":{"id":2096,"type":"article-journal","title":"The Potentials and Limitatons of Statistics as a Scientific Method of Inference","author":[{"family":"Popovic","given":"Biljana"}]}}],"schema":"https://github.com/citation-style-language/schema/raw/master/csl-citation.json"} </w:instrText>
      </w:r>
      <w:r>
        <w:rPr>
          <w:rFonts w:ascii="Arial" w:hAnsi="Arial" w:cs="Arial"/>
        </w:rPr>
        <w:fldChar w:fldCharType="separate"/>
      </w:r>
      <w:r w:rsidRPr="00DC2055">
        <w:rPr>
          <w:rFonts w:ascii="Arial" w:hAnsi="Arial" w:cs="Arial"/>
        </w:rPr>
        <w:t xml:space="preserve">Popovic </w:t>
      </w:r>
      <w:r>
        <w:rPr>
          <w:rFonts w:ascii="Arial" w:hAnsi="Arial" w:cs="Arial"/>
        </w:rPr>
        <w:t>(</w:t>
      </w:r>
      <w:r w:rsidRPr="00DC2055">
        <w:rPr>
          <w:rFonts w:ascii="Arial" w:hAnsi="Arial" w:cs="Arial"/>
        </w:rPr>
        <w:t>no date)</w:t>
      </w:r>
      <w:r>
        <w:rPr>
          <w:rFonts w:ascii="Arial" w:hAnsi="Arial" w:cs="Arial"/>
        </w:rPr>
        <w:fldChar w:fldCharType="end"/>
      </w:r>
      <w:r>
        <w:rPr>
          <w:rFonts w:ascii="Arial" w:hAnsi="Arial" w:cs="Arial"/>
        </w:rPr>
        <w:t xml:space="preserve"> defines a representative sample as one where the distribution of the sample is the same as the distribution of the population. The author argues that it is often the case that the sample’s distribution significantly differs from the population’s distribution. It is therefore crucial for investigators to ascertain that a sample is representative of the population.</w:t>
      </w:r>
      <w:r w:rsidR="00C90831">
        <w:rPr>
          <w:rFonts w:ascii="Arial" w:hAnsi="Arial" w:cs="Arial"/>
        </w:rPr>
        <w:t xml:space="preserve"> The author argues that it is especially important to ensure the size of the sample is large enough to represent the population </w:t>
      </w:r>
    </w:p>
    <w:p w:rsidR="00C90831" w:rsidP="001C18E5">
      <w:pPr>
        <w:jc w:val="both"/>
        <w:rPr>
          <w:rFonts w:ascii="Arial" w:hAnsi="Arial" w:cs="Arial"/>
        </w:rPr>
      </w:pPr>
      <w:r>
        <w:rPr>
          <w:rFonts w:ascii="Arial" w:hAnsi="Arial" w:cs="Arial"/>
        </w:rPr>
        <w:t xml:space="preserve">Furthermore, according to </w:t>
      </w:r>
      <w:r>
        <w:rPr>
          <w:rFonts w:ascii="Arial" w:hAnsi="Arial" w:cs="Arial"/>
        </w:rPr>
        <w:fldChar w:fldCharType="begin"/>
      </w:r>
      <w:r>
        <w:rPr>
          <w:rFonts w:ascii="Arial" w:hAnsi="Arial" w:cs="Arial"/>
        </w:rPr>
        <w:instrText xml:space="preserve"> ADDIN ZOTERO_ITEM CSL_CITATION {"citationID":"VtfvSvQt","properties":{"formattedCitation":"(Popovic, no date)","plainCitation":"(Popovic, no date)","noteIndex":0},"citationItems":[{"id":2096,"uris":["http://zotero.org/users/local/XXne8Mwc/items/65CZASPV"],"uri":["http://zotero.org/users/local/XXne8Mwc/items/65CZASPV"],"itemData":{"id":2096,"type":"article-journal","title":"The Potentials and Limitatons of Statistics as a Scientific Method of Inference","author":[{"family":"Popovic","given":"Biljana"}]}}],"schema":"https://github.com/citation-style-language/schema/raw/master/csl-citation.json"} </w:instrText>
      </w:r>
      <w:r>
        <w:rPr>
          <w:rFonts w:ascii="Arial" w:hAnsi="Arial" w:cs="Arial"/>
        </w:rPr>
        <w:fldChar w:fldCharType="separate"/>
      </w:r>
      <w:r w:rsidRPr="00C90831">
        <w:rPr>
          <w:rFonts w:ascii="Arial" w:hAnsi="Arial" w:cs="Arial"/>
        </w:rPr>
        <w:t xml:space="preserve">Popovic </w:t>
      </w:r>
      <w:r>
        <w:rPr>
          <w:rFonts w:ascii="Arial" w:hAnsi="Arial" w:cs="Arial"/>
        </w:rPr>
        <w:t>(</w:t>
      </w:r>
      <w:r w:rsidRPr="00C90831">
        <w:rPr>
          <w:rFonts w:ascii="Arial" w:hAnsi="Arial" w:cs="Arial"/>
        </w:rPr>
        <w:t>no date)</w:t>
      </w:r>
      <w:r>
        <w:rPr>
          <w:rFonts w:ascii="Arial" w:hAnsi="Arial" w:cs="Arial"/>
        </w:rPr>
        <w:fldChar w:fldCharType="end"/>
      </w:r>
      <w:r>
        <w:rPr>
          <w:rFonts w:ascii="Arial" w:hAnsi="Arial" w:cs="Arial"/>
        </w:rPr>
        <w:t>, the interpretation of probability and chance implications from the results is often fallacious. The author gives a simple example that 70% of observed tails are often taken to equally represent the outcome of 100 tosses and 10 tosses, even though the probability of 70 tails 100 tosses is 0.0000023 and the probability of 7 tails in 10 tosses is 0.11.</w:t>
      </w:r>
    </w:p>
    <w:p w:rsidR="00C90831" w:rsidP="001C18E5">
      <w:pPr>
        <w:jc w:val="both"/>
        <w:rPr>
          <w:rFonts w:ascii="Arial" w:hAnsi="Arial" w:cs="Arial"/>
        </w:rPr>
      </w:pPr>
      <w:r>
        <w:rPr>
          <w:rFonts w:ascii="Arial" w:hAnsi="Arial" w:cs="Arial"/>
        </w:rPr>
        <w:t xml:space="preserve"> Therefore, when making inferences about a population, it is crucial to understand that the probabilistic interpretations from the sample may not carry over to the population and that the choice of a ‘representative’ sample is a crucial determinant of the validity of the results. </w:t>
      </w:r>
    </w:p>
    <w:p w:rsidR="00DC2055" w:rsidP="001C18E5">
      <w:pPr>
        <w:jc w:val="both"/>
        <w:rPr>
          <w:rFonts w:ascii="Arial" w:hAnsi="Arial" w:cs="Arial"/>
        </w:rPr>
      </w:pPr>
      <w:r>
        <w:rPr>
          <w:rFonts w:ascii="Arial" w:hAnsi="Arial" w:cs="Arial"/>
        </w:rPr>
        <w:t>Nonetheless, statistical methods have proven useful in decision making since they allow objective decisions to be made, and also save time and resources</w:t>
      </w:r>
      <w:r>
        <w:rPr>
          <w:rFonts w:ascii="Arial" w:hAnsi="Arial" w:cs="Arial"/>
        </w:rPr>
        <w:fldChar w:fldCharType="begin"/>
      </w:r>
      <w:r>
        <w:rPr>
          <w:rFonts w:ascii="Arial" w:hAnsi="Arial" w:cs="Arial"/>
        </w:rPr>
        <w:instrText xml:space="preserve"> ADDIN ZOTERO_ITEM CSL_CITATION {"citationID":"bLNUkRq6","properties":{"formattedCitation":"(Mlynek, 1991)","plainCitation":"(Mlynek, 1991)","noteIndex":0},"citationItems":[{"id":2093,"uris":["http://zotero.org/users/local/XXne8Mwc/items/FYTT2ID2"],"uri":["http://zotero.org/users/local/XXne8Mwc/items/FYTT2ID2"],"itemData":{"id":2093,"type":"article-journal","container-title":"Journal of Chemical Education","DOI":"10.1021/ed068p180.2","ISSN":"0021-9584, 1938-1328","issue":"2","journalAbbreviation":"J. Chem. Educ.","language":"en","page":"180","source":"DOI.org (Crossref)","title":"The advantages and limitations of statistics","volume":"68","author":[{"family":"Mlynek","given":"Peter D."}],"issued":{"date-parts":[["1991",2]]}}}],"schema":"https://github.com/citation-style-language/schema/raw/master/csl-citation.json"} </w:instrText>
      </w:r>
      <w:r>
        <w:rPr>
          <w:rFonts w:ascii="Arial" w:hAnsi="Arial" w:cs="Arial"/>
        </w:rPr>
        <w:fldChar w:fldCharType="separate"/>
      </w:r>
      <w:r w:rsidRPr="00C90831">
        <w:rPr>
          <w:rFonts w:ascii="Arial" w:hAnsi="Arial" w:cs="Arial"/>
        </w:rPr>
        <w:t>(</w:t>
      </w:r>
      <w:r w:rsidRPr="00C90831">
        <w:rPr>
          <w:rFonts w:ascii="Arial" w:hAnsi="Arial" w:cs="Arial"/>
        </w:rPr>
        <w:t>Mlynek</w:t>
      </w:r>
      <w:r w:rsidRPr="00C90831">
        <w:rPr>
          <w:rFonts w:ascii="Arial" w:hAnsi="Arial" w:cs="Arial"/>
        </w:rPr>
        <w:t>, 1991)</w:t>
      </w:r>
      <w:r>
        <w:rPr>
          <w:rFonts w:ascii="Arial" w:hAnsi="Arial" w:cs="Arial"/>
        </w:rPr>
        <w:fldChar w:fldCharType="end"/>
      </w:r>
      <w:r>
        <w:rPr>
          <w:rFonts w:ascii="Arial" w:hAnsi="Arial" w:cs="Arial"/>
        </w:rPr>
        <w:t xml:space="preserve">. </w:t>
      </w:r>
    </w:p>
    <w:p w:rsidR="00C90831" w:rsidP="00C90831">
      <w:pPr>
        <w:pStyle w:val="Heading2"/>
      </w:pPr>
      <w:r>
        <w:t>REFERENCES</w:t>
      </w:r>
    </w:p>
    <w:p w:rsidR="00C90831" w:rsidRPr="00C90831" w:rsidP="00C90831">
      <w:pPr>
        <w:pStyle w:val="Bibliography"/>
        <w:rPr>
          <w:rFonts w:ascii="Calibri" w:hAnsi="Calibri" w:cs="Calibri"/>
        </w:rPr>
      </w:pPr>
      <w:r>
        <w:fldChar w:fldCharType="begin"/>
      </w:r>
      <w:r>
        <w:instrText xml:space="preserve"> ADDIN ZOTERO_BIBL {"uncited":[],"omitted":[],"custom":[]} CSL_BIBLIOGRAPHY </w:instrText>
      </w:r>
      <w:r>
        <w:fldChar w:fldCharType="separate"/>
      </w:r>
      <w:r w:rsidRPr="00C90831">
        <w:rPr>
          <w:rFonts w:ascii="Calibri" w:hAnsi="Calibri" w:cs="Calibri"/>
        </w:rPr>
        <w:t>Greenland, S. (1990) ‘Randomization, Statistics, and Causal Inference</w:t>
      </w:r>
      <w:r w:rsidRPr="00C90831">
        <w:rPr>
          <w:rFonts w:ascii="Calibri" w:hAnsi="Calibri" w:cs="Calibri"/>
        </w:rPr>
        <w:t>’:,</w:t>
      </w:r>
      <w:r w:rsidRPr="00C90831">
        <w:rPr>
          <w:rFonts w:ascii="Calibri" w:hAnsi="Calibri" w:cs="Calibri"/>
        </w:rPr>
        <w:t xml:space="preserve"> </w:t>
      </w:r>
      <w:r w:rsidRPr="00C90831">
        <w:rPr>
          <w:rFonts w:ascii="Calibri" w:hAnsi="Calibri" w:cs="Calibri"/>
          <w:i/>
          <w:iCs/>
        </w:rPr>
        <w:t>Epidemiology</w:t>
      </w:r>
      <w:r w:rsidRPr="00C90831">
        <w:rPr>
          <w:rFonts w:ascii="Calibri" w:hAnsi="Calibri" w:cs="Calibri"/>
        </w:rPr>
        <w:t>, 1(6), pp. 421–429. doi:10.1097/00001648-199011000-00003.</w:t>
      </w:r>
    </w:p>
    <w:p w:rsidR="00C90831" w:rsidRPr="00C90831" w:rsidP="00C90831">
      <w:pPr>
        <w:pStyle w:val="Bibliography"/>
        <w:rPr>
          <w:rFonts w:ascii="Calibri" w:hAnsi="Calibri" w:cs="Calibri"/>
        </w:rPr>
      </w:pPr>
      <w:r w:rsidRPr="00C90831">
        <w:rPr>
          <w:rFonts w:ascii="Calibri" w:hAnsi="Calibri" w:cs="Calibri"/>
        </w:rPr>
        <w:t xml:space="preserve">Mahammad, N.N.K., G. Sravan </w:t>
      </w:r>
      <w:r w:rsidRPr="00C90831">
        <w:rPr>
          <w:rFonts w:ascii="Calibri" w:hAnsi="Calibri" w:cs="Calibri"/>
        </w:rPr>
        <w:t>Kumar, Salar</w:t>
      </w:r>
      <w:r w:rsidRPr="00C90831">
        <w:rPr>
          <w:rFonts w:ascii="Calibri" w:hAnsi="Calibri" w:cs="Calibri"/>
        </w:rPr>
        <w:t xml:space="preserve"> (2021) </w:t>
      </w:r>
      <w:r w:rsidRPr="00C90831">
        <w:rPr>
          <w:rFonts w:ascii="Calibri" w:hAnsi="Calibri" w:cs="Calibri"/>
          <w:i/>
          <w:iCs/>
        </w:rPr>
        <w:t>Ads Sales Prediction Using Deep Learning | Think India Journal</w:t>
      </w:r>
      <w:r w:rsidRPr="00C90831">
        <w:rPr>
          <w:rFonts w:ascii="Calibri" w:hAnsi="Calibri" w:cs="Calibri"/>
        </w:rPr>
        <w:t>. Available at: https://thinkindiaquarterly.org/index.php/think-india/article/view/19255 (Accessed: 12 January 2022).</w:t>
      </w:r>
    </w:p>
    <w:p w:rsidR="00C90831" w:rsidRPr="00C90831" w:rsidP="00C90831">
      <w:pPr>
        <w:pStyle w:val="Bibliography"/>
        <w:rPr>
          <w:rFonts w:ascii="Calibri" w:hAnsi="Calibri" w:cs="Calibri"/>
        </w:rPr>
      </w:pPr>
      <w:r w:rsidRPr="00C90831">
        <w:rPr>
          <w:rFonts w:ascii="Calibri" w:hAnsi="Calibri" w:cs="Calibri"/>
        </w:rPr>
        <w:t>Mlynek</w:t>
      </w:r>
      <w:r w:rsidRPr="00C90831">
        <w:rPr>
          <w:rFonts w:ascii="Calibri" w:hAnsi="Calibri" w:cs="Calibri"/>
        </w:rPr>
        <w:t xml:space="preserve">, P.D. (1991) ‘The advantages and limitations of statistics’, </w:t>
      </w:r>
      <w:r w:rsidRPr="00C90831">
        <w:rPr>
          <w:rFonts w:ascii="Calibri" w:hAnsi="Calibri" w:cs="Calibri"/>
          <w:i/>
          <w:iCs/>
        </w:rPr>
        <w:t>Journal of Chemical Education</w:t>
      </w:r>
      <w:r w:rsidRPr="00C90831">
        <w:rPr>
          <w:rFonts w:ascii="Calibri" w:hAnsi="Calibri" w:cs="Calibri"/>
        </w:rPr>
        <w:t>, 68(2), p. 180. doi:10.1021/ed068p180.2.</w:t>
      </w:r>
    </w:p>
    <w:p w:rsidR="00C90831" w:rsidRPr="00C90831" w:rsidP="00C90831">
      <w:pPr>
        <w:pStyle w:val="Bibliography"/>
        <w:rPr>
          <w:rFonts w:ascii="Calibri" w:hAnsi="Calibri" w:cs="Calibri"/>
        </w:rPr>
      </w:pPr>
      <w:r w:rsidRPr="00C90831">
        <w:rPr>
          <w:rFonts w:ascii="Calibri" w:hAnsi="Calibri" w:cs="Calibri"/>
        </w:rPr>
        <w:t xml:space="preserve">Popovic, B. (no date) ‘The Potentials and </w:t>
      </w:r>
      <w:r w:rsidRPr="00C90831">
        <w:rPr>
          <w:rFonts w:ascii="Calibri" w:hAnsi="Calibri" w:cs="Calibri"/>
        </w:rPr>
        <w:t>Limitatons</w:t>
      </w:r>
      <w:r w:rsidRPr="00C90831">
        <w:rPr>
          <w:rFonts w:ascii="Calibri" w:hAnsi="Calibri" w:cs="Calibri"/>
        </w:rPr>
        <w:t xml:space="preserve"> of Statistics as a Scientific Method of Inference’.</w:t>
      </w:r>
    </w:p>
    <w:p w:rsidR="00C90831" w:rsidRPr="00C90831" w:rsidP="00C90831">
      <w:r>
        <w:fldChar w:fldCharType="end"/>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FC0"/>
    <w:rsid w:val="00084ABD"/>
    <w:rsid w:val="001C18E5"/>
    <w:rsid w:val="00423690"/>
    <w:rsid w:val="0044050C"/>
    <w:rsid w:val="004C41DB"/>
    <w:rsid w:val="00511019"/>
    <w:rsid w:val="00526590"/>
    <w:rsid w:val="00785FC0"/>
    <w:rsid w:val="00B349A4"/>
    <w:rsid w:val="00B91CFD"/>
    <w:rsid w:val="00C90831"/>
    <w:rsid w:val="00CD7162"/>
    <w:rsid w:val="00CE3A81"/>
    <w:rsid w:val="00DC2055"/>
    <w:rsid w:val="00E9074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0840CBA"/>
  <w15:chartTrackingRefBased/>
  <w15:docId w15:val="{C6104917-AC94-41A3-945D-960C514A9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85FC0"/>
    <w:pPr>
      <w:keepNext/>
      <w:keepLines/>
      <w:spacing w:before="240" w:after="0"/>
      <w:outlineLvl w:val="0"/>
    </w:pPr>
    <w:rPr>
      <w:rFonts w:ascii="Arial" w:hAnsi="Arial" w:eastAsiaTheme="majorEastAsia" w:cstheme="majorBidi"/>
      <w:b/>
      <w:sz w:val="28"/>
      <w:szCs w:val="32"/>
    </w:rPr>
  </w:style>
  <w:style w:type="paragraph" w:styleId="Heading2">
    <w:name w:val="heading 2"/>
    <w:basedOn w:val="Normal"/>
    <w:next w:val="Normal"/>
    <w:link w:val="Heading2Char"/>
    <w:uiPriority w:val="9"/>
    <w:unhideWhenUsed/>
    <w:qFormat/>
    <w:rsid w:val="00785FC0"/>
    <w:pPr>
      <w:keepNext/>
      <w:keepLines/>
      <w:spacing w:before="40" w:after="0"/>
      <w:outlineLvl w:val="1"/>
    </w:pPr>
    <w:rPr>
      <w:rFonts w:ascii="Arial" w:hAnsi="Arial" w:eastAsiaTheme="majorEastAsia" w:cstheme="majorBidi"/>
      <w:b/>
      <w:sz w:val="26"/>
      <w:szCs w:val="26"/>
    </w:rPr>
  </w:style>
  <w:style w:type="paragraph" w:styleId="Heading3">
    <w:name w:val="heading 3"/>
    <w:basedOn w:val="Normal"/>
    <w:next w:val="Normal"/>
    <w:link w:val="Heading3Char"/>
    <w:uiPriority w:val="9"/>
    <w:unhideWhenUsed/>
    <w:qFormat/>
    <w:rsid w:val="00785FC0"/>
    <w:pPr>
      <w:keepNext/>
      <w:keepLines/>
      <w:spacing w:before="40" w:after="0"/>
      <w:outlineLvl w:val="2"/>
    </w:pPr>
    <w:rPr>
      <w:rFonts w:ascii="Arial" w:hAnsi="Arial" w:eastAsiaTheme="majorEastAsia"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5FC0"/>
    <w:rPr>
      <w:rFonts w:ascii="Arial" w:hAnsi="Arial" w:eastAsiaTheme="majorEastAsia" w:cstheme="majorBidi"/>
      <w:b/>
      <w:sz w:val="26"/>
      <w:szCs w:val="26"/>
    </w:rPr>
  </w:style>
  <w:style w:type="character" w:customStyle="1" w:styleId="Heading3Char">
    <w:name w:val="Heading 3 Char"/>
    <w:basedOn w:val="DefaultParagraphFont"/>
    <w:link w:val="Heading3"/>
    <w:uiPriority w:val="9"/>
    <w:rsid w:val="00785FC0"/>
    <w:rPr>
      <w:rFonts w:ascii="Arial" w:hAnsi="Arial" w:eastAsiaTheme="majorEastAsia" w:cstheme="majorBidi"/>
      <w:b/>
      <w:sz w:val="24"/>
      <w:szCs w:val="24"/>
    </w:rPr>
  </w:style>
  <w:style w:type="character" w:customStyle="1" w:styleId="Heading1Char">
    <w:name w:val="Heading 1 Char"/>
    <w:basedOn w:val="DefaultParagraphFont"/>
    <w:link w:val="Heading1"/>
    <w:uiPriority w:val="9"/>
    <w:rsid w:val="00785FC0"/>
    <w:rPr>
      <w:rFonts w:ascii="Arial" w:hAnsi="Arial" w:eastAsiaTheme="majorEastAsia" w:cstheme="majorBidi"/>
      <w:b/>
      <w:sz w:val="28"/>
      <w:szCs w:val="32"/>
    </w:rPr>
  </w:style>
  <w:style w:type="table" w:styleId="TableGrid">
    <w:name w:val="Table Grid"/>
    <w:basedOn w:val="TableNormal"/>
    <w:uiPriority w:val="39"/>
    <w:rsid w:val="00B34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23690"/>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C90831"/>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1870</Words>
  <Characters>10663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2022-01-13T04:31:00Z</dcterms:created>
  <dcterms:modified xsi:type="dcterms:W3CDTF">2022-01-13T07:15:00Z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id="5EpFYhYJ"/&gt;&lt;style id="http://www.zotero.org/styles/harvard-cite-them-right"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