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rial" w:eastAsiaTheme="majorEastAsia" w:hAnsi="Arial" w:cs="Arial"/>
          <w:color w:val="000000" w:themeColor="text1"/>
          <w:spacing w:val="-10"/>
          <w:kern w:val="28"/>
          <w:sz w:val="24"/>
          <w:szCs w:val="24"/>
        </w:rPr>
        <w:id w:val="-13151991"/>
        <w:docPartObj>
          <w:docPartGallery w:val="Cover Pages"/>
          <w:docPartUnique/>
        </w:docPartObj>
      </w:sdtPr>
      <w:sdtEndPr>
        <w:rPr>
          <w:rFonts w:eastAsiaTheme="minorHAnsi"/>
          <w:color w:val="auto"/>
          <w:spacing w:val="0"/>
          <w:kern w:val="0"/>
          <w:sz w:val="22"/>
          <w:szCs w:val="22"/>
        </w:rPr>
      </w:sdtEndPr>
      <w:sdtContent>
        <w:p w14:paraId="1EC1734D" w14:textId="77777777" w:rsidR="00CB5DC7" w:rsidRPr="00B13CBE" w:rsidRDefault="00CB5DC7" w:rsidP="00781A3B">
          <w:pPr>
            <w:spacing w:after="0" w:line="360" w:lineRule="auto"/>
            <w:jc w:val="both"/>
            <w:rPr>
              <w:rFonts w:ascii="Arial" w:hAnsi="Arial" w:cs="Arial"/>
              <w:color w:val="000000" w:themeColor="text1"/>
              <w:sz w:val="24"/>
              <w:szCs w:val="24"/>
            </w:rPr>
          </w:pPr>
        </w:p>
        <w:p w14:paraId="7E711B26" w14:textId="77777777" w:rsidR="008978A3" w:rsidRPr="00B13CBE" w:rsidRDefault="00C4772C" w:rsidP="00492A0F">
          <w:pPr>
            <w:pStyle w:val="Title"/>
            <w:spacing w:line="360" w:lineRule="auto"/>
            <w:jc w:val="center"/>
            <w:rPr>
              <w:rFonts w:ascii="Arial" w:hAnsi="Arial" w:cs="Arial"/>
              <w:b/>
              <w:bCs/>
              <w:color w:val="000000" w:themeColor="text1"/>
              <w:sz w:val="28"/>
              <w:szCs w:val="28"/>
            </w:rPr>
          </w:pPr>
          <w:r w:rsidRPr="00B13CBE">
            <w:rPr>
              <w:rFonts w:ascii="Arial" w:hAnsi="Arial" w:cs="Arial"/>
              <w:b/>
              <w:bCs/>
              <w:color w:val="000000" w:themeColor="text1"/>
              <w:sz w:val="28"/>
              <w:szCs w:val="28"/>
            </w:rPr>
            <w:t>INVESTIGATING INTERRELATIONS AMONG MAJOR CAPITAL MARKETS AROUND THE WORLD</w:t>
          </w:r>
        </w:p>
        <w:p w14:paraId="542B7A43" w14:textId="77777777" w:rsidR="008978A3" w:rsidRPr="00B13CBE" w:rsidRDefault="008978A3" w:rsidP="00781A3B">
          <w:pPr>
            <w:pStyle w:val="Title"/>
            <w:spacing w:line="360" w:lineRule="auto"/>
            <w:jc w:val="both"/>
            <w:rPr>
              <w:rFonts w:ascii="Arial" w:hAnsi="Arial" w:cs="Arial"/>
              <w:color w:val="000000" w:themeColor="text1"/>
              <w:sz w:val="24"/>
              <w:szCs w:val="24"/>
            </w:rPr>
          </w:pPr>
        </w:p>
        <w:p w14:paraId="22FE471D" w14:textId="77777777" w:rsidR="00FF1400" w:rsidRPr="00B13CBE" w:rsidRDefault="00FF1400" w:rsidP="00781A3B">
          <w:pPr>
            <w:spacing w:line="360" w:lineRule="auto"/>
            <w:jc w:val="both"/>
            <w:rPr>
              <w:rFonts w:ascii="Arial" w:hAnsi="Arial" w:cs="Arial"/>
              <w:color w:val="000000" w:themeColor="text1"/>
              <w:sz w:val="24"/>
              <w:szCs w:val="24"/>
            </w:rPr>
          </w:pPr>
        </w:p>
        <w:p w14:paraId="0FFAF729" w14:textId="77777777" w:rsidR="00FF1400"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br w:type="page"/>
          </w:r>
        </w:p>
        <w:p w14:paraId="29E88848" w14:textId="77777777" w:rsidR="00FF1400" w:rsidRPr="00B13CBE" w:rsidRDefault="00C4772C" w:rsidP="00781A3B">
          <w:pPr>
            <w:pStyle w:val="Heading2"/>
            <w:numPr>
              <w:ilvl w:val="0"/>
              <w:numId w:val="0"/>
            </w:numPr>
            <w:ind w:left="360" w:hanging="360"/>
            <w:rPr>
              <w:spacing w:val="-10"/>
              <w:kern w:val="28"/>
            </w:rPr>
          </w:pPr>
          <w:bookmarkStart w:id="0" w:name="_Toc82603344"/>
          <w:r w:rsidRPr="00B13CBE">
            <w:lastRenderedPageBreak/>
            <w:t>ABSTRACT</w:t>
          </w:r>
          <w:bookmarkEnd w:id="0"/>
        </w:p>
        <w:p w14:paraId="58C10853" w14:textId="77777777" w:rsidR="00FF1400"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It is established in the literature </w:t>
          </w:r>
          <w:r w:rsidR="00507708" w:rsidRPr="00B13CBE">
            <w:rPr>
              <w:rFonts w:ascii="Arial" w:hAnsi="Arial" w:cs="Arial"/>
              <w:color w:val="000000" w:themeColor="text1"/>
              <w:sz w:val="24"/>
              <w:szCs w:val="24"/>
            </w:rPr>
            <w:t>on</w:t>
          </w:r>
          <w:r w:rsidRPr="00B13CBE">
            <w:rPr>
              <w:rFonts w:ascii="Arial" w:hAnsi="Arial" w:cs="Arial"/>
              <w:color w:val="000000" w:themeColor="text1"/>
              <w:sz w:val="24"/>
              <w:szCs w:val="24"/>
            </w:rPr>
            <w:t xml:space="preserve"> </w:t>
          </w:r>
          <w:r w:rsidR="00507708" w:rsidRPr="00B13CBE">
            <w:rPr>
              <w:rFonts w:ascii="Arial" w:hAnsi="Arial" w:cs="Arial"/>
              <w:color w:val="000000" w:themeColor="text1"/>
              <w:sz w:val="24"/>
              <w:szCs w:val="24"/>
            </w:rPr>
            <w:t xml:space="preserve">financial </w:t>
          </w:r>
          <w:r w:rsidRPr="00B13CBE">
            <w:rPr>
              <w:rFonts w:ascii="Arial" w:hAnsi="Arial" w:cs="Arial"/>
              <w:color w:val="000000" w:themeColor="text1"/>
              <w:sz w:val="24"/>
              <w:szCs w:val="24"/>
            </w:rPr>
            <w:t xml:space="preserve">market correlations that correlations among </w:t>
          </w:r>
          <w:r w:rsidR="001A0D8C" w:rsidRPr="00B13CBE">
            <w:rPr>
              <w:rFonts w:ascii="Arial" w:hAnsi="Arial" w:cs="Arial"/>
              <w:color w:val="000000" w:themeColor="text1"/>
              <w:sz w:val="24"/>
              <w:szCs w:val="24"/>
            </w:rPr>
            <w:t xml:space="preserve">different </w:t>
          </w:r>
          <w:r w:rsidR="00163FC3" w:rsidRPr="00B13CBE">
            <w:rPr>
              <w:rFonts w:ascii="Arial" w:hAnsi="Arial" w:cs="Arial"/>
              <w:color w:val="000000" w:themeColor="text1"/>
              <w:sz w:val="24"/>
              <w:szCs w:val="24"/>
            </w:rPr>
            <w:t>financial</w:t>
          </w:r>
          <w:r w:rsidRPr="00B13CBE">
            <w:rPr>
              <w:rFonts w:ascii="Arial" w:hAnsi="Arial" w:cs="Arial"/>
              <w:color w:val="000000" w:themeColor="text1"/>
              <w:sz w:val="24"/>
              <w:szCs w:val="24"/>
            </w:rPr>
            <w:t xml:space="preserve"> markets around the world exist and are time-varying. International investors rely on low correlations across markets to diversify their portfolios from domestic risk.</w:t>
          </w:r>
          <w:r w:rsidR="00163FC3" w:rsidRPr="00B13CBE">
            <w:rPr>
              <w:rFonts w:ascii="Arial" w:hAnsi="Arial" w:cs="Arial"/>
              <w:color w:val="000000" w:themeColor="text1"/>
              <w:sz w:val="24"/>
              <w:szCs w:val="24"/>
            </w:rPr>
            <w:t xml:space="preserve"> High correlation among financial markets reduces the diversification benefits of international portfolios.</w:t>
          </w:r>
          <w:r w:rsidRPr="00B13CBE">
            <w:rPr>
              <w:rFonts w:ascii="Arial" w:hAnsi="Arial" w:cs="Arial"/>
              <w:color w:val="000000" w:themeColor="text1"/>
              <w:sz w:val="24"/>
              <w:szCs w:val="24"/>
            </w:rPr>
            <w:t xml:space="preserve"> This study applies the DCC-GARCH model to investigate the correlations among 12 </w:t>
          </w:r>
          <w:r w:rsidR="00163FC3" w:rsidRPr="00B13CBE">
            <w:rPr>
              <w:rFonts w:ascii="Arial" w:hAnsi="Arial" w:cs="Arial"/>
              <w:color w:val="000000" w:themeColor="text1"/>
              <w:sz w:val="24"/>
              <w:szCs w:val="24"/>
            </w:rPr>
            <w:t xml:space="preserve">randomly sampled </w:t>
          </w:r>
          <w:r w:rsidRPr="00B13CBE">
            <w:rPr>
              <w:rFonts w:ascii="Arial" w:hAnsi="Arial" w:cs="Arial"/>
              <w:color w:val="000000" w:themeColor="text1"/>
              <w:sz w:val="24"/>
              <w:szCs w:val="24"/>
            </w:rPr>
            <w:t>countries</w:t>
          </w:r>
          <w:r w:rsidR="00163FC3"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The 'a' and 'b' parameters of the DCC-GARCH model, which represent short-term and long-term correlations are used to </w:t>
          </w:r>
          <w:r w:rsidR="00163FC3" w:rsidRPr="00B13CBE">
            <w:rPr>
              <w:rFonts w:ascii="Arial" w:hAnsi="Arial" w:cs="Arial"/>
              <w:color w:val="000000" w:themeColor="text1"/>
              <w:sz w:val="24"/>
              <w:szCs w:val="24"/>
            </w:rPr>
            <w:t>measure</w:t>
          </w:r>
          <w:r w:rsidRPr="00B13CBE">
            <w:rPr>
              <w:rFonts w:ascii="Arial" w:hAnsi="Arial" w:cs="Arial"/>
              <w:color w:val="000000" w:themeColor="text1"/>
              <w:sz w:val="24"/>
              <w:szCs w:val="24"/>
            </w:rPr>
            <w:t xml:space="preserve"> the magnitude of correlations among the 12 indices in the sample. Short-term correlations were found to be of small magnitude and not statistically significant. Long-term correlations among the indices were found to be above 0.8 </w:t>
          </w:r>
          <w:r w:rsidR="00163FC3" w:rsidRPr="00B13CBE">
            <w:rPr>
              <w:rFonts w:ascii="Arial" w:hAnsi="Arial" w:cs="Arial"/>
              <w:color w:val="000000" w:themeColor="text1"/>
              <w:sz w:val="24"/>
              <w:szCs w:val="24"/>
            </w:rPr>
            <w:t>between pairs of indices</w:t>
          </w:r>
          <w:r w:rsidR="001A0D8C" w:rsidRPr="00B13CBE">
            <w:rPr>
              <w:rFonts w:ascii="Arial" w:hAnsi="Arial" w:cs="Arial"/>
              <w:color w:val="000000" w:themeColor="text1"/>
              <w:sz w:val="24"/>
              <w:szCs w:val="24"/>
            </w:rPr>
            <w:t xml:space="preserve"> and statistically significant at various confidence levels</w:t>
          </w:r>
          <w:r w:rsidRPr="00B13CBE">
            <w:rPr>
              <w:rFonts w:ascii="Arial" w:hAnsi="Arial" w:cs="Arial"/>
              <w:color w:val="000000" w:themeColor="text1"/>
              <w:sz w:val="24"/>
              <w:szCs w:val="24"/>
            </w:rPr>
            <w:t xml:space="preserve">. China's Shenzhen index had the highest long-term correlations with </w:t>
          </w:r>
          <w:r w:rsidR="00163FC3" w:rsidRPr="00B13CBE">
            <w:rPr>
              <w:rFonts w:ascii="Arial" w:hAnsi="Arial" w:cs="Arial"/>
              <w:color w:val="000000" w:themeColor="text1"/>
              <w:sz w:val="24"/>
              <w:szCs w:val="24"/>
            </w:rPr>
            <w:t>other</w:t>
          </w:r>
          <w:r w:rsidRPr="00B13CBE">
            <w:rPr>
              <w:rFonts w:ascii="Arial" w:hAnsi="Arial" w:cs="Arial"/>
              <w:color w:val="000000" w:themeColor="text1"/>
              <w:sz w:val="24"/>
              <w:szCs w:val="24"/>
            </w:rPr>
            <w:t xml:space="preserve"> indices</w:t>
          </w:r>
          <w:r w:rsidR="00163FC3" w:rsidRPr="00B13CBE">
            <w:rPr>
              <w:rFonts w:ascii="Arial" w:hAnsi="Arial" w:cs="Arial"/>
              <w:color w:val="000000" w:themeColor="text1"/>
              <w:sz w:val="24"/>
              <w:szCs w:val="24"/>
            </w:rPr>
            <w:t xml:space="preserve"> among the 12 indices</w:t>
          </w:r>
          <w:r w:rsidRPr="00B13CBE">
            <w:rPr>
              <w:rFonts w:ascii="Arial" w:hAnsi="Arial" w:cs="Arial"/>
              <w:color w:val="000000" w:themeColor="text1"/>
              <w:sz w:val="24"/>
              <w:szCs w:val="24"/>
            </w:rPr>
            <w:t>.</w:t>
          </w:r>
        </w:p>
        <w:p w14:paraId="00692DA6" w14:textId="77777777" w:rsidR="008978A3" w:rsidRPr="00B13CBE" w:rsidRDefault="00C4772C" w:rsidP="00781A3B">
          <w:pPr>
            <w:spacing w:line="360" w:lineRule="auto"/>
            <w:jc w:val="both"/>
            <w:rPr>
              <w:rFonts w:ascii="Arial" w:hAnsi="Arial" w:cs="Arial"/>
              <w:color w:val="000000" w:themeColor="text1"/>
              <w:spacing w:val="-10"/>
              <w:kern w:val="28"/>
              <w:sz w:val="24"/>
              <w:szCs w:val="24"/>
            </w:rPr>
          </w:pPr>
          <w:r w:rsidRPr="00B13CBE">
            <w:rPr>
              <w:rFonts w:ascii="Arial" w:hAnsi="Arial" w:cs="Arial"/>
              <w:color w:val="000000" w:themeColor="text1"/>
              <w:sz w:val="24"/>
              <w:szCs w:val="24"/>
            </w:rPr>
            <w:br w:type="page"/>
          </w:r>
        </w:p>
        <w:sdt>
          <w:sdtPr>
            <w:rPr>
              <w:rFonts w:ascii="Arial" w:eastAsiaTheme="minorHAnsi" w:hAnsi="Arial" w:cs="Arial"/>
              <w:color w:val="000000" w:themeColor="text1"/>
              <w:sz w:val="24"/>
              <w:szCs w:val="24"/>
            </w:rPr>
            <w:id w:val="1279370726"/>
            <w:docPartObj>
              <w:docPartGallery w:val="Table of Contents"/>
              <w:docPartUnique/>
            </w:docPartObj>
          </w:sdtPr>
          <w:sdtEndPr>
            <w:rPr>
              <w:noProof/>
            </w:rPr>
          </w:sdtEndPr>
          <w:sdtContent>
            <w:p w14:paraId="474FBACD" w14:textId="1380A175" w:rsidR="00FC6236" w:rsidRPr="00B13CBE" w:rsidRDefault="00C4772C" w:rsidP="00FC6236">
              <w:pPr>
                <w:pStyle w:val="TOCHeading"/>
                <w:spacing w:line="360" w:lineRule="auto"/>
                <w:jc w:val="both"/>
                <w:rPr>
                  <w:rFonts w:ascii="Arial" w:hAnsi="Arial" w:cs="Arial"/>
                  <w:color w:val="000000" w:themeColor="text1"/>
                  <w:sz w:val="24"/>
                  <w:szCs w:val="24"/>
                </w:rPr>
              </w:pPr>
              <w:r w:rsidRPr="00B13CBE">
                <w:rPr>
                  <w:rFonts w:ascii="Arial" w:hAnsi="Arial" w:cs="Arial"/>
                  <w:b/>
                  <w:bCs/>
                  <w:color w:val="000000" w:themeColor="text1"/>
                  <w:sz w:val="24"/>
                  <w:szCs w:val="24"/>
                </w:rPr>
                <w:t>Contents</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TOC \o "1-3" \h \z \u </w:instrText>
              </w:r>
              <w:r w:rsidRPr="00B13CBE">
                <w:rPr>
                  <w:rFonts w:ascii="Arial" w:hAnsi="Arial" w:cs="Arial"/>
                  <w:color w:val="000000" w:themeColor="text1"/>
                  <w:sz w:val="24"/>
                  <w:szCs w:val="24"/>
                </w:rPr>
                <w:fldChar w:fldCharType="separate"/>
              </w:r>
            </w:p>
            <w:p w14:paraId="58BE1E2B" w14:textId="3182472A"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47" w:history="1">
                <w:r w:rsidR="00FC6236" w:rsidRPr="00B13CBE">
                  <w:rPr>
                    <w:rStyle w:val="Hyperlink"/>
                    <w:rFonts w:ascii="Arial" w:hAnsi="Arial" w:cs="Arial"/>
                    <w:noProof/>
                  </w:rPr>
                  <w:t>1.1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Background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_Toc82603347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w:t>
                </w:r>
                <w:r w:rsidR="00FC6236" w:rsidRPr="00B13CBE">
                  <w:rPr>
                    <w:rFonts w:ascii="Arial" w:hAnsi="Arial" w:cs="Arial"/>
                    <w:noProof/>
                    <w:webHidden/>
                    <w:sz w:val="24"/>
                    <w:szCs w:val="24"/>
                  </w:rPr>
                  <w:fldChar w:fldCharType="end"/>
                </w:r>
              </w:hyperlink>
            </w:p>
            <w:p w14:paraId="10982D58" w14:textId="05A1698D"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48" w:history="1">
                <w:r w:rsidR="00FC6236" w:rsidRPr="00B13CBE">
                  <w:rPr>
                    <w:rStyle w:val="Hyperlink"/>
                    <w:rFonts w:ascii="Arial" w:hAnsi="Arial" w:cs="Arial"/>
                    <w:noProof/>
                  </w:rPr>
                  <w:t>1.2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Research Question</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_Toc82603348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6</w:t>
                </w:r>
                <w:r w:rsidR="00FC6236" w:rsidRPr="00B13CBE">
                  <w:rPr>
                    <w:rFonts w:ascii="Arial" w:hAnsi="Arial" w:cs="Arial"/>
                    <w:noProof/>
                    <w:webHidden/>
                    <w:sz w:val="24"/>
                    <w:szCs w:val="24"/>
                  </w:rPr>
                  <w:fldChar w:fldCharType="end"/>
                </w:r>
              </w:hyperlink>
            </w:p>
            <w:p w14:paraId="391034A7" w14:textId="78B8C921"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49" w:history="1">
                <w:r w:rsidR="00FC6236" w:rsidRPr="00B13CBE">
                  <w:rPr>
                    <w:rStyle w:val="Hyperlink"/>
                    <w:rFonts w:ascii="Arial" w:hAnsi="Arial" w:cs="Arial"/>
                    <w:noProof/>
                  </w:rPr>
                  <w:t>1.3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Justification of The Study</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_Toc82603349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6</w:t>
                </w:r>
                <w:r w:rsidR="00FC6236" w:rsidRPr="00B13CBE">
                  <w:rPr>
                    <w:rFonts w:ascii="Arial" w:hAnsi="Arial" w:cs="Arial"/>
                    <w:noProof/>
                    <w:webHidden/>
                    <w:sz w:val="24"/>
                    <w:szCs w:val="24"/>
                  </w:rPr>
                  <w:fldChar w:fldCharType="end"/>
                </w:r>
              </w:hyperlink>
            </w:p>
            <w:p w14:paraId="3DC0C089" w14:textId="5A23AF7E"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50" w:history="1">
                <w:r w:rsidR="00FC6236" w:rsidRPr="00B13CBE">
                  <w:rPr>
                    <w:rStyle w:val="Hyperlink"/>
                    <w:rFonts w:ascii="Arial" w:hAnsi="Arial" w:cs="Arial"/>
                    <w:noProof/>
                  </w:rPr>
                  <w:t>1.4</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Structure of The Paper</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_Toc82603350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6</w:t>
                </w:r>
                <w:r w:rsidR="00FC6236" w:rsidRPr="00B13CBE">
                  <w:rPr>
                    <w:rFonts w:ascii="Arial" w:hAnsi="Arial" w:cs="Arial"/>
                    <w:noProof/>
                    <w:webHidden/>
                    <w:sz w:val="24"/>
                    <w:szCs w:val="24"/>
                  </w:rPr>
                  <w:fldChar w:fldCharType="end"/>
                </w:r>
              </w:hyperlink>
            </w:p>
            <w:p w14:paraId="26A727C1" w14:textId="46EDE1B2" w:rsidR="00FC6236" w:rsidRPr="00B13CBE" w:rsidRDefault="00FC49CE">
              <w:pPr>
                <w:pStyle w:val="TOC1"/>
                <w:tabs>
                  <w:tab w:val="left" w:pos="440"/>
                  <w:tab w:val="right" w:leader="dot" w:pos="8630"/>
                </w:tabs>
                <w:rPr>
                  <w:rFonts w:ascii="Arial" w:eastAsiaTheme="minorEastAsia" w:hAnsi="Arial" w:cs="Arial"/>
                  <w:noProof/>
                  <w:sz w:val="24"/>
                  <w:szCs w:val="24"/>
                </w:rPr>
              </w:pPr>
              <w:hyperlink w:anchor="_Toc82603351" w:history="1">
                <w:r w:rsidR="00FC6236" w:rsidRPr="00B13CBE">
                  <w:rPr>
                    <w:rStyle w:val="Hyperlink"/>
                    <w:rFonts w:ascii="Arial" w:hAnsi="Arial" w:cs="Arial"/>
                    <w:noProof/>
                  </w:rPr>
                  <w:t>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LITERATURE REVIEW</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_Toc82603351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8</w:t>
                </w:r>
                <w:r w:rsidR="00FC6236" w:rsidRPr="00B13CBE">
                  <w:rPr>
                    <w:rFonts w:ascii="Arial" w:hAnsi="Arial" w:cs="Arial"/>
                    <w:noProof/>
                    <w:webHidden/>
                    <w:sz w:val="24"/>
                    <w:szCs w:val="24"/>
                  </w:rPr>
                  <w:fldChar w:fldCharType="end"/>
                </w:r>
              </w:hyperlink>
            </w:p>
            <w:p w14:paraId="75ACE4BC" w14:textId="3B29D656"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52" w:history="1">
                <w:r w:rsidR="00FC6236" w:rsidRPr="00B13CBE">
                  <w:rPr>
                    <w:rStyle w:val="Hyperlink"/>
                    <w:rFonts w:ascii="Arial" w:hAnsi="Arial" w:cs="Arial"/>
                    <w:noProof/>
                  </w:rPr>
                  <w:t>2.1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The Volatility of Asset Returns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_Toc82603352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8</w:t>
                </w:r>
                <w:r w:rsidR="00FC6236" w:rsidRPr="00B13CBE">
                  <w:rPr>
                    <w:rFonts w:ascii="Arial" w:hAnsi="Arial" w:cs="Arial"/>
                    <w:noProof/>
                    <w:webHidden/>
                    <w:sz w:val="24"/>
                    <w:szCs w:val="24"/>
                  </w:rPr>
                  <w:fldChar w:fldCharType="end"/>
                </w:r>
              </w:hyperlink>
            </w:p>
            <w:p w14:paraId="04D00766" w14:textId="6EF1DB24"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53" w:history="1">
                <w:r w:rsidR="00FC6236" w:rsidRPr="00B13CBE">
                  <w:rPr>
                    <w:rStyle w:val="Hyperlink"/>
                    <w:rFonts w:ascii="Arial" w:hAnsi="Arial" w:cs="Arial"/>
                    <w:noProof/>
                  </w:rPr>
                  <w:t>2.2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Asset Allocation and Risk Management Frameworks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_Toc82603353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11</w:t>
                </w:r>
                <w:r w:rsidR="00FC6236" w:rsidRPr="00B13CBE">
                  <w:rPr>
                    <w:rFonts w:ascii="Arial" w:hAnsi="Arial" w:cs="Arial"/>
                    <w:noProof/>
                    <w:webHidden/>
                    <w:sz w:val="24"/>
                    <w:szCs w:val="24"/>
                  </w:rPr>
                  <w:fldChar w:fldCharType="end"/>
                </w:r>
              </w:hyperlink>
            </w:p>
            <w:p w14:paraId="3BB87459" w14:textId="59EAE7B6"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54" w:history="1">
                <w:r w:rsidR="00FC6236" w:rsidRPr="00B13CBE">
                  <w:rPr>
                    <w:rStyle w:val="Hyperlink"/>
                    <w:rFonts w:ascii="Arial" w:hAnsi="Arial" w:cs="Arial"/>
                    <w:noProof/>
                  </w:rPr>
                  <w:t>2.2.1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Modern Portfolio Theory</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_Toc82603354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12</w:t>
                </w:r>
                <w:r w:rsidR="00FC6236" w:rsidRPr="00B13CBE">
                  <w:rPr>
                    <w:rFonts w:ascii="Arial" w:hAnsi="Arial" w:cs="Arial"/>
                    <w:noProof/>
                    <w:webHidden/>
                    <w:sz w:val="24"/>
                    <w:szCs w:val="24"/>
                  </w:rPr>
                  <w:fldChar w:fldCharType="end"/>
                </w:r>
              </w:hyperlink>
            </w:p>
            <w:p w14:paraId="2E545F30" w14:textId="13ADB3CF"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55" w:history="1">
                <w:r w:rsidR="00FC6236" w:rsidRPr="00B13CBE">
                  <w:rPr>
                    <w:rStyle w:val="Hyperlink"/>
                    <w:rFonts w:ascii="Arial" w:hAnsi="Arial" w:cs="Arial"/>
                    <w:noProof/>
                  </w:rPr>
                  <w:t>2.2.2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Capital Asset Pricing Model (CAPM)</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_Toc82603355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15</w:t>
                </w:r>
                <w:r w:rsidR="00FC6236" w:rsidRPr="00B13CBE">
                  <w:rPr>
                    <w:rFonts w:ascii="Arial" w:hAnsi="Arial" w:cs="Arial"/>
                    <w:noProof/>
                    <w:webHidden/>
                    <w:sz w:val="24"/>
                    <w:szCs w:val="24"/>
                  </w:rPr>
                  <w:fldChar w:fldCharType="end"/>
                </w:r>
              </w:hyperlink>
            </w:p>
            <w:p w14:paraId="75D47AA4" w14:textId="75158E90"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56" w:history="1">
                <w:r w:rsidR="00FC6236" w:rsidRPr="00B13CBE">
                  <w:rPr>
                    <w:rStyle w:val="Hyperlink"/>
                    <w:rFonts w:ascii="Arial" w:hAnsi="Arial" w:cs="Arial"/>
                    <w:noProof/>
                  </w:rPr>
                  <w:t>2.3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International Markets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_Toc82603356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17</w:t>
                </w:r>
                <w:r w:rsidR="00FC6236" w:rsidRPr="00B13CBE">
                  <w:rPr>
                    <w:rFonts w:ascii="Arial" w:hAnsi="Arial" w:cs="Arial"/>
                    <w:noProof/>
                    <w:webHidden/>
                    <w:sz w:val="24"/>
                    <w:szCs w:val="24"/>
                  </w:rPr>
                  <w:fldChar w:fldCharType="end"/>
                </w:r>
              </w:hyperlink>
            </w:p>
            <w:p w14:paraId="7371ED58" w14:textId="78E527F3"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57" w:history="1">
                <w:r w:rsidR="00FC6236" w:rsidRPr="00B13CBE">
                  <w:rPr>
                    <w:rStyle w:val="Hyperlink"/>
                    <w:rFonts w:ascii="Arial" w:hAnsi="Arial" w:cs="Arial"/>
                    <w:noProof/>
                  </w:rPr>
                  <w:t>2.3.1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Financial Contagion</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_Toc82603357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18</w:t>
                </w:r>
                <w:r w:rsidR="00FC6236" w:rsidRPr="00B13CBE">
                  <w:rPr>
                    <w:rFonts w:ascii="Arial" w:hAnsi="Arial" w:cs="Arial"/>
                    <w:noProof/>
                    <w:webHidden/>
                    <w:sz w:val="24"/>
                    <w:szCs w:val="24"/>
                  </w:rPr>
                  <w:fldChar w:fldCharType="end"/>
                </w:r>
              </w:hyperlink>
            </w:p>
            <w:p w14:paraId="74AB4E43" w14:textId="6D1E2E7D"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58" w:history="1">
                <w:r w:rsidR="00FC6236" w:rsidRPr="00B13CBE">
                  <w:rPr>
                    <w:rStyle w:val="Hyperlink"/>
                    <w:rFonts w:ascii="Arial" w:hAnsi="Arial" w:cs="Arial"/>
                    <w:noProof/>
                  </w:rPr>
                  <w:t>2.3.2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Interdependence</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_Toc82603358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21</w:t>
                </w:r>
                <w:r w:rsidR="00FC6236" w:rsidRPr="00B13CBE">
                  <w:rPr>
                    <w:rFonts w:ascii="Arial" w:hAnsi="Arial" w:cs="Arial"/>
                    <w:noProof/>
                    <w:webHidden/>
                    <w:sz w:val="24"/>
                    <w:szCs w:val="24"/>
                  </w:rPr>
                  <w:fldChar w:fldCharType="end"/>
                </w:r>
              </w:hyperlink>
            </w:p>
            <w:p w14:paraId="6AE665EF" w14:textId="7F23E0F3" w:rsidR="00FC6236" w:rsidRPr="00B13CBE" w:rsidRDefault="00FC49CE">
              <w:pPr>
                <w:pStyle w:val="TOC1"/>
                <w:tabs>
                  <w:tab w:val="left" w:pos="440"/>
                  <w:tab w:val="right" w:leader="dot" w:pos="8630"/>
                </w:tabs>
                <w:rPr>
                  <w:rFonts w:ascii="Arial" w:eastAsiaTheme="minorEastAsia" w:hAnsi="Arial" w:cs="Arial"/>
                  <w:noProof/>
                  <w:sz w:val="24"/>
                  <w:szCs w:val="24"/>
                </w:rPr>
              </w:pPr>
              <w:hyperlink w:anchor="_Toc82603359" w:history="1">
                <w:r w:rsidR="00FC6236" w:rsidRPr="00B13CBE">
                  <w:rPr>
                    <w:rStyle w:val="Hyperlink"/>
                    <w:rFonts w:ascii="Arial" w:hAnsi="Arial" w:cs="Arial"/>
                    <w:noProof/>
                  </w:rPr>
                  <w:t>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DATA</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_Toc82603359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23</w:t>
                </w:r>
                <w:r w:rsidR="00FC6236" w:rsidRPr="00B13CBE">
                  <w:rPr>
                    <w:rFonts w:ascii="Arial" w:hAnsi="Arial" w:cs="Arial"/>
                    <w:noProof/>
                    <w:webHidden/>
                    <w:sz w:val="24"/>
                    <w:szCs w:val="24"/>
                  </w:rPr>
                  <w:fldChar w:fldCharType="end"/>
                </w:r>
              </w:hyperlink>
            </w:p>
            <w:p w14:paraId="23E17CEF" w14:textId="613FA763"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0" w:history="1">
                <w:r w:rsidR="00FC6236" w:rsidRPr="00B13CBE">
                  <w:rPr>
                    <w:rStyle w:val="Hyperlink"/>
                    <w:rFonts w:ascii="Arial" w:hAnsi="Arial" w:cs="Arial"/>
                    <w:noProof/>
                  </w:rPr>
                  <w:t>3.1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Data Description</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_Toc82603360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23</w:t>
                </w:r>
                <w:r w:rsidR="00FC6236" w:rsidRPr="00B13CBE">
                  <w:rPr>
                    <w:rFonts w:ascii="Arial" w:hAnsi="Arial" w:cs="Arial"/>
                    <w:noProof/>
                    <w:webHidden/>
                    <w:sz w:val="24"/>
                    <w:szCs w:val="24"/>
                  </w:rPr>
                  <w:fldChar w:fldCharType="end"/>
                </w:r>
              </w:hyperlink>
            </w:p>
            <w:p w14:paraId="1C82A116" w14:textId="1E7716CC"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1" w:history="1">
                <w:r w:rsidR="00FC6236" w:rsidRPr="00B13CBE">
                  <w:rPr>
                    <w:rStyle w:val="Hyperlink"/>
                    <w:rFonts w:ascii="Arial" w:hAnsi="Arial" w:cs="Arial"/>
                    <w:noProof/>
                  </w:rPr>
                  <w:t>3.2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Summary Statistics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_Toc82603361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25</w:t>
                </w:r>
                <w:r w:rsidR="00FC6236" w:rsidRPr="00B13CBE">
                  <w:rPr>
                    <w:rFonts w:ascii="Arial" w:hAnsi="Arial" w:cs="Arial"/>
                    <w:noProof/>
                    <w:webHidden/>
                    <w:sz w:val="24"/>
                    <w:szCs w:val="24"/>
                  </w:rPr>
                  <w:fldChar w:fldCharType="end"/>
                </w:r>
              </w:hyperlink>
            </w:p>
            <w:p w14:paraId="5A6A8EAD" w14:textId="309B4CCE"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2" w:history="1">
                <w:r w:rsidR="00FC6236" w:rsidRPr="00B13CBE">
                  <w:rPr>
                    <w:rStyle w:val="Hyperlink"/>
                    <w:rFonts w:ascii="Arial" w:hAnsi="Arial" w:cs="Arial"/>
                    <w:noProof/>
                  </w:rPr>
                  <w:t>3.3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Sample Correlations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_Toc82603362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27</w:t>
                </w:r>
                <w:r w:rsidR="00FC6236" w:rsidRPr="00B13CBE">
                  <w:rPr>
                    <w:rFonts w:ascii="Arial" w:hAnsi="Arial" w:cs="Arial"/>
                    <w:noProof/>
                    <w:webHidden/>
                    <w:sz w:val="24"/>
                    <w:szCs w:val="24"/>
                  </w:rPr>
                  <w:fldChar w:fldCharType="end"/>
                </w:r>
              </w:hyperlink>
            </w:p>
            <w:p w14:paraId="44F059D7" w14:textId="07420240" w:rsidR="00FC6236" w:rsidRPr="00B13CBE" w:rsidRDefault="00FC49CE">
              <w:pPr>
                <w:pStyle w:val="TOC1"/>
                <w:tabs>
                  <w:tab w:val="left" w:pos="440"/>
                  <w:tab w:val="right" w:leader="dot" w:pos="8630"/>
                </w:tabs>
                <w:rPr>
                  <w:rFonts w:ascii="Arial" w:eastAsiaTheme="minorEastAsia" w:hAnsi="Arial" w:cs="Arial"/>
                  <w:noProof/>
                  <w:sz w:val="24"/>
                  <w:szCs w:val="24"/>
                </w:rPr>
              </w:pPr>
              <w:hyperlink w:anchor="_Toc82603363" w:history="1">
                <w:r w:rsidR="00FC6236" w:rsidRPr="00B13CBE">
                  <w:rPr>
                    <w:rStyle w:val="Hyperlink"/>
                    <w:rFonts w:ascii="Arial" w:hAnsi="Arial" w:cs="Arial"/>
                    <w:noProof/>
                  </w:rPr>
                  <w:t>4.</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METHODOLOGY</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_Toc82603363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29</w:t>
                </w:r>
                <w:r w:rsidR="00FC6236" w:rsidRPr="00B13CBE">
                  <w:rPr>
                    <w:rFonts w:ascii="Arial" w:hAnsi="Arial" w:cs="Arial"/>
                    <w:noProof/>
                    <w:webHidden/>
                    <w:sz w:val="24"/>
                    <w:szCs w:val="24"/>
                  </w:rPr>
                  <w:fldChar w:fldCharType="end"/>
                </w:r>
              </w:hyperlink>
            </w:p>
            <w:p w14:paraId="53B36286" w14:textId="34287335"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4" w:history="1">
                <w:r w:rsidR="00FC6236" w:rsidRPr="00B13CBE">
                  <w:rPr>
                    <w:rStyle w:val="Hyperlink"/>
                    <w:rFonts w:ascii="Arial" w:hAnsi="Arial" w:cs="Arial"/>
                    <w:noProof/>
                  </w:rPr>
                  <w:t>4.1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Testing for GARCH Requirements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_Toc82603364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29</w:t>
                </w:r>
                <w:r w:rsidR="00FC6236" w:rsidRPr="00B13CBE">
                  <w:rPr>
                    <w:rFonts w:ascii="Arial" w:hAnsi="Arial" w:cs="Arial"/>
                    <w:noProof/>
                    <w:webHidden/>
                    <w:sz w:val="24"/>
                    <w:szCs w:val="24"/>
                  </w:rPr>
                  <w:fldChar w:fldCharType="end"/>
                </w:r>
              </w:hyperlink>
            </w:p>
            <w:p w14:paraId="23D78B38" w14:textId="0228FDFE"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65" w:history="1">
                <w:r w:rsidR="00FC6236" w:rsidRPr="00B13CBE">
                  <w:rPr>
                    <w:rStyle w:val="Hyperlink"/>
                    <w:rFonts w:ascii="Arial" w:hAnsi="Arial" w:cs="Arial"/>
                    <w:noProof/>
                  </w:rPr>
                  <w:t>4.1.1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Stationarity</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_Toc82603365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29</w:t>
                </w:r>
                <w:r w:rsidR="00FC6236" w:rsidRPr="00B13CBE">
                  <w:rPr>
                    <w:rFonts w:ascii="Arial" w:hAnsi="Arial" w:cs="Arial"/>
                    <w:noProof/>
                    <w:webHidden/>
                    <w:sz w:val="24"/>
                    <w:szCs w:val="24"/>
                  </w:rPr>
                  <w:fldChar w:fldCharType="end"/>
                </w:r>
              </w:hyperlink>
            </w:p>
            <w:p w14:paraId="1F04A356" w14:textId="0F24C0B5" w:rsidR="00FC6236" w:rsidRPr="00B13CBE" w:rsidRDefault="00FC49CE">
              <w:pPr>
                <w:pStyle w:val="TOC3"/>
                <w:tabs>
                  <w:tab w:val="left" w:pos="1320"/>
                  <w:tab w:val="right" w:leader="dot" w:pos="8630"/>
                </w:tabs>
                <w:rPr>
                  <w:rFonts w:ascii="Arial" w:eastAsiaTheme="minorEastAsia" w:hAnsi="Arial" w:cs="Arial"/>
                  <w:noProof/>
                  <w:sz w:val="24"/>
                  <w:szCs w:val="24"/>
                </w:rPr>
              </w:pPr>
              <w:hyperlink w:anchor="_Toc82603366" w:history="1">
                <w:r w:rsidR="00FC6236" w:rsidRPr="00B13CBE">
                  <w:rPr>
                    <w:rStyle w:val="Hyperlink"/>
                    <w:rFonts w:ascii="Arial" w:hAnsi="Arial" w:cs="Arial"/>
                    <w:noProof/>
                  </w:rPr>
                  <w:t>4.1.2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ARCH Effects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_Toc82603366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31</w:t>
                </w:r>
                <w:r w:rsidR="00FC6236" w:rsidRPr="00B13CBE">
                  <w:rPr>
                    <w:rFonts w:ascii="Arial" w:hAnsi="Arial" w:cs="Arial"/>
                    <w:noProof/>
                    <w:webHidden/>
                    <w:sz w:val="24"/>
                    <w:szCs w:val="24"/>
                  </w:rPr>
                  <w:fldChar w:fldCharType="end"/>
                </w:r>
              </w:hyperlink>
            </w:p>
            <w:p w14:paraId="0FFAD25E" w14:textId="3172C47B"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7" w:history="1">
                <w:r w:rsidR="00FC6236" w:rsidRPr="00B13CBE">
                  <w:rPr>
                    <w:rStyle w:val="Hyperlink"/>
                    <w:rFonts w:ascii="Arial" w:hAnsi="Arial" w:cs="Arial"/>
                    <w:noProof/>
                  </w:rPr>
                  <w:t>4.2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DCC-GARCH</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_Toc82603367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32</w:t>
                </w:r>
                <w:r w:rsidR="00FC6236" w:rsidRPr="00B13CBE">
                  <w:rPr>
                    <w:rFonts w:ascii="Arial" w:hAnsi="Arial" w:cs="Arial"/>
                    <w:noProof/>
                    <w:webHidden/>
                    <w:sz w:val="24"/>
                    <w:szCs w:val="24"/>
                  </w:rPr>
                  <w:fldChar w:fldCharType="end"/>
                </w:r>
              </w:hyperlink>
            </w:p>
            <w:p w14:paraId="24651580" w14:textId="167C0203"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68" w:history="1">
                <w:r w:rsidR="00FC6236" w:rsidRPr="00B13CBE">
                  <w:rPr>
                    <w:rStyle w:val="Hyperlink"/>
                    <w:rFonts w:ascii="Arial" w:hAnsi="Arial" w:cs="Arial"/>
                    <w:noProof/>
                  </w:rPr>
                  <w:t>4.3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Evaluation Procedure</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_Toc82603368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35</w:t>
                </w:r>
                <w:r w:rsidR="00FC6236" w:rsidRPr="00B13CBE">
                  <w:rPr>
                    <w:rFonts w:ascii="Arial" w:hAnsi="Arial" w:cs="Arial"/>
                    <w:noProof/>
                    <w:webHidden/>
                    <w:sz w:val="24"/>
                    <w:szCs w:val="24"/>
                  </w:rPr>
                  <w:fldChar w:fldCharType="end"/>
                </w:r>
              </w:hyperlink>
            </w:p>
            <w:p w14:paraId="54F68F90" w14:textId="2BF42137" w:rsidR="00FC6236" w:rsidRPr="00B13CBE" w:rsidRDefault="00FC49CE">
              <w:pPr>
                <w:pStyle w:val="TOC1"/>
                <w:tabs>
                  <w:tab w:val="left" w:pos="440"/>
                  <w:tab w:val="right" w:leader="dot" w:pos="8630"/>
                </w:tabs>
                <w:rPr>
                  <w:rFonts w:ascii="Arial" w:eastAsiaTheme="minorEastAsia" w:hAnsi="Arial" w:cs="Arial"/>
                  <w:noProof/>
                  <w:sz w:val="24"/>
                  <w:szCs w:val="24"/>
                </w:rPr>
              </w:pPr>
              <w:hyperlink w:anchor="_Toc82603369" w:history="1">
                <w:r w:rsidR="00FC6236" w:rsidRPr="00B13CBE">
                  <w:rPr>
                    <w:rStyle w:val="Hyperlink"/>
                    <w:rFonts w:ascii="Arial" w:hAnsi="Arial" w:cs="Arial"/>
                    <w:noProof/>
                  </w:rPr>
                  <w:t>5.</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RESULTS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_Toc82603369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36</w:t>
                </w:r>
                <w:r w:rsidR="00FC6236" w:rsidRPr="00B13CBE">
                  <w:rPr>
                    <w:rFonts w:ascii="Arial" w:hAnsi="Arial" w:cs="Arial"/>
                    <w:noProof/>
                    <w:webHidden/>
                    <w:sz w:val="24"/>
                    <w:szCs w:val="24"/>
                  </w:rPr>
                  <w:fldChar w:fldCharType="end"/>
                </w:r>
              </w:hyperlink>
            </w:p>
            <w:p w14:paraId="11EE6CC5" w14:textId="5AD117EF"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0" w:history="1">
                <w:r w:rsidR="00FC6236" w:rsidRPr="00B13CBE">
                  <w:rPr>
                    <w:rStyle w:val="Hyperlink"/>
                    <w:rFonts w:ascii="Arial" w:hAnsi="Arial" w:cs="Arial"/>
                    <w:noProof/>
                  </w:rPr>
                  <w:t>5.1</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Results of the Test for Stationarity</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_Toc82603370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36</w:t>
                </w:r>
                <w:r w:rsidR="00FC6236" w:rsidRPr="00B13CBE">
                  <w:rPr>
                    <w:rFonts w:ascii="Arial" w:hAnsi="Arial" w:cs="Arial"/>
                    <w:noProof/>
                    <w:webHidden/>
                    <w:sz w:val="24"/>
                    <w:szCs w:val="24"/>
                  </w:rPr>
                  <w:fldChar w:fldCharType="end"/>
                </w:r>
              </w:hyperlink>
            </w:p>
            <w:p w14:paraId="02CF72CC" w14:textId="5C96D797"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1" w:history="1">
                <w:r w:rsidR="00FC6236" w:rsidRPr="00B13CBE">
                  <w:rPr>
                    <w:rStyle w:val="Hyperlink"/>
                    <w:rFonts w:ascii="Arial" w:hAnsi="Arial" w:cs="Arial"/>
                    <w:noProof/>
                  </w:rPr>
                  <w:t>5.2</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Results of the ARCH Effects Tests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_Toc82603371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37</w:t>
                </w:r>
                <w:r w:rsidR="00FC6236" w:rsidRPr="00B13CBE">
                  <w:rPr>
                    <w:rFonts w:ascii="Arial" w:hAnsi="Arial" w:cs="Arial"/>
                    <w:noProof/>
                    <w:webHidden/>
                    <w:sz w:val="24"/>
                    <w:szCs w:val="24"/>
                  </w:rPr>
                  <w:fldChar w:fldCharType="end"/>
                </w:r>
              </w:hyperlink>
            </w:p>
            <w:p w14:paraId="6B73BC8C" w14:textId="4ADCE2F2"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2" w:history="1">
                <w:r w:rsidR="00FC6236" w:rsidRPr="00B13CBE">
                  <w:rPr>
                    <w:rStyle w:val="Hyperlink"/>
                    <w:rFonts w:ascii="Arial" w:hAnsi="Arial" w:cs="Arial"/>
                    <w:noProof/>
                  </w:rPr>
                  <w:t>5.3</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the U.S.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_Toc82603372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38</w:t>
                </w:r>
                <w:r w:rsidR="00FC6236" w:rsidRPr="00B13CBE">
                  <w:rPr>
                    <w:rFonts w:ascii="Arial" w:hAnsi="Arial" w:cs="Arial"/>
                    <w:noProof/>
                    <w:webHidden/>
                    <w:sz w:val="24"/>
                    <w:szCs w:val="24"/>
                  </w:rPr>
                  <w:fldChar w:fldCharType="end"/>
                </w:r>
              </w:hyperlink>
            </w:p>
            <w:p w14:paraId="521528CB" w14:textId="7E4F9B29"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3" w:history="1">
                <w:r w:rsidR="00FC6236" w:rsidRPr="00B13CBE">
                  <w:rPr>
                    <w:rStyle w:val="Hyperlink"/>
                    <w:rFonts w:ascii="Arial" w:hAnsi="Arial" w:cs="Arial"/>
                    <w:noProof/>
                  </w:rPr>
                  <w:t>5.4</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Germany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_Toc82603373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41</w:t>
                </w:r>
                <w:r w:rsidR="00FC6236" w:rsidRPr="00B13CBE">
                  <w:rPr>
                    <w:rFonts w:ascii="Arial" w:hAnsi="Arial" w:cs="Arial"/>
                    <w:noProof/>
                    <w:webHidden/>
                    <w:sz w:val="24"/>
                    <w:szCs w:val="24"/>
                  </w:rPr>
                  <w:fldChar w:fldCharType="end"/>
                </w:r>
              </w:hyperlink>
            </w:p>
            <w:p w14:paraId="10CACDBD" w14:textId="4762A5DC"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4" w:history="1">
                <w:r w:rsidR="00FC6236" w:rsidRPr="00B13CBE">
                  <w:rPr>
                    <w:rStyle w:val="Hyperlink"/>
                    <w:rFonts w:ascii="Arial" w:hAnsi="Arial" w:cs="Arial"/>
                    <w:noProof/>
                  </w:rPr>
                  <w:t>5.5</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France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_Toc82603374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43</w:t>
                </w:r>
                <w:r w:rsidR="00FC6236" w:rsidRPr="00B13CBE">
                  <w:rPr>
                    <w:rFonts w:ascii="Arial" w:hAnsi="Arial" w:cs="Arial"/>
                    <w:noProof/>
                    <w:webHidden/>
                    <w:sz w:val="24"/>
                    <w:szCs w:val="24"/>
                  </w:rPr>
                  <w:fldChar w:fldCharType="end"/>
                </w:r>
              </w:hyperlink>
            </w:p>
            <w:p w14:paraId="4F4384E8" w14:textId="290E1AE4"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5" w:history="1">
                <w:r w:rsidR="00FC6236" w:rsidRPr="00B13CBE">
                  <w:rPr>
                    <w:rStyle w:val="Hyperlink"/>
                    <w:rFonts w:ascii="Arial" w:hAnsi="Arial" w:cs="Arial"/>
                    <w:noProof/>
                  </w:rPr>
                  <w:t>5.6</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the U.K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_Toc82603375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44</w:t>
                </w:r>
                <w:r w:rsidR="00FC6236" w:rsidRPr="00B13CBE">
                  <w:rPr>
                    <w:rFonts w:ascii="Arial" w:hAnsi="Arial" w:cs="Arial"/>
                    <w:noProof/>
                    <w:webHidden/>
                    <w:sz w:val="24"/>
                    <w:szCs w:val="24"/>
                  </w:rPr>
                  <w:fldChar w:fldCharType="end"/>
                </w:r>
              </w:hyperlink>
            </w:p>
            <w:p w14:paraId="6C4E896D" w14:textId="59A11D00"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6" w:history="1">
                <w:r w:rsidR="00FC6236" w:rsidRPr="00B13CBE">
                  <w:rPr>
                    <w:rStyle w:val="Hyperlink"/>
                    <w:rFonts w:ascii="Arial" w:hAnsi="Arial" w:cs="Arial"/>
                    <w:noProof/>
                  </w:rPr>
                  <w:t>5.7</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Japan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_Toc82603376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46</w:t>
                </w:r>
                <w:r w:rsidR="00FC6236" w:rsidRPr="00B13CBE">
                  <w:rPr>
                    <w:rFonts w:ascii="Arial" w:hAnsi="Arial" w:cs="Arial"/>
                    <w:noProof/>
                    <w:webHidden/>
                    <w:sz w:val="24"/>
                    <w:szCs w:val="24"/>
                  </w:rPr>
                  <w:fldChar w:fldCharType="end"/>
                </w:r>
              </w:hyperlink>
            </w:p>
            <w:p w14:paraId="1BFB0FF0" w14:textId="2E7DDB74"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7" w:history="1">
                <w:r w:rsidR="00FC6236" w:rsidRPr="00B13CBE">
                  <w:rPr>
                    <w:rStyle w:val="Hyperlink"/>
                    <w:rFonts w:ascii="Arial" w:hAnsi="Arial" w:cs="Arial"/>
                    <w:noProof/>
                  </w:rPr>
                  <w:t>5.8</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Hong Kong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_Toc82603377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47</w:t>
                </w:r>
                <w:r w:rsidR="00FC6236" w:rsidRPr="00B13CBE">
                  <w:rPr>
                    <w:rFonts w:ascii="Arial" w:hAnsi="Arial" w:cs="Arial"/>
                    <w:noProof/>
                    <w:webHidden/>
                    <w:sz w:val="24"/>
                    <w:szCs w:val="24"/>
                  </w:rPr>
                  <w:fldChar w:fldCharType="end"/>
                </w:r>
              </w:hyperlink>
            </w:p>
            <w:p w14:paraId="099F2F0D" w14:textId="3CDA9485"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8" w:history="1">
                <w:r w:rsidR="00FC6236" w:rsidRPr="00B13CBE">
                  <w:rPr>
                    <w:rStyle w:val="Hyperlink"/>
                    <w:rFonts w:ascii="Arial" w:hAnsi="Arial" w:cs="Arial"/>
                    <w:noProof/>
                  </w:rPr>
                  <w:t>5.9</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China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_Toc82603378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49</w:t>
                </w:r>
                <w:r w:rsidR="00FC6236" w:rsidRPr="00B13CBE">
                  <w:rPr>
                    <w:rFonts w:ascii="Arial" w:hAnsi="Arial" w:cs="Arial"/>
                    <w:noProof/>
                    <w:webHidden/>
                    <w:sz w:val="24"/>
                    <w:szCs w:val="24"/>
                  </w:rPr>
                  <w:fldChar w:fldCharType="end"/>
                </w:r>
              </w:hyperlink>
            </w:p>
            <w:p w14:paraId="3ADCB66D" w14:textId="47F94885" w:rsidR="00FC6236" w:rsidRPr="00B13CBE" w:rsidRDefault="00FC49CE">
              <w:pPr>
                <w:pStyle w:val="TOC2"/>
                <w:tabs>
                  <w:tab w:val="left" w:pos="880"/>
                  <w:tab w:val="right" w:leader="dot" w:pos="8630"/>
                </w:tabs>
                <w:rPr>
                  <w:rFonts w:ascii="Arial" w:eastAsiaTheme="minorEastAsia" w:hAnsi="Arial" w:cs="Arial"/>
                  <w:noProof/>
                  <w:sz w:val="24"/>
                  <w:szCs w:val="24"/>
                </w:rPr>
              </w:pPr>
              <w:hyperlink w:anchor="_Toc82603379" w:history="1">
                <w:r w:rsidR="00FC6236" w:rsidRPr="00B13CBE">
                  <w:rPr>
                    <w:rStyle w:val="Hyperlink"/>
                    <w:rFonts w:ascii="Arial" w:hAnsi="Arial" w:cs="Arial"/>
                    <w:noProof/>
                  </w:rPr>
                  <w:t>5.10</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Correlation between Mexico and Other Parts of The World.</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_Toc82603379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50</w:t>
                </w:r>
                <w:r w:rsidR="00FC6236" w:rsidRPr="00B13CBE">
                  <w:rPr>
                    <w:rFonts w:ascii="Arial" w:hAnsi="Arial" w:cs="Arial"/>
                    <w:noProof/>
                    <w:webHidden/>
                    <w:sz w:val="24"/>
                    <w:szCs w:val="24"/>
                  </w:rPr>
                  <w:fldChar w:fldCharType="end"/>
                </w:r>
              </w:hyperlink>
            </w:p>
            <w:p w14:paraId="404F4FFC" w14:textId="184955F7" w:rsidR="00FC6236" w:rsidRPr="00B13CBE" w:rsidRDefault="00FC49CE">
              <w:pPr>
                <w:pStyle w:val="TOC1"/>
                <w:tabs>
                  <w:tab w:val="left" w:pos="440"/>
                  <w:tab w:val="right" w:leader="dot" w:pos="8630"/>
                </w:tabs>
                <w:rPr>
                  <w:rFonts w:ascii="Arial" w:eastAsiaTheme="minorEastAsia" w:hAnsi="Arial" w:cs="Arial"/>
                  <w:noProof/>
                  <w:sz w:val="24"/>
                  <w:szCs w:val="24"/>
                </w:rPr>
              </w:pPr>
              <w:hyperlink w:anchor="_Toc82603380" w:history="1">
                <w:r w:rsidR="00FC6236" w:rsidRPr="00B13CBE">
                  <w:rPr>
                    <w:rStyle w:val="Hyperlink"/>
                    <w:rFonts w:ascii="Arial" w:hAnsi="Arial" w:cs="Arial"/>
                    <w:noProof/>
                  </w:rPr>
                  <w:t>6.</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CONCLUSIONS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_Toc82603380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52</w:t>
                </w:r>
                <w:r w:rsidR="00FC6236" w:rsidRPr="00B13CBE">
                  <w:rPr>
                    <w:rFonts w:ascii="Arial" w:hAnsi="Arial" w:cs="Arial"/>
                    <w:noProof/>
                    <w:webHidden/>
                    <w:sz w:val="24"/>
                    <w:szCs w:val="24"/>
                  </w:rPr>
                  <w:fldChar w:fldCharType="end"/>
                </w:r>
              </w:hyperlink>
            </w:p>
            <w:p w14:paraId="3DBC4EF6" w14:textId="46DF8C14" w:rsidR="00FC6236" w:rsidRPr="00B13CBE" w:rsidRDefault="00FC49CE">
              <w:pPr>
                <w:pStyle w:val="TOC1"/>
                <w:tabs>
                  <w:tab w:val="left" w:pos="440"/>
                  <w:tab w:val="right" w:leader="dot" w:pos="8630"/>
                </w:tabs>
                <w:rPr>
                  <w:rFonts w:ascii="Arial" w:eastAsiaTheme="minorEastAsia" w:hAnsi="Arial" w:cs="Arial"/>
                  <w:noProof/>
                </w:rPr>
              </w:pPr>
              <w:hyperlink w:anchor="_Toc82603381" w:history="1">
                <w:r w:rsidR="00FC6236" w:rsidRPr="00B13CBE">
                  <w:rPr>
                    <w:rStyle w:val="Hyperlink"/>
                    <w:rFonts w:ascii="Arial" w:hAnsi="Arial" w:cs="Arial"/>
                    <w:noProof/>
                  </w:rPr>
                  <w:t>7.</w:t>
                </w:r>
                <w:r w:rsidR="00FC6236" w:rsidRPr="00B13CBE">
                  <w:rPr>
                    <w:rFonts w:ascii="Arial" w:eastAsiaTheme="minorEastAsia" w:hAnsi="Arial" w:cs="Arial"/>
                    <w:noProof/>
                    <w:sz w:val="24"/>
                    <w:szCs w:val="24"/>
                  </w:rPr>
                  <w:tab/>
                </w:r>
                <w:r w:rsidR="00FC6236" w:rsidRPr="00B13CBE">
                  <w:rPr>
                    <w:rStyle w:val="Hyperlink"/>
                    <w:rFonts w:ascii="Arial" w:hAnsi="Arial" w:cs="Arial"/>
                    <w:noProof/>
                  </w:rPr>
                  <w:t>REFERENCES</w:t>
                </w:r>
                <w:r w:rsidR="00FC6236" w:rsidRPr="00B13CBE">
                  <w:rPr>
                    <w:rFonts w:ascii="Arial" w:hAnsi="Arial" w:cs="Arial"/>
                    <w:noProof/>
                    <w:webHidden/>
                    <w:sz w:val="24"/>
                    <w:szCs w:val="24"/>
                  </w:rPr>
                  <w:tab/>
                </w:r>
                <w:r w:rsidR="00FC6236" w:rsidRPr="00B13CBE">
                  <w:rPr>
                    <w:rFonts w:ascii="Arial" w:hAnsi="Arial" w:cs="Arial"/>
                    <w:noProof/>
                    <w:webHidden/>
                    <w:sz w:val="24"/>
                    <w:szCs w:val="24"/>
                  </w:rPr>
                  <w:fldChar w:fldCharType="begin"/>
                </w:r>
                <w:r w:rsidR="00FC6236" w:rsidRPr="00B13CBE">
                  <w:rPr>
                    <w:rFonts w:ascii="Arial" w:hAnsi="Arial" w:cs="Arial"/>
                    <w:noProof/>
                    <w:webHidden/>
                    <w:sz w:val="24"/>
                    <w:szCs w:val="24"/>
                  </w:rPr>
                  <w:instrText xml:space="preserve"> PAGEREF _Toc82603381 \h </w:instrText>
                </w:r>
                <w:r w:rsidR="00FC6236" w:rsidRPr="00B13CBE">
                  <w:rPr>
                    <w:rFonts w:ascii="Arial" w:hAnsi="Arial" w:cs="Arial"/>
                    <w:noProof/>
                    <w:webHidden/>
                    <w:sz w:val="24"/>
                    <w:szCs w:val="24"/>
                  </w:rPr>
                </w:r>
                <w:r w:rsidR="00FC6236" w:rsidRPr="00B13CBE">
                  <w:rPr>
                    <w:rFonts w:ascii="Arial" w:hAnsi="Arial" w:cs="Arial"/>
                    <w:noProof/>
                    <w:webHidden/>
                    <w:sz w:val="24"/>
                    <w:szCs w:val="24"/>
                  </w:rPr>
                  <w:fldChar w:fldCharType="separate"/>
                </w:r>
                <w:r w:rsidR="00FC6236" w:rsidRPr="00B13CBE">
                  <w:rPr>
                    <w:rFonts w:ascii="Arial" w:hAnsi="Arial" w:cs="Arial"/>
                    <w:noProof/>
                    <w:webHidden/>
                    <w:sz w:val="24"/>
                    <w:szCs w:val="24"/>
                  </w:rPr>
                  <w:t>54</w:t>
                </w:r>
                <w:r w:rsidR="00FC6236" w:rsidRPr="00B13CBE">
                  <w:rPr>
                    <w:rFonts w:ascii="Arial" w:hAnsi="Arial" w:cs="Arial"/>
                    <w:noProof/>
                    <w:webHidden/>
                    <w:sz w:val="24"/>
                    <w:szCs w:val="24"/>
                  </w:rPr>
                  <w:fldChar w:fldCharType="end"/>
                </w:r>
              </w:hyperlink>
            </w:p>
            <w:p w14:paraId="0460C12F" w14:textId="7C2E1A17" w:rsidR="008978A3"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noProof/>
                  <w:color w:val="000000" w:themeColor="text1"/>
                  <w:sz w:val="24"/>
                  <w:szCs w:val="24"/>
                </w:rPr>
                <w:fldChar w:fldCharType="end"/>
              </w:r>
            </w:p>
          </w:sdtContent>
        </w:sdt>
        <w:p w14:paraId="0EDFDB07" w14:textId="77777777" w:rsidR="008978A3" w:rsidRPr="00B13CBE" w:rsidRDefault="008978A3" w:rsidP="00781A3B">
          <w:pPr>
            <w:spacing w:line="360" w:lineRule="auto"/>
            <w:jc w:val="both"/>
            <w:rPr>
              <w:rFonts w:ascii="Arial" w:hAnsi="Arial" w:cs="Arial"/>
              <w:color w:val="000000" w:themeColor="text1"/>
              <w:sz w:val="24"/>
              <w:szCs w:val="24"/>
            </w:rPr>
          </w:pPr>
        </w:p>
        <w:p w14:paraId="570EF84B" w14:textId="6017A43B" w:rsidR="007F5DCA" w:rsidRPr="00B13CBE" w:rsidRDefault="00C4772C" w:rsidP="007F5DCA">
          <w:pPr>
            <w:pStyle w:val="Heading2"/>
            <w:numPr>
              <w:ilvl w:val="0"/>
              <w:numId w:val="0"/>
            </w:numPr>
            <w:ind w:left="360" w:hanging="360"/>
          </w:pPr>
          <w:r w:rsidRPr="00B13CBE">
            <w:br w:type="page"/>
          </w:r>
          <w:bookmarkStart w:id="1" w:name="_Toc82603345"/>
          <w:r w:rsidR="007F5DCA" w:rsidRPr="00B13CBE">
            <w:lastRenderedPageBreak/>
            <w:t>LIST OF TABLES</w:t>
          </w:r>
          <w:bookmarkEnd w:id="1"/>
        </w:p>
        <w:p w14:paraId="4031990B" w14:textId="3EDEACE0" w:rsidR="00FC6236" w:rsidRPr="00B13CBE" w:rsidRDefault="007F5DCA">
          <w:pPr>
            <w:pStyle w:val="TableofFigures"/>
            <w:tabs>
              <w:tab w:val="right" w:leader="dot" w:pos="8630"/>
            </w:tabs>
            <w:rPr>
              <w:rFonts w:eastAsiaTheme="minorEastAsia" w:cs="Arial"/>
              <w:noProof/>
              <w:sz w:val="22"/>
            </w:rPr>
          </w:pPr>
          <w:r w:rsidRPr="00B13CBE">
            <w:rPr>
              <w:rFonts w:cs="Arial"/>
            </w:rPr>
            <w:fldChar w:fldCharType="begin"/>
          </w:r>
          <w:r w:rsidRPr="00B13CBE">
            <w:rPr>
              <w:rFonts w:cs="Arial"/>
            </w:rPr>
            <w:instrText xml:space="preserve"> TOC \h \z \c "Table" </w:instrText>
          </w:r>
          <w:r w:rsidRPr="00B13CBE">
            <w:rPr>
              <w:rFonts w:cs="Arial"/>
            </w:rPr>
            <w:fldChar w:fldCharType="separate"/>
          </w:r>
          <w:hyperlink w:anchor="_Toc82603412" w:history="1">
            <w:r w:rsidR="00FC6236" w:rsidRPr="00B13CBE">
              <w:rPr>
                <w:rStyle w:val="Hyperlink"/>
                <w:rFonts w:cs="Arial"/>
                <w:noProof/>
              </w:rPr>
              <w:t>Table 1: Summary statistics of the 12 indices used in this study</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_Toc82603412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25</w:t>
            </w:r>
            <w:r w:rsidR="00FC6236" w:rsidRPr="00B13CBE">
              <w:rPr>
                <w:rFonts w:cs="Arial"/>
                <w:noProof/>
                <w:webHidden/>
              </w:rPr>
              <w:fldChar w:fldCharType="end"/>
            </w:r>
          </w:hyperlink>
        </w:p>
        <w:p w14:paraId="49C91090" w14:textId="5674A137" w:rsidR="00FC6236" w:rsidRPr="00B13CBE" w:rsidRDefault="00FC49CE">
          <w:pPr>
            <w:pStyle w:val="TableofFigures"/>
            <w:tabs>
              <w:tab w:val="right" w:leader="dot" w:pos="8630"/>
            </w:tabs>
            <w:rPr>
              <w:rFonts w:eastAsiaTheme="minorEastAsia" w:cs="Arial"/>
              <w:noProof/>
              <w:sz w:val="22"/>
            </w:rPr>
          </w:pPr>
          <w:hyperlink w:anchor="_Toc82603413" w:history="1">
            <w:r w:rsidR="00FC6236" w:rsidRPr="00B13CBE">
              <w:rPr>
                <w:rStyle w:val="Hyperlink"/>
                <w:rFonts w:cs="Arial"/>
                <w:noProof/>
              </w:rPr>
              <w:t>Table 2: Augmented Dickey-Fuller (ADF) Test for Stationarity for The Index Return Series.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_Toc82603413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36</w:t>
            </w:r>
            <w:r w:rsidR="00FC6236" w:rsidRPr="00B13CBE">
              <w:rPr>
                <w:rFonts w:cs="Arial"/>
                <w:noProof/>
                <w:webHidden/>
              </w:rPr>
              <w:fldChar w:fldCharType="end"/>
            </w:r>
          </w:hyperlink>
        </w:p>
        <w:p w14:paraId="418D4EC9" w14:textId="715C1887" w:rsidR="00FC6236" w:rsidRPr="00B13CBE" w:rsidRDefault="00FC49CE">
          <w:pPr>
            <w:pStyle w:val="TableofFigures"/>
            <w:tabs>
              <w:tab w:val="right" w:leader="dot" w:pos="8630"/>
            </w:tabs>
            <w:rPr>
              <w:rFonts w:eastAsiaTheme="minorEastAsia" w:cs="Arial"/>
              <w:noProof/>
              <w:sz w:val="22"/>
            </w:rPr>
          </w:pPr>
          <w:hyperlink w:anchor="_Toc82603414" w:history="1">
            <w:r w:rsidR="00FC6236" w:rsidRPr="00B13CBE">
              <w:rPr>
                <w:rStyle w:val="Hyperlink"/>
                <w:rFonts w:cs="Arial"/>
                <w:noProof/>
              </w:rPr>
              <w:t>Table 3: ARCH-LM Test Results for The Index Return Series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_Toc82603414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37</w:t>
            </w:r>
            <w:r w:rsidR="00FC6236" w:rsidRPr="00B13CBE">
              <w:rPr>
                <w:rFonts w:cs="Arial"/>
                <w:noProof/>
                <w:webHidden/>
              </w:rPr>
              <w:fldChar w:fldCharType="end"/>
            </w:r>
          </w:hyperlink>
        </w:p>
        <w:p w14:paraId="65145321" w14:textId="3A1BDC0E" w:rsidR="00FC6236" w:rsidRPr="00B13CBE" w:rsidRDefault="00FC49CE">
          <w:pPr>
            <w:pStyle w:val="TableofFigures"/>
            <w:tabs>
              <w:tab w:val="right" w:leader="dot" w:pos="8630"/>
            </w:tabs>
            <w:rPr>
              <w:rFonts w:eastAsiaTheme="minorEastAsia" w:cs="Arial"/>
              <w:noProof/>
              <w:sz w:val="22"/>
            </w:rPr>
          </w:pPr>
          <w:hyperlink w:anchor="_Toc82603415" w:history="1">
            <w:r w:rsidR="00FC6236" w:rsidRPr="00B13CBE">
              <w:rPr>
                <w:rStyle w:val="Hyperlink"/>
                <w:rFonts w:cs="Arial"/>
                <w:noProof/>
              </w:rPr>
              <w:t>Table 4: Correlations between U.S indices: S&amp;P 500, Dow Jones, Nasdaq, and Russel 2000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_Toc82603415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39</w:t>
            </w:r>
            <w:r w:rsidR="00FC6236" w:rsidRPr="00B13CBE">
              <w:rPr>
                <w:rFonts w:cs="Arial"/>
                <w:noProof/>
                <w:webHidden/>
              </w:rPr>
              <w:fldChar w:fldCharType="end"/>
            </w:r>
          </w:hyperlink>
        </w:p>
        <w:p w14:paraId="57C5F839" w14:textId="058EFE71" w:rsidR="00FC6236" w:rsidRPr="00B13CBE" w:rsidRDefault="00FC49CE">
          <w:pPr>
            <w:pStyle w:val="TableofFigures"/>
            <w:tabs>
              <w:tab w:val="right" w:leader="dot" w:pos="8630"/>
            </w:tabs>
            <w:rPr>
              <w:rFonts w:eastAsiaTheme="minorEastAsia" w:cs="Arial"/>
              <w:noProof/>
              <w:sz w:val="22"/>
            </w:rPr>
          </w:pPr>
          <w:hyperlink w:anchor="_Toc82603416" w:history="1">
            <w:r w:rsidR="00FC6236" w:rsidRPr="00B13CBE">
              <w:rPr>
                <w:rStyle w:val="Hyperlink"/>
                <w:rFonts w:cs="Arial"/>
                <w:noProof/>
              </w:rPr>
              <w:t>Table 5:Correlation between Germany's DAX Performance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_Toc82603416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41</w:t>
            </w:r>
            <w:r w:rsidR="00FC6236" w:rsidRPr="00B13CBE">
              <w:rPr>
                <w:rFonts w:cs="Arial"/>
                <w:noProof/>
                <w:webHidden/>
              </w:rPr>
              <w:fldChar w:fldCharType="end"/>
            </w:r>
          </w:hyperlink>
        </w:p>
        <w:p w14:paraId="60D07760" w14:textId="21D02091" w:rsidR="00FC6236" w:rsidRPr="00B13CBE" w:rsidRDefault="00FC49CE">
          <w:pPr>
            <w:pStyle w:val="TableofFigures"/>
            <w:tabs>
              <w:tab w:val="right" w:leader="dot" w:pos="8630"/>
            </w:tabs>
            <w:rPr>
              <w:rFonts w:eastAsiaTheme="minorEastAsia" w:cs="Arial"/>
              <w:noProof/>
              <w:sz w:val="22"/>
            </w:rPr>
          </w:pPr>
          <w:hyperlink w:anchor="_Toc82603417" w:history="1">
            <w:r w:rsidR="00FC6236" w:rsidRPr="00B13CBE">
              <w:rPr>
                <w:rStyle w:val="Hyperlink"/>
                <w:rFonts w:cs="Arial"/>
                <w:noProof/>
              </w:rPr>
              <w:t>Table 6:Correlations between France's CAC 40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_Toc82603417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43</w:t>
            </w:r>
            <w:r w:rsidR="00FC6236" w:rsidRPr="00B13CBE">
              <w:rPr>
                <w:rFonts w:cs="Arial"/>
                <w:noProof/>
                <w:webHidden/>
              </w:rPr>
              <w:fldChar w:fldCharType="end"/>
            </w:r>
          </w:hyperlink>
        </w:p>
        <w:p w14:paraId="38808175" w14:textId="75A10070" w:rsidR="00FC6236" w:rsidRPr="00B13CBE" w:rsidRDefault="00FC49CE">
          <w:pPr>
            <w:pStyle w:val="TableofFigures"/>
            <w:tabs>
              <w:tab w:val="right" w:leader="dot" w:pos="8630"/>
            </w:tabs>
            <w:rPr>
              <w:rFonts w:eastAsiaTheme="minorEastAsia" w:cs="Arial"/>
              <w:noProof/>
              <w:sz w:val="22"/>
            </w:rPr>
          </w:pPr>
          <w:hyperlink w:anchor="_Toc82603418" w:history="1">
            <w:r w:rsidR="00FC6236" w:rsidRPr="00B13CBE">
              <w:rPr>
                <w:rStyle w:val="Hyperlink"/>
                <w:rFonts w:cs="Arial"/>
                <w:noProof/>
              </w:rPr>
              <w:t>Table 7:Correlations between UK's FTSE 100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_Toc82603418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45</w:t>
            </w:r>
            <w:r w:rsidR="00FC6236" w:rsidRPr="00B13CBE">
              <w:rPr>
                <w:rFonts w:cs="Arial"/>
                <w:noProof/>
                <w:webHidden/>
              </w:rPr>
              <w:fldChar w:fldCharType="end"/>
            </w:r>
          </w:hyperlink>
        </w:p>
        <w:p w14:paraId="34F32857" w14:textId="17F7A11B" w:rsidR="00FC6236" w:rsidRPr="00B13CBE" w:rsidRDefault="00FC49CE">
          <w:pPr>
            <w:pStyle w:val="TableofFigures"/>
            <w:tabs>
              <w:tab w:val="right" w:leader="dot" w:pos="8630"/>
            </w:tabs>
            <w:rPr>
              <w:rFonts w:eastAsiaTheme="minorEastAsia" w:cs="Arial"/>
              <w:noProof/>
              <w:sz w:val="22"/>
            </w:rPr>
          </w:pPr>
          <w:hyperlink w:anchor="_Toc82603419" w:history="1">
            <w:r w:rsidR="00FC6236" w:rsidRPr="00B13CBE">
              <w:rPr>
                <w:rStyle w:val="Hyperlink"/>
                <w:rFonts w:cs="Arial"/>
                <w:noProof/>
              </w:rPr>
              <w:t>Table 8:Correlations between Japan's NIKKEI 225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_Toc82603419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46</w:t>
            </w:r>
            <w:r w:rsidR="00FC6236" w:rsidRPr="00B13CBE">
              <w:rPr>
                <w:rFonts w:cs="Arial"/>
                <w:noProof/>
                <w:webHidden/>
              </w:rPr>
              <w:fldChar w:fldCharType="end"/>
            </w:r>
          </w:hyperlink>
        </w:p>
        <w:p w14:paraId="6F5F6C57" w14:textId="6AE70631" w:rsidR="00FC6236" w:rsidRPr="00B13CBE" w:rsidRDefault="00FC49CE">
          <w:pPr>
            <w:pStyle w:val="TableofFigures"/>
            <w:tabs>
              <w:tab w:val="right" w:leader="dot" w:pos="8630"/>
            </w:tabs>
            <w:rPr>
              <w:rFonts w:eastAsiaTheme="minorEastAsia" w:cs="Arial"/>
              <w:noProof/>
              <w:sz w:val="22"/>
            </w:rPr>
          </w:pPr>
          <w:hyperlink w:anchor="_Toc82603420" w:history="1">
            <w:r w:rsidR="00FC6236" w:rsidRPr="00B13CBE">
              <w:rPr>
                <w:rStyle w:val="Hyperlink"/>
                <w:rFonts w:cs="Arial"/>
                <w:noProof/>
              </w:rPr>
              <w:t>Table 9:Correlations between Hong Kong's Hang Seng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_Toc82603420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48</w:t>
            </w:r>
            <w:r w:rsidR="00FC6236" w:rsidRPr="00B13CBE">
              <w:rPr>
                <w:rFonts w:cs="Arial"/>
                <w:noProof/>
                <w:webHidden/>
              </w:rPr>
              <w:fldChar w:fldCharType="end"/>
            </w:r>
          </w:hyperlink>
        </w:p>
        <w:p w14:paraId="3ACC4489" w14:textId="49A05C02" w:rsidR="00FC6236" w:rsidRPr="00B13CBE" w:rsidRDefault="00FC49CE">
          <w:pPr>
            <w:pStyle w:val="TableofFigures"/>
            <w:tabs>
              <w:tab w:val="right" w:leader="dot" w:pos="8630"/>
            </w:tabs>
            <w:rPr>
              <w:rFonts w:eastAsiaTheme="minorEastAsia" w:cs="Arial"/>
              <w:noProof/>
              <w:sz w:val="22"/>
            </w:rPr>
          </w:pPr>
          <w:hyperlink w:anchor="_Toc82603421" w:history="1">
            <w:r w:rsidR="00FC6236" w:rsidRPr="00B13CBE">
              <w:rPr>
                <w:rStyle w:val="Hyperlink"/>
                <w:rFonts w:cs="Arial"/>
                <w:noProof/>
              </w:rPr>
              <w:t>Table 10: Correlations between China's ShenzhenIndex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_Toc82603421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49</w:t>
            </w:r>
            <w:r w:rsidR="00FC6236" w:rsidRPr="00B13CBE">
              <w:rPr>
                <w:rFonts w:cs="Arial"/>
                <w:noProof/>
                <w:webHidden/>
              </w:rPr>
              <w:fldChar w:fldCharType="end"/>
            </w:r>
          </w:hyperlink>
        </w:p>
        <w:p w14:paraId="496E0A38" w14:textId="28AB19A1" w:rsidR="00FC6236" w:rsidRPr="00B13CBE" w:rsidRDefault="00FC49CE">
          <w:pPr>
            <w:pStyle w:val="TableofFigures"/>
            <w:tabs>
              <w:tab w:val="right" w:leader="dot" w:pos="8630"/>
            </w:tabs>
            <w:rPr>
              <w:rFonts w:eastAsiaTheme="minorEastAsia" w:cs="Arial"/>
              <w:noProof/>
              <w:sz w:val="22"/>
            </w:rPr>
          </w:pPr>
          <w:hyperlink w:anchor="_Toc82603422" w:history="1">
            <w:r w:rsidR="00FC6236" w:rsidRPr="00B13CBE">
              <w:rPr>
                <w:rStyle w:val="Hyperlink"/>
                <w:rFonts w:cs="Arial"/>
                <w:noProof/>
              </w:rPr>
              <w:t>Table 11:Correlations between Mexico's IPC Mexico Index and Indices from Other Countries</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_Toc82603422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50</w:t>
            </w:r>
            <w:r w:rsidR="00FC6236" w:rsidRPr="00B13CBE">
              <w:rPr>
                <w:rFonts w:cs="Arial"/>
                <w:noProof/>
                <w:webHidden/>
              </w:rPr>
              <w:fldChar w:fldCharType="end"/>
            </w:r>
          </w:hyperlink>
        </w:p>
        <w:p w14:paraId="494A1011" w14:textId="1D8AE701" w:rsidR="007F5DCA" w:rsidRPr="00B13CBE" w:rsidRDefault="007F5DCA" w:rsidP="007F5DCA">
          <w:pPr>
            <w:rPr>
              <w:rFonts w:ascii="Arial" w:hAnsi="Arial" w:cs="Arial"/>
            </w:rPr>
          </w:pPr>
          <w:r w:rsidRPr="00B13CBE">
            <w:rPr>
              <w:rFonts w:ascii="Arial" w:hAnsi="Arial" w:cs="Arial"/>
            </w:rPr>
            <w:fldChar w:fldCharType="end"/>
          </w:r>
        </w:p>
        <w:p w14:paraId="3BF44D01" w14:textId="77777777" w:rsidR="007F5DCA" w:rsidRPr="00B13CBE" w:rsidRDefault="007F5DCA" w:rsidP="007F5DCA">
          <w:pPr>
            <w:pStyle w:val="Heading2"/>
            <w:numPr>
              <w:ilvl w:val="0"/>
              <w:numId w:val="0"/>
            </w:numPr>
          </w:pPr>
          <w:bookmarkStart w:id="2" w:name="_Toc82603346"/>
          <w:r w:rsidRPr="00B13CBE">
            <w:t>LIST OF FIGURES</w:t>
          </w:r>
          <w:bookmarkEnd w:id="2"/>
        </w:p>
        <w:p w14:paraId="28DFE776" w14:textId="240E5A92" w:rsidR="00FC6236" w:rsidRPr="00B13CBE" w:rsidRDefault="007F5DCA">
          <w:pPr>
            <w:pStyle w:val="TableofFigures"/>
            <w:tabs>
              <w:tab w:val="right" w:leader="dot" w:pos="8630"/>
            </w:tabs>
            <w:rPr>
              <w:rFonts w:eastAsiaTheme="minorEastAsia" w:cs="Arial"/>
              <w:noProof/>
              <w:sz w:val="22"/>
            </w:rPr>
          </w:pPr>
          <w:r w:rsidRPr="00B13CBE">
            <w:rPr>
              <w:rFonts w:cs="Arial"/>
            </w:rPr>
            <w:fldChar w:fldCharType="begin"/>
          </w:r>
          <w:r w:rsidRPr="00B13CBE">
            <w:rPr>
              <w:rFonts w:cs="Arial"/>
            </w:rPr>
            <w:instrText xml:space="preserve"> TOC \h \z \c "Figure" </w:instrText>
          </w:r>
          <w:r w:rsidRPr="00B13CBE">
            <w:rPr>
              <w:rFonts w:cs="Arial"/>
            </w:rPr>
            <w:fldChar w:fldCharType="separate"/>
          </w:r>
          <w:hyperlink w:anchor="_Toc82603424" w:history="1">
            <w:r w:rsidR="00FC6236" w:rsidRPr="00B13CBE">
              <w:rPr>
                <w:rStyle w:val="Hyperlink"/>
                <w:rFonts w:cs="Arial"/>
                <w:noProof/>
              </w:rPr>
              <w:t>Figure 1: Price series of the 12 indices using in this study</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_Toc82603424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24</w:t>
            </w:r>
            <w:r w:rsidR="00FC6236" w:rsidRPr="00B13CBE">
              <w:rPr>
                <w:rFonts w:cs="Arial"/>
                <w:noProof/>
                <w:webHidden/>
              </w:rPr>
              <w:fldChar w:fldCharType="end"/>
            </w:r>
          </w:hyperlink>
        </w:p>
        <w:p w14:paraId="30BF6E9D" w14:textId="47EE6F1E" w:rsidR="00FC6236" w:rsidRPr="00B13CBE" w:rsidRDefault="00FC49CE">
          <w:pPr>
            <w:pStyle w:val="TableofFigures"/>
            <w:tabs>
              <w:tab w:val="right" w:leader="dot" w:pos="8630"/>
            </w:tabs>
            <w:rPr>
              <w:rFonts w:eastAsiaTheme="minorEastAsia" w:cs="Arial"/>
              <w:noProof/>
              <w:sz w:val="22"/>
            </w:rPr>
          </w:pPr>
          <w:hyperlink w:anchor="_Toc82603425" w:history="1">
            <w:r w:rsidR="00FC6236" w:rsidRPr="00B13CBE">
              <w:rPr>
                <w:rStyle w:val="Hyperlink"/>
                <w:rFonts w:cs="Arial"/>
                <w:noProof/>
              </w:rPr>
              <w:t>Figure 2: Correlations among the 12 indices used in this study</w:t>
            </w:r>
            <w:r w:rsidR="00FC6236" w:rsidRPr="00B13CBE">
              <w:rPr>
                <w:rFonts w:cs="Arial"/>
                <w:noProof/>
                <w:webHidden/>
              </w:rPr>
              <w:tab/>
            </w:r>
            <w:r w:rsidR="00FC6236" w:rsidRPr="00B13CBE">
              <w:rPr>
                <w:rFonts w:cs="Arial"/>
                <w:noProof/>
                <w:webHidden/>
              </w:rPr>
              <w:fldChar w:fldCharType="begin"/>
            </w:r>
            <w:r w:rsidR="00FC6236" w:rsidRPr="00B13CBE">
              <w:rPr>
                <w:rFonts w:cs="Arial"/>
                <w:noProof/>
                <w:webHidden/>
              </w:rPr>
              <w:instrText xml:space="preserve"> PAGEREF _Toc82603425 \h </w:instrText>
            </w:r>
            <w:r w:rsidR="00FC6236" w:rsidRPr="00B13CBE">
              <w:rPr>
                <w:rFonts w:cs="Arial"/>
                <w:noProof/>
                <w:webHidden/>
              </w:rPr>
            </w:r>
            <w:r w:rsidR="00FC6236" w:rsidRPr="00B13CBE">
              <w:rPr>
                <w:rFonts w:cs="Arial"/>
                <w:noProof/>
                <w:webHidden/>
              </w:rPr>
              <w:fldChar w:fldCharType="separate"/>
            </w:r>
            <w:r w:rsidR="00FC6236" w:rsidRPr="00B13CBE">
              <w:rPr>
                <w:rFonts w:cs="Arial"/>
                <w:noProof/>
                <w:webHidden/>
              </w:rPr>
              <w:t>27</w:t>
            </w:r>
            <w:r w:rsidR="00FC6236" w:rsidRPr="00B13CBE">
              <w:rPr>
                <w:rFonts w:cs="Arial"/>
                <w:noProof/>
                <w:webHidden/>
              </w:rPr>
              <w:fldChar w:fldCharType="end"/>
            </w:r>
          </w:hyperlink>
        </w:p>
        <w:p w14:paraId="2698A72C" w14:textId="3B034138" w:rsidR="007F5DCA" w:rsidRPr="00B13CBE" w:rsidRDefault="007F5DCA" w:rsidP="007F5DCA">
          <w:pPr>
            <w:rPr>
              <w:rFonts w:ascii="Arial" w:hAnsi="Arial" w:cs="Arial"/>
            </w:rPr>
          </w:pPr>
          <w:r w:rsidRPr="00B13CBE">
            <w:rPr>
              <w:rFonts w:ascii="Arial" w:hAnsi="Arial" w:cs="Arial"/>
            </w:rPr>
            <w:fldChar w:fldCharType="end"/>
          </w:r>
        </w:p>
        <w:p w14:paraId="6920D643" w14:textId="77777777" w:rsidR="007F5DCA" w:rsidRPr="00B13CBE" w:rsidRDefault="007F5DCA" w:rsidP="007F5DCA">
          <w:pPr>
            <w:rPr>
              <w:rFonts w:ascii="Arial" w:hAnsi="Arial" w:cs="Arial"/>
            </w:rPr>
          </w:pPr>
        </w:p>
        <w:p w14:paraId="4BA948E2" w14:textId="77777777" w:rsidR="007F5DCA" w:rsidRPr="00B13CBE" w:rsidRDefault="007F5DCA" w:rsidP="007F5DCA">
          <w:pPr>
            <w:rPr>
              <w:rFonts w:ascii="Arial" w:hAnsi="Arial" w:cs="Arial"/>
            </w:rPr>
          </w:pPr>
        </w:p>
        <w:p w14:paraId="03008243" w14:textId="77777777" w:rsidR="007F5DCA" w:rsidRPr="00B13CBE" w:rsidRDefault="007F5DCA" w:rsidP="007F5DCA">
          <w:pPr>
            <w:rPr>
              <w:rFonts w:ascii="Arial" w:hAnsi="Arial" w:cs="Arial"/>
            </w:rPr>
          </w:pPr>
        </w:p>
        <w:p w14:paraId="0DA30A2B" w14:textId="77777777" w:rsidR="007F5DCA" w:rsidRPr="00B13CBE" w:rsidRDefault="007F5DCA" w:rsidP="007F5DCA">
          <w:pPr>
            <w:rPr>
              <w:rFonts w:ascii="Arial" w:hAnsi="Arial" w:cs="Arial"/>
            </w:rPr>
          </w:pPr>
        </w:p>
        <w:p w14:paraId="55715304" w14:textId="77777777" w:rsidR="007F5DCA" w:rsidRPr="00B13CBE" w:rsidRDefault="007F5DCA" w:rsidP="007F5DCA">
          <w:pPr>
            <w:rPr>
              <w:rFonts w:ascii="Arial" w:hAnsi="Arial" w:cs="Arial"/>
            </w:rPr>
          </w:pPr>
        </w:p>
        <w:p w14:paraId="1C2B56F6" w14:textId="77777777" w:rsidR="007F5DCA" w:rsidRPr="00B13CBE" w:rsidRDefault="007F5DCA" w:rsidP="007F5DCA">
          <w:pPr>
            <w:rPr>
              <w:rFonts w:ascii="Arial" w:hAnsi="Arial" w:cs="Arial"/>
            </w:rPr>
          </w:pPr>
        </w:p>
        <w:p w14:paraId="0BA6762E" w14:textId="77777777" w:rsidR="00FC6236" w:rsidRPr="00B13CBE" w:rsidRDefault="00FC6236" w:rsidP="00FC6236">
          <w:pPr>
            <w:rPr>
              <w:rFonts w:ascii="Arial" w:hAnsi="Arial" w:cs="Arial"/>
            </w:rPr>
          </w:pPr>
        </w:p>
        <w:p w14:paraId="6D67EE8F" w14:textId="77777777" w:rsidR="00FC6236" w:rsidRPr="00B13CBE" w:rsidRDefault="00FC6236" w:rsidP="00FC6236">
          <w:pPr>
            <w:rPr>
              <w:rFonts w:ascii="Arial" w:hAnsi="Arial" w:cs="Arial"/>
            </w:rPr>
          </w:pPr>
        </w:p>
        <w:p w14:paraId="5BF16FF2" w14:textId="0C106E66" w:rsidR="00FC6236" w:rsidRPr="00B13CBE" w:rsidRDefault="00FC49CE" w:rsidP="00FC6236">
          <w:pPr>
            <w:rPr>
              <w:rFonts w:ascii="Arial" w:hAnsi="Arial" w:cs="Arial"/>
            </w:rPr>
          </w:pPr>
        </w:p>
      </w:sdtContent>
    </w:sdt>
    <w:p w14:paraId="64CCD78D" w14:textId="77777777" w:rsidR="00FC6236" w:rsidRPr="00B13CBE" w:rsidRDefault="00FC6236" w:rsidP="00FC6236">
      <w:pPr>
        <w:pStyle w:val="ListParagraph"/>
        <w:numPr>
          <w:ilvl w:val="0"/>
          <w:numId w:val="18"/>
        </w:numPr>
        <w:spacing w:after="0"/>
        <w:rPr>
          <w:rFonts w:ascii="Arial" w:hAnsi="Arial" w:cs="Arial"/>
          <w:b/>
          <w:bCs/>
          <w:color w:val="000000" w:themeColor="text1"/>
          <w:sz w:val="24"/>
          <w:szCs w:val="24"/>
        </w:rPr>
        <w:sectPr w:rsidR="00FC6236" w:rsidRPr="00B13CBE" w:rsidSect="00FC6236">
          <w:footerReference w:type="default" r:id="rId8"/>
          <w:footerReference w:type="first" r:id="rId9"/>
          <w:pgSz w:w="12240" w:h="15840"/>
          <w:pgMar w:top="2880" w:right="1440" w:bottom="2880" w:left="2160" w:header="720" w:footer="720" w:gutter="0"/>
          <w:pgNumType w:start="0"/>
          <w:cols w:space="720"/>
          <w:docGrid w:linePitch="360"/>
        </w:sectPr>
      </w:pPr>
    </w:p>
    <w:p w14:paraId="53F52258" w14:textId="263F487E" w:rsidR="006D4D5E" w:rsidRPr="00B13CBE" w:rsidRDefault="00C4772C" w:rsidP="00FC6236">
      <w:pPr>
        <w:pStyle w:val="ListParagraph"/>
        <w:numPr>
          <w:ilvl w:val="0"/>
          <w:numId w:val="18"/>
        </w:numPr>
        <w:spacing w:after="0"/>
        <w:rPr>
          <w:rFonts w:ascii="Arial" w:hAnsi="Arial" w:cs="Arial"/>
        </w:rPr>
      </w:pPr>
      <w:r w:rsidRPr="00B13CBE">
        <w:rPr>
          <w:rFonts w:ascii="Arial" w:hAnsi="Arial" w:cs="Arial"/>
          <w:b/>
          <w:bCs/>
          <w:color w:val="000000" w:themeColor="text1"/>
          <w:sz w:val="24"/>
          <w:szCs w:val="24"/>
        </w:rPr>
        <w:lastRenderedPageBreak/>
        <w:t>INTRODUCTION</w:t>
      </w:r>
    </w:p>
    <w:p w14:paraId="7E337BEE" w14:textId="77777777" w:rsidR="00EC4889" w:rsidRPr="00B13CBE" w:rsidRDefault="00C4772C" w:rsidP="00FC6236">
      <w:pPr>
        <w:pStyle w:val="Heading2"/>
      </w:pPr>
      <w:bookmarkStart w:id="3" w:name="_Toc82603347"/>
      <w:r w:rsidRPr="00B13CBE">
        <w:t>B</w:t>
      </w:r>
      <w:r w:rsidR="008846C7" w:rsidRPr="00B13CBE">
        <w:t>ackground</w:t>
      </w:r>
      <w:bookmarkEnd w:id="3"/>
    </w:p>
    <w:p w14:paraId="1826643B" w14:textId="24BE99D9" w:rsidR="0045661D"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Technological </w:t>
      </w:r>
      <w:r w:rsidR="008846C7" w:rsidRPr="00B13CBE">
        <w:rPr>
          <w:rFonts w:ascii="Arial" w:hAnsi="Arial" w:cs="Arial"/>
          <w:color w:val="000000" w:themeColor="text1"/>
          <w:sz w:val="24"/>
          <w:szCs w:val="24"/>
        </w:rPr>
        <w:t>advancements</w:t>
      </w:r>
      <w:r w:rsidRPr="00B13CBE">
        <w:rPr>
          <w:rFonts w:ascii="Arial" w:hAnsi="Arial" w:cs="Arial"/>
          <w:color w:val="000000" w:themeColor="text1"/>
          <w:sz w:val="24"/>
          <w:szCs w:val="24"/>
        </w:rPr>
        <w:t xml:space="preserve"> </w:t>
      </w:r>
      <w:r w:rsidR="00E40E3D" w:rsidRPr="00B13CBE">
        <w:rPr>
          <w:rFonts w:ascii="Arial" w:hAnsi="Arial" w:cs="Arial"/>
          <w:color w:val="000000" w:themeColor="text1"/>
          <w:sz w:val="24"/>
          <w:szCs w:val="24"/>
        </w:rPr>
        <w:t xml:space="preserve">have </w:t>
      </w:r>
      <w:r w:rsidR="007C7045" w:rsidRPr="00B13CBE">
        <w:rPr>
          <w:rFonts w:ascii="Arial" w:hAnsi="Arial" w:cs="Arial"/>
          <w:color w:val="000000" w:themeColor="text1"/>
          <w:sz w:val="24"/>
          <w:szCs w:val="24"/>
        </w:rPr>
        <w:t xml:space="preserve">led to </w:t>
      </w:r>
      <w:r w:rsidRPr="00B13CBE">
        <w:rPr>
          <w:rFonts w:ascii="Arial" w:hAnsi="Arial" w:cs="Arial"/>
          <w:color w:val="000000" w:themeColor="text1"/>
          <w:sz w:val="24"/>
          <w:szCs w:val="24"/>
        </w:rPr>
        <w:t xml:space="preserve">improved news transmission and trading </w:t>
      </w:r>
      <w:r w:rsidR="00523E79" w:rsidRPr="00B13CBE">
        <w:rPr>
          <w:rFonts w:ascii="Arial" w:hAnsi="Arial" w:cs="Arial"/>
          <w:color w:val="000000" w:themeColor="text1"/>
          <w:sz w:val="24"/>
          <w:szCs w:val="24"/>
        </w:rPr>
        <w:t xml:space="preserve">which has </w:t>
      </w:r>
      <w:r w:rsidR="007C7045" w:rsidRPr="00B13CBE">
        <w:rPr>
          <w:rFonts w:ascii="Arial" w:hAnsi="Arial" w:cs="Arial"/>
          <w:color w:val="000000" w:themeColor="text1"/>
          <w:sz w:val="24"/>
          <w:szCs w:val="24"/>
        </w:rPr>
        <w:t xml:space="preserve">lowered the barriers </w:t>
      </w:r>
      <w:r w:rsidRPr="00B13CBE">
        <w:rPr>
          <w:rFonts w:ascii="Arial" w:hAnsi="Arial" w:cs="Arial"/>
          <w:color w:val="000000" w:themeColor="text1"/>
          <w:sz w:val="24"/>
          <w:szCs w:val="24"/>
        </w:rPr>
        <w:t xml:space="preserve">of capital flows and </w:t>
      </w:r>
      <w:r w:rsidR="007C7045" w:rsidRPr="00B13CBE">
        <w:rPr>
          <w:rFonts w:ascii="Arial" w:hAnsi="Arial" w:cs="Arial"/>
          <w:color w:val="000000" w:themeColor="text1"/>
          <w:sz w:val="24"/>
          <w:szCs w:val="24"/>
        </w:rPr>
        <w:t xml:space="preserve">increased </w:t>
      </w:r>
      <w:r w:rsidRPr="00B13CBE">
        <w:rPr>
          <w:rFonts w:ascii="Arial" w:hAnsi="Arial" w:cs="Arial"/>
          <w:color w:val="000000" w:themeColor="text1"/>
          <w:sz w:val="24"/>
          <w:szCs w:val="24"/>
        </w:rPr>
        <w:t>inte</w:t>
      </w:r>
      <w:r w:rsidR="00973A8B" w:rsidRPr="00B13CBE">
        <w:rPr>
          <w:rFonts w:ascii="Arial" w:hAnsi="Arial" w:cs="Arial"/>
          <w:color w:val="000000" w:themeColor="text1"/>
          <w:sz w:val="24"/>
          <w:szCs w:val="24"/>
        </w:rPr>
        <w:t>gration of international financial markets</w:t>
      </w:r>
      <w:r w:rsidR="00BE0B98" w:rsidRPr="00B13CBE">
        <w:rPr>
          <w:rFonts w:ascii="Arial" w:hAnsi="Arial" w:cs="Arial"/>
          <w:color w:val="000000" w:themeColor="text1"/>
          <w:sz w:val="24"/>
          <w:szCs w:val="24"/>
        </w:rPr>
        <w:t xml:space="preserve"> </w:t>
      </w:r>
      <w:r w:rsidR="00973A8B" w:rsidRPr="00B13CBE">
        <w:rPr>
          <w:rFonts w:ascii="Arial" w:hAnsi="Arial" w:cs="Arial"/>
          <w:color w:val="000000" w:themeColor="text1"/>
          <w:sz w:val="24"/>
          <w:szCs w:val="24"/>
        </w:rPr>
        <w:t>(</w:t>
      </w:r>
      <w:r w:rsidR="00973A8B"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{"citationID":"P6ldQUov","properties":{"formattedCitation":"(Skintzi and Refenes, 2006)","plainCitation":"(Skintzi and Refenes, 2006)","dontUpdate":true,"noteIndex":0},"citationItems":[{"id":97,"uris":["http://zotero.org/users/local/XXne8Mwc/items/JMTJ43RY"],"uri":["http://zotero.org/users/local/XXne8Mwc/items/JMTJ43RY"],"itemData":{"id":97,"type":"article-journal","abstract":"This paper examines the dynamic linkages among the European bond markets. We model the price and volatility spillovers from the US bond market and the aggregate Euro area bond market to twelve individual European bond markets using an EGARCH model that allows for a dynamic correlation structure. Our results suggest that significant volatility spillovers exist from both the aggregate Euro area bond market and the US bond market to the individual European markets. Moreover, the introduction of the Euro has strengthened the volatility spillover effects and the cross-correlations for most European bond markets.","collection-title":"International Bond and Debt Market Integration","container-title":"Journal of International Financial Markets, Institutions and Money","DOI":"10.1016/j.intfin.2004.12.003","ISSN":"1042-4431","issue":"1","journalAbbreviation":"Journal of International Financial Markets, Institutions and Money","language":"en","page":"23-40","source":"ScienceDirect","title":"Volatility spillovers and dynamic correlation in European bond markets","volume":"16","author":[{"family":"Skintzi","given":"Vasiliki D."},{"family":"Refenes","given":"Apostolos N."}],"issued":{"date-parts":[["2006",2,1]]}}}],"schema":"https://github.com/citation-style-language/schema/raw/master/csl-citation.json"} </w:instrText>
      </w:r>
      <w:r w:rsidR="00973A8B"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Skintzi and Refenes, </w:t>
      </w:r>
      <w:r w:rsidR="00FC49CE">
        <w:rPr>
          <w:rFonts w:ascii="Arial" w:hAnsi="Arial" w:cs="Arial"/>
          <w:color w:val="000000" w:themeColor="text1"/>
          <w:sz w:val="24"/>
          <w:szCs w:val="24"/>
        </w:rPr>
        <w:t>(</w:t>
      </w:r>
      <w:r w:rsidR="00305050" w:rsidRPr="00B13CBE">
        <w:rPr>
          <w:rFonts w:ascii="Arial" w:hAnsi="Arial" w:cs="Arial"/>
          <w:color w:val="000000" w:themeColor="text1"/>
          <w:sz w:val="24"/>
          <w:szCs w:val="24"/>
        </w:rPr>
        <w:t>2006)</w:t>
      </w:r>
      <w:r w:rsidR="00973A8B" w:rsidRPr="00B13CBE">
        <w:rPr>
          <w:rFonts w:ascii="Arial" w:hAnsi="Arial" w:cs="Arial"/>
          <w:color w:val="000000" w:themeColor="text1"/>
          <w:sz w:val="24"/>
          <w:szCs w:val="24"/>
        </w:rPr>
        <w:fldChar w:fldCharType="end"/>
      </w:r>
      <w:r w:rsidR="00BE0B98" w:rsidRPr="00B13CBE">
        <w:rPr>
          <w:rFonts w:ascii="Arial" w:hAnsi="Arial" w:cs="Arial"/>
          <w:color w:val="000000" w:themeColor="text1"/>
          <w:sz w:val="24"/>
          <w:szCs w:val="24"/>
        </w:rPr>
        <w:t xml:space="preserve">; </w:t>
      </w:r>
      <w:r w:rsidR="00973A8B"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{"citationID":"otKy02jP","properties":{"formattedCitation":"(Xiao and Dhesi, 2010)","plainCitation":"(Xiao and Dhesi, 2010)","dontUpdate":true,"noteIndex":0},"citationItems":[{"id":91,"uris":["http://zotero.org/users/local/XXne8Mwc/items/NND4J8CA"],"uri":["http://zotero.org/users/local/XXne8Mwc/items/NND4J8CA"],"itemData":{"id":91,"type":"article-journal","container-title":"Glob. Econ. Finance J.","journalAbbreviation":"Glob. Econ. Finance J.","page":"148-164","source":"ResearchGate","title":"Volatility spillover and time varying conditional correlation between the European and US stock markets","volume":"3","author":[{"family":"Xiao","given":"Ling"},{"family":"Dhesi","given":"Gurjeet"}],"issued":{"date-parts":[["2010",1,1]]}}}],"schema":"https://github.com/citation-style-language/schema/raw/master/csl-citation.json"} </w:instrText>
      </w:r>
      <w:r w:rsidR="00973A8B"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Xiao and </w:t>
      </w:r>
      <w:proofErr w:type="spellStart"/>
      <w:r w:rsidR="00305050" w:rsidRPr="00B13CBE">
        <w:rPr>
          <w:rFonts w:ascii="Arial" w:hAnsi="Arial" w:cs="Arial"/>
          <w:color w:val="000000" w:themeColor="text1"/>
          <w:sz w:val="24"/>
          <w:szCs w:val="24"/>
        </w:rPr>
        <w:t>Dhesi</w:t>
      </w:r>
      <w:proofErr w:type="spellEnd"/>
      <w:r w:rsidR="00305050" w:rsidRPr="00B13CBE">
        <w:rPr>
          <w:rFonts w:ascii="Arial" w:hAnsi="Arial" w:cs="Arial"/>
          <w:color w:val="000000" w:themeColor="text1"/>
          <w:sz w:val="24"/>
          <w:szCs w:val="24"/>
        </w:rPr>
        <w:t xml:space="preserve">, </w:t>
      </w:r>
      <w:r w:rsidR="00FC49CE">
        <w:rPr>
          <w:rFonts w:ascii="Arial" w:hAnsi="Arial" w:cs="Arial"/>
          <w:color w:val="000000" w:themeColor="text1"/>
          <w:sz w:val="24"/>
          <w:szCs w:val="24"/>
        </w:rPr>
        <w:t>(</w:t>
      </w:r>
      <w:r w:rsidR="00305050" w:rsidRPr="00B13CBE">
        <w:rPr>
          <w:rFonts w:ascii="Arial" w:hAnsi="Arial" w:cs="Arial"/>
          <w:color w:val="000000" w:themeColor="text1"/>
          <w:sz w:val="24"/>
          <w:szCs w:val="24"/>
        </w:rPr>
        <w:t>2010)</w:t>
      </w:r>
      <w:r w:rsidR="00973A8B" w:rsidRPr="00B13CBE">
        <w:rPr>
          <w:rFonts w:ascii="Arial" w:hAnsi="Arial" w:cs="Arial"/>
          <w:color w:val="000000" w:themeColor="text1"/>
          <w:sz w:val="24"/>
          <w:szCs w:val="24"/>
        </w:rPr>
        <w:fldChar w:fldCharType="end"/>
      </w:r>
      <w:r w:rsidR="00FC49CE">
        <w:rPr>
          <w:rFonts w:ascii="Arial" w:hAnsi="Arial" w:cs="Arial"/>
          <w:color w:val="000000" w:themeColor="text1"/>
          <w:sz w:val="24"/>
          <w:szCs w:val="24"/>
        </w:rPr>
        <w:t>)</w:t>
      </w:r>
      <w:r w:rsidR="00973A8B"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The integration of international financial market</w:t>
      </w:r>
      <w:r w:rsidR="008178F1" w:rsidRPr="00B13CBE">
        <w:rPr>
          <w:rFonts w:ascii="Arial" w:hAnsi="Arial" w:cs="Arial"/>
          <w:color w:val="000000" w:themeColor="text1"/>
          <w:sz w:val="24"/>
          <w:szCs w:val="24"/>
        </w:rPr>
        <w:t>s</w:t>
      </w:r>
      <w:r w:rsidR="00465C30" w:rsidRPr="00B13CBE">
        <w:rPr>
          <w:rFonts w:ascii="Arial" w:hAnsi="Arial" w:cs="Arial"/>
          <w:color w:val="000000" w:themeColor="text1"/>
          <w:sz w:val="24"/>
          <w:szCs w:val="24"/>
        </w:rPr>
        <w:t xml:space="preserve"> provides</w:t>
      </w:r>
      <w:r w:rsidRPr="00B13CBE">
        <w:rPr>
          <w:rFonts w:ascii="Arial" w:hAnsi="Arial" w:cs="Arial"/>
          <w:color w:val="000000" w:themeColor="text1"/>
          <w:sz w:val="24"/>
          <w:szCs w:val="24"/>
        </w:rPr>
        <w:t xml:space="preserve"> investors with opportunities to seek superior returns </w:t>
      </w:r>
      <w:r w:rsidR="00465C30"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to minimize domestic market risk by including foreign assets with low correlation to the domestic assets in their portfolio</w:t>
      </w:r>
      <w:r w:rsidR="0054482C" w:rsidRPr="00B13CBE">
        <w:rPr>
          <w:rFonts w:ascii="Arial" w:hAnsi="Arial" w:cs="Arial"/>
          <w:color w:val="000000" w:themeColor="text1"/>
          <w:sz w:val="24"/>
          <w:szCs w:val="24"/>
        </w:rPr>
        <w:t xml:space="preserve">s, which is called </w:t>
      </w:r>
      <w:r w:rsidR="00465C30" w:rsidRPr="00B13CBE">
        <w:rPr>
          <w:rFonts w:ascii="Arial" w:hAnsi="Arial" w:cs="Arial"/>
          <w:color w:val="000000" w:themeColor="text1"/>
          <w:sz w:val="24"/>
          <w:szCs w:val="24"/>
        </w:rPr>
        <w:t>portfolio diversification.</w:t>
      </w:r>
    </w:p>
    <w:p w14:paraId="13DFEE33" w14:textId="77777777" w:rsidR="00395975"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Portfolio diversification was proposed by</w:t>
      </w:r>
      <w:r w:rsidR="00973A8B" w:rsidRPr="00B13CBE">
        <w:rPr>
          <w:rFonts w:ascii="Arial" w:hAnsi="Arial" w:cs="Arial"/>
          <w:color w:val="000000" w:themeColor="text1"/>
          <w:sz w:val="24"/>
          <w:szCs w:val="24"/>
        </w:rPr>
        <w:t xml:space="preserve"> </w:t>
      </w:r>
      <w:r w:rsidR="00490800" w:rsidRPr="00B13CBE">
        <w:rPr>
          <w:rFonts w:ascii="Arial" w:hAnsi="Arial" w:cs="Arial"/>
          <w:color w:val="000000" w:themeColor="text1"/>
          <w:sz w:val="24"/>
          <w:szCs w:val="24"/>
        </w:rPr>
        <w:fldChar w:fldCharType="begin"/>
      </w:r>
      <w:r w:rsidR="00BB20D3" w:rsidRPr="00B13CBE">
        <w:rPr>
          <w:rFonts w:ascii="Arial" w:hAnsi="Arial" w:cs="Arial"/>
          <w:color w:val="000000" w:themeColor="text1"/>
          <w:sz w:val="24"/>
          <w:szCs w:val="24"/>
        </w:rPr>
        <w:instrText xml:space="preserve"> ADDIN ZOTERO_ITEM CSL_CITATION {"citationID":"07lFndxF","properties":{"formattedCitation":"(Markowitz,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00490800" w:rsidRPr="00B13CBE">
        <w:rPr>
          <w:rFonts w:ascii="Arial" w:hAnsi="Arial" w:cs="Arial"/>
          <w:color w:val="000000" w:themeColor="text1"/>
          <w:sz w:val="24"/>
          <w:szCs w:val="24"/>
        </w:rPr>
        <w:fldChar w:fldCharType="separate"/>
      </w:r>
      <w:r w:rsidR="00490800" w:rsidRPr="00B13CBE">
        <w:rPr>
          <w:rFonts w:ascii="Arial" w:hAnsi="Arial" w:cs="Arial"/>
          <w:color w:val="000000" w:themeColor="text1"/>
          <w:sz w:val="24"/>
          <w:szCs w:val="24"/>
        </w:rPr>
        <w:t>Markowitz (1959)</w:t>
      </w:r>
      <w:r w:rsidR="00490800" w:rsidRPr="00B13CBE">
        <w:rPr>
          <w:rFonts w:ascii="Arial" w:hAnsi="Arial" w:cs="Arial"/>
          <w:color w:val="000000" w:themeColor="text1"/>
          <w:sz w:val="24"/>
          <w:szCs w:val="24"/>
        </w:rPr>
        <w:fldChar w:fldCharType="end"/>
      </w:r>
      <w:r w:rsidR="00490800"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who </w:t>
      </w:r>
      <w:r w:rsidR="0045661D" w:rsidRPr="00B13CBE">
        <w:rPr>
          <w:rFonts w:ascii="Arial" w:hAnsi="Arial" w:cs="Arial"/>
          <w:color w:val="000000" w:themeColor="text1"/>
          <w:sz w:val="24"/>
          <w:szCs w:val="24"/>
        </w:rPr>
        <w:t>argued</w:t>
      </w:r>
      <w:r w:rsidR="00490800" w:rsidRPr="00B13CBE">
        <w:rPr>
          <w:rFonts w:ascii="Arial" w:hAnsi="Arial" w:cs="Arial"/>
          <w:color w:val="000000" w:themeColor="text1"/>
          <w:sz w:val="24"/>
          <w:szCs w:val="24"/>
        </w:rPr>
        <w:t xml:space="preserve"> that</w:t>
      </w:r>
      <w:r w:rsidRPr="00B13CBE">
        <w:rPr>
          <w:rFonts w:ascii="Arial" w:hAnsi="Arial" w:cs="Arial"/>
          <w:color w:val="000000" w:themeColor="text1"/>
          <w:sz w:val="24"/>
          <w:szCs w:val="24"/>
        </w:rPr>
        <w:t xml:space="preserve"> since portfolio risk is based in part on </w:t>
      </w:r>
      <w:r w:rsidR="008178F1" w:rsidRPr="00B13CBE">
        <w:rPr>
          <w:rFonts w:ascii="Arial" w:hAnsi="Arial" w:cs="Arial"/>
          <w:color w:val="000000" w:themeColor="text1"/>
          <w:sz w:val="24"/>
          <w:szCs w:val="24"/>
        </w:rPr>
        <w:t xml:space="preserve">asset </w:t>
      </w:r>
      <w:r w:rsidRPr="00B13CBE">
        <w:rPr>
          <w:rFonts w:ascii="Arial" w:hAnsi="Arial" w:cs="Arial"/>
          <w:color w:val="000000" w:themeColor="text1"/>
          <w:sz w:val="24"/>
          <w:szCs w:val="24"/>
        </w:rPr>
        <w:t xml:space="preserve">correlations, </w:t>
      </w:r>
      <w:r w:rsidR="00490800" w:rsidRPr="00B13CBE">
        <w:rPr>
          <w:rFonts w:ascii="Arial" w:hAnsi="Arial" w:cs="Arial"/>
          <w:color w:val="000000" w:themeColor="text1"/>
          <w:sz w:val="24"/>
          <w:szCs w:val="24"/>
        </w:rPr>
        <w:t xml:space="preserve">portfolios could be optimized by </w:t>
      </w:r>
      <w:r w:rsidR="0045661D" w:rsidRPr="00B13CBE">
        <w:rPr>
          <w:rFonts w:ascii="Arial" w:hAnsi="Arial" w:cs="Arial"/>
          <w:color w:val="000000" w:themeColor="text1"/>
          <w:sz w:val="24"/>
          <w:szCs w:val="24"/>
        </w:rPr>
        <w:t xml:space="preserve">including assets with low </w:t>
      </w:r>
      <w:r w:rsidR="00490800" w:rsidRPr="00B13CBE">
        <w:rPr>
          <w:rFonts w:ascii="Arial" w:hAnsi="Arial" w:cs="Arial"/>
          <w:color w:val="000000" w:themeColor="text1"/>
          <w:sz w:val="24"/>
          <w:szCs w:val="24"/>
        </w:rPr>
        <w:t>correlations.</w:t>
      </w:r>
      <w:r w:rsidR="0045661D" w:rsidRPr="00B13CBE">
        <w:rPr>
          <w:rFonts w:ascii="Arial" w:hAnsi="Arial" w:cs="Arial"/>
          <w:color w:val="000000" w:themeColor="text1"/>
          <w:sz w:val="24"/>
          <w:szCs w:val="24"/>
        </w:rPr>
        <w:t xml:space="preserve"> According to the author, losses from poor-performing assets are offset by well-performing assets which reduce the variation in portfolio returns.</w:t>
      </w:r>
      <w:r w:rsidR="00490800" w:rsidRPr="00B13CBE">
        <w:rPr>
          <w:rFonts w:ascii="Arial" w:hAnsi="Arial" w:cs="Arial"/>
          <w:color w:val="000000" w:themeColor="text1"/>
          <w:sz w:val="24"/>
          <w:szCs w:val="24"/>
        </w:rPr>
        <w:t xml:space="preserve"> </w:t>
      </w:r>
      <w:r w:rsidR="00490800"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{"citationID":"PF4aIwJE","properties":{"formattedCitation":"(Grubel, 1968)","plainCitation":"(Grubel, 1968)","dontUpdate":true,"noteIndex":0},"citationItems":[{"id":163,"uris":["http://zotero.org/users/local/XXne8Mwc/items/H3YNJ2MX"],"uri":["http://zotero.org/users/local/XXne8Mwc/items/H3YNJ2MX"],"itemData":{"id":163,"type":"article-journal","container-title":"The American Economic Review","ISSN":"0002-8282","issue":"5","note":"publisher: American Economic Association","page":"1299-1314","source":"JSTOR","title":"Internationally Diversified Portfolios: Welfare Gains and Capital Flows","title-short":"Internationally Diversified Portfolios","volume":"58","author":[{"family":"Grubel","given":"Herbert G."}],"issued":{"date-parts":[["1968"]]}}}],"schema":"https://github.com/citation-style-language/schema/raw/master/csl-citation.json"} </w:instrText>
      </w:r>
      <w:r w:rsidR="00490800"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Grubel</w:t>
      </w:r>
      <w:r w:rsidR="006D4D5E" w:rsidRPr="00B13CBE">
        <w:rPr>
          <w:rFonts w:ascii="Arial" w:hAnsi="Arial" w:cs="Arial"/>
          <w:color w:val="000000" w:themeColor="text1"/>
          <w:sz w:val="24"/>
          <w:szCs w:val="24"/>
        </w:rPr>
        <w:t xml:space="preserve"> (</w:t>
      </w:r>
      <w:r w:rsidR="00305050" w:rsidRPr="00B13CBE">
        <w:rPr>
          <w:rFonts w:ascii="Arial" w:hAnsi="Arial" w:cs="Arial"/>
          <w:color w:val="000000" w:themeColor="text1"/>
          <w:sz w:val="24"/>
          <w:szCs w:val="24"/>
        </w:rPr>
        <w:t>1968)</w:t>
      </w:r>
      <w:r w:rsidR="00490800" w:rsidRPr="00B13CBE">
        <w:rPr>
          <w:rFonts w:ascii="Arial" w:hAnsi="Arial" w:cs="Arial"/>
          <w:color w:val="000000" w:themeColor="text1"/>
          <w:sz w:val="24"/>
          <w:szCs w:val="24"/>
        </w:rPr>
        <w:fldChar w:fldCharType="end"/>
      </w:r>
      <w:r w:rsidR="00490800" w:rsidRPr="00B13CBE">
        <w:rPr>
          <w:rFonts w:ascii="Arial" w:hAnsi="Arial" w:cs="Arial"/>
          <w:color w:val="000000" w:themeColor="text1"/>
          <w:sz w:val="24"/>
          <w:szCs w:val="24"/>
        </w:rPr>
        <w:t xml:space="preserve"> </w:t>
      </w:r>
      <w:r w:rsidR="00163FC3" w:rsidRPr="00B13CBE">
        <w:rPr>
          <w:rFonts w:ascii="Arial" w:hAnsi="Arial" w:cs="Arial"/>
          <w:color w:val="000000" w:themeColor="text1"/>
          <w:sz w:val="24"/>
          <w:szCs w:val="24"/>
        </w:rPr>
        <w:t>used</w:t>
      </w:r>
      <w:r w:rsidR="00490800" w:rsidRPr="00B13CBE">
        <w:rPr>
          <w:rFonts w:ascii="Arial" w:hAnsi="Arial" w:cs="Arial"/>
          <w:color w:val="000000" w:themeColor="text1"/>
          <w:sz w:val="24"/>
          <w:szCs w:val="24"/>
        </w:rPr>
        <w:t xml:space="preserve"> this concept and </w:t>
      </w:r>
      <w:r w:rsidR="00163FC3" w:rsidRPr="00B13CBE">
        <w:rPr>
          <w:rFonts w:ascii="Arial" w:hAnsi="Arial" w:cs="Arial"/>
          <w:color w:val="000000" w:themeColor="text1"/>
          <w:sz w:val="24"/>
          <w:szCs w:val="24"/>
        </w:rPr>
        <w:t>showed</w:t>
      </w:r>
      <w:r w:rsidR="00E40E3D" w:rsidRPr="00B13CBE">
        <w:rPr>
          <w:rFonts w:ascii="Arial" w:hAnsi="Arial" w:cs="Arial"/>
          <w:color w:val="000000" w:themeColor="text1"/>
          <w:sz w:val="24"/>
          <w:szCs w:val="24"/>
        </w:rPr>
        <w:t xml:space="preserve"> </w:t>
      </w:r>
      <w:r w:rsidR="00490800" w:rsidRPr="00B13CBE">
        <w:rPr>
          <w:rFonts w:ascii="Arial" w:hAnsi="Arial" w:cs="Arial"/>
          <w:color w:val="000000" w:themeColor="text1"/>
          <w:sz w:val="24"/>
          <w:szCs w:val="24"/>
        </w:rPr>
        <w:t xml:space="preserve">that investors could gain more efficient portfolios by </w:t>
      </w:r>
      <w:r w:rsidR="008714AD" w:rsidRPr="00B13CBE">
        <w:rPr>
          <w:rFonts w:ascii="Arial" w:hAnsi="Arial" w:cs="Arial"/>
          <w:color w:val="000000" w:themeColor="text1"/>
          <w:sz w:val="24"/>
          <w:szCs w:val="24"/>
        </w:rPr>
        <w:t>including both</w:t>
      </w:r>
      <w:r w:rsidR="00490800" w:rsidRPr="00B13CBE">
        <w:rPr>
          <w:rFonts w:ascii="Arial" w:hAnsi="Arial" w:cs="Arial"/>
          <w:color w:val="000000" w:themeColor="text1"/>
          <w:sz w:val="24"/>
          <w:szCs w:val="24"/>
        </w:rPr>
        <w:t xml:space="preserve"> domestic assets and foreign assets</w:t>
      </w:r>
      <w:r w:rsidR="00CC4248" w:rsidRPr="00B13CBE">
        <w:rPr>
          <w:rFonts w:ascii="Arial" w:hAnsi="Arial" w:cs="Arial"/>
          <w:color w:val="000000" w:themeColor="text1"/>
          <w:sz w:val="24"/>
          <w:szCs w:val="24"/>
        </w:rPr>
        <w:t xml:space="preserve"> in portfolios</w:t>
      </w:r>
      <w:r w:rsidR="0045661D"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w:t>
      </w:r>
      <w:r w:rsidR="00B05764" w:rsidRPr="00B13CBE">
        <w:rPr>
          <w:rFonts w:ascii="Arial" w:hAnsi="Arial" w:cs="Arial"/>
          <w:color w:val="000000" w:themeColor="text1"/>
          <w:sz w:val="24"/>
          <w:szCs w:val="24"/>
        </w:rPr>
        <w:t xml:space="preserve">Therefore,  </w:t>
      </w:r>
      <w:r w:rsidR="00CC4248" w:rsidRPr="00B13CBE">
        <w:rPr>
          <w:rFonts w:ascii="Arial" w:hAnsi="Arial" w:cs="Arial"/>
          <w:color w:val="000000" w:themeColor="text1"/>
          <w:sz w:val="24"/>
          <w:szCs w:val="24"/>
        </w:rPr>
        <w:t>i</w:t>
      </w:r>
      <w:r w:rsidR="00B05764" w:rsidRPr="00B13CBE">
        <w:rPr>
          <w:rFonts w:ascii="Arial" w:hAnsi="Arial" w:cs="Arial"/>
          <w:color w:val="000000" w:themeColor="text1"/>
          <w:sz w:val="24"/>
          <w:szCs w:val="24"/>
        </w:rPr>
        <w:t xml:space="preserve">nternational investors need good estimates of correlations among assets in different financial markets across the world to undertake asset pricing, asset allocation, and portfolio optimization </w:t>
      </w:r>
      <w:r w:rsidR="00B05764" w:rsidRPr="00B13CBE">
        <w:rPr>
          <w:rFonts w:ascii="Arial" w:hAnsi="Arial" w:cs="Arial"/>
          <w:color w:val="000000" w:themeColor="text1"/>
          <w:sz w:val="24"/>
          <w:szCs w:val="24"/>
        </w:rPr>
        <w:fldChar w:fldCharType="begin"/>
      </w:r>
      <w:r w:rsidR="00B05764" w:rsidRPr="00B13CBE">
        <w:rPr>
          <w:rFonts w:ascii="Arial" w:hAnsi="Arial" w:cs="Arial"/>
          <w:color w:val="000000" w:themeColor="text1"/>
          <w:sz w:val="24"/>
          <w:szCs w:val="24"/>
        </w:rPr>
        <w:instrText xml:space="preserve"> ADDIN ZOTERO_ITEM CSL_CITATION {"citationID":"OSQd87YJ","properties":{"formattedCitation":"(Sun {\\i{}et al.}, 2008)","plainCitation":"(Sun et al., 2008)","noteIndex":0},"citationItems":[{"id":105,"uris":["http://zotero.org/users/local/XXne8Mwc/items/22CKITRF"],"uri":["http://zotero.org/users/local/XXne8Mwc/items/22CKITRF"],"itemData":{"id":105,"type":"article-journal","abstract":"Analyzing equity market co-movements is important for risk diversification of an international portfolio. Copulas have several advantages compared to the linear correlation measure in modeling co-movement. This paper introduces a copula ARMA-GARCH model for analyzing the co-movement of international equity markets. The model is implemented with an ARMA-GARCH model for the marginal distributions and a copula for the joint distribution. After goodness of fit testing, we find that the Student’s t copula ARMA(1,1)-GARCH(1,1) model with fractional Gaussian noise is superior to alternative models investigated in our study where we model the simultaneous co-movement of nine international equity market indexes. This model is also suitable for capturing the long-range dependence and tail dependence observed in international equity markets.","container-title":"Empirical Economics","DOI":"10.1007/s00181-008-0192-3","ISSN":"1435-8921","issue":"1","journalAbbreviation":"Empir Econ","language":"en","page":"201","source":"Springer Link","title":"A new approach to modeling co-movement of international equity markets: evidence of unconditional copula-based simulation of tail dependence","title-short":"A new approach to modeling co-movement of international equity markets","volume":"36","author":[{"family":"Sun","given":"Wei"},{"family":"Rachev","given":"Svetlozar"},{"family":"Fabozzi","given":"Frank J."},{"family":"Kalev","given":"Petko S."}],"issued":{"date-parts":[["2008",4,22]]}}}],"schema":"https://github.com/citation-style-language/schema/raw/master/csl-citation.json"} </w:instrText>
      </w:r>
      <w:r w:rsidR="00B05764" w:rsidRPr="00B13CBE">
        <w:rPr>
          <w:rFonts w:ascii="Arial" w:hAnsi="Arial" w:cs="Arial"/>
          <w:color w:val="000000" w:themeColor="text1"/>
          <w:sz w:val="24"/>
          <w:szCs w:val="24"/>
        </w:rPr>
        <w:fldChar w:fldCharType="separate"/>
      </w:r>
      <w:r w:rsidR="00B05764" w:rsidRPr="00B13CBE">
        <w:rPr>
          <w:rFonts w:ascii="Arial" w:hAnsi="Arial" w:cs="Arial"/>
          <w:color w:val="000000" w:themeColor="text1"/>
          <w:sz w:val="24"/>
          <w:szCs w:val="24"/>
        </w:rPr>
        <w:t xml:space="preserve">(Sun </w:t>
      </w:r>
      <w:r w:rsidR="00B05764" w:rsidRPr="00B13CBE">
        <w:rPr>
          <w:rFonts w:ascii="Arial" w:hAnsi="Arial" w:cs="Arial"/>
          <w:i/>
          <w:iCs/>
          <w:color w:val="000000" w:themeColor="text1"/>
          <w:sz w:val="24"/>
          <w:szCs w:val="24"/>
        </w:rPr>
        <w:t>et al.</w:t>
      </w:r>
      <w:r w:rsidR="00B05764" w:rsidRPr="00B13CBE">
        <w:rPr>
          <w:rFonts w:ascii="Arial" w:hAnsi="Arial" w:cs="Arial"/>
          <w:color w:val="000000" w:themeColor="text1"/>
          <w:sz w:val="24"/>
          <w:szCs w:val="24"/>
        </w:rPr>
        <w:t>, 2008)</w:t>
      </w:r>
      <w:r w:rsidR="00B05764" w:rsidRPr="00B13CBE">
        <w:rPr>
          <w:rFonts w:ascii="Arial" w:hAnsi="Arial" w:cs="Arial"/>
          <w:color w:val="000000" w:themeColor="text1"/>
          <w:sz w:val="24"/>
          <w:szCs w:val="24"/>
        </w:rPr>
        <w:fldChar w:fldCharType="end"/>
      </w:r>
      <w:r w:rsidR="00B05764"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High correlations reduce the benefits of diversification because the</w:t>
      </w:r>
      <w:r w:rsidR="008178F1" w:rsidRPr="00B13CBE">
        <w:rPr>
          <w:rFonts w:ascii="Arial" w:hAnsi="Arial" w:cs="Arial"/>
          <w:color w:val="000000" w:themeColor="text1"/>
          <w:sz w:val="24"/>
          <w:szCs w:val="24"/>
        </w:rPr>
        <w:t>y cause assets to decline together which increases portfolio losses.</w:t>
      </w:r>
      <w:r w:rsidR="0045661D" w:rsidRPr="00B13CBE">
        <w:rPr>
          <w:rFonts w:ascii="Arial" w:hAnsi="Arial" w:cs="Arial"/>
          <w:color w:val="000000" w:themeColor="text1"/>
          <w:sz w:val="24"/>
          <w:szCs w:val="24"/>
        </w:rPr>
        <w:t xml:space="preserve"> </w:t>
      </w:r>
    </w:p>
    <w:p w14:paraId="10C1C7F0" w14:textId="77777777" w:rsidR="00F16C49"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Using evidence from 1960 to 1990,</w:t>
      </w:r>
      <w:r w:rsidR="000A735D" w:rsidRPr="00B13CBE">
        <w:rPr>
          <w:rFonts w:ascii="Arial" w:hAnsi="Arial" w:cs="Arial"/>
          <w:color w:val="000000" w:themeColor="text1"/>
          <w:sz w:val="24"/>
          <w:szCs w:val="24"/>
        </w:rPr>
        <w:t xml:space="preserve"> </w:t>
      </w:r>
      <w:r w:rsidR="000A735D"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{"citationID":"yJOqs9pK","properties":{"formattedCitation":"(Longin and Solnik, 1995)","plainCitation":"(Longin and Solnik, 1995)","dontUpdate":true,"noteIndex":0},"citationItems":[{"id":120,"uris":["http://zotero.org/users/local/XXne8Mwc/items/TV3MNSAC"],"uri":["http://zotero.org/users/local/XXne8Mwc/items/TV3MNSAC"],"itemData":{"id":120,"type":"article-journal","abstract":"We study the correlation of monthly excess returns for seven major countries over the period 1960-90. We find that the international covariance and correlation matrices are unstable over time. A multivariate GARCH(1,1) model with constant conditional correlation helps to capture some of the evolution in the conditional covariance structure. However tests of specific deviations lead to a rejection of the hypothesis of a constant conditional correlation. An explicit modelling of the conditional correlation indicates an increase of the international correlation between markets over the past thirty years. We also find that the correlation rises in periods of high volatility. There is some preliminary evidence that economic variables such as the dividend yield and interest rates contain information about future volatility and correlation that is not contained in past returns alone.","container-title":"Journal of International Money and Finance","DOI":"10.1016/0261-5606(94)00001-H","ISSN":"0261-5606","issue":"1","journalAbbreviation":"Journal of International Money and Finance","language":"en","page":"3-26","source":"ScienceDirect","title":"Is the correlation in international equity returns constant: 1960–1990?","title-short":"Is the correlation in international equity returns constant","volume":"14","author":[{"family":"Longin","given":"François"},{"family":"Solnik","given":"Bruno"}],"issued":{"date-parts":[["1995",2,1]]}}}],"schema":"https://github.com/citation-style-language/schema/raw/master/csl-citation.json"} </w:instrText>
      </w:r>
      <w:r w:rsidR="000A735D"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Longin and Solnik  (1995)</w:t>
      </w:r>
      <w:r w:rsidR="000A735D"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demonstrated that</w:t>
      </w:r>
      <w:r w:rsidR="000A735D" w:rsidRPr="00B13CBE">
        <w:rPr>
          <w:rFonts w:ascii="Arial" w:hAnsi="Arial" w:cs="Arial"/>
          <w:color w:val="000000" w:themeColor="text1"/>
          <w:sz w:val="24"/>
          <w:szCs w:val="24"/>
        </w:rPr>
        <w:t xml:space="preserve"> international equity markets are</w:t>
      </w:r>
      <w:r w:rsidRPr="00B13CBE">
        <w:rPr>
          <w:rFonts w:ascii="Arial" w:hAnsi="Arial" w:cs="Arial"/>
          <w:color w:val="000000" w:themeColor="text1"/>
          <w:sz w:val="24"/>
          <w:szCs w:val="24"/>
        </w:rPr>
        <w:t xml:space="preserve"> </w:t>
      </w:r>
      <w:r w:rsidR="000A735D" w:rsidRPr="00B13CBE">
        <w:rPr>
          <w:rFonts w:ascii="Arial" w:hAnsi="Arial" w:cs="Arial"/>
          <w:color w:val="000000" w:themeColor="text1"/>
          <w:sz w:val="24"/>
          <w:szCs w:val="24"/>
        </w:rPr>
        <w:t>correlated</w:t>
      </w:r>
      <w:r w:rsidR="00E40E3D" w:rsidRPr="00B13CBE">
        <w:rPr>
          <w:rFonts w:ascii="Arial" w:hAnsi="Arial" w:cs="Arial"/>
          <w:color w:val="000000" w:themeColor="text1"/>
          <w:sz w:val="24"/>
          <w:szCs w:val="24"/>
        </w:rPr>
        <w:t>,</w:t>
      </w:r>
      <w:r w:rsidR="00055654" w:rsidRPr="00B13CBE">
        <w:rPr>
          <w:rFonts w:ascii="Arial" w:hAnsi="Arial" w:cs="Arial"/>
          <w:color w:val="000000" w:themeColor="text1"/>
          <w:sz w:val="24"/>
          <w:szCs w:val="24"/>
        </w:rPr>
        <w:t xml:space="preserve"> and</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{"citationID":"UqJ2x1jA","properties":{"formattedCitation":"(Solnik, Buocrelle and Le Fur, 1996)","plainCitation":"(Solnik, Buocrelle and Le Fur, 1996)","dontUpdate":true,"noteIndex":0},"citationItems":[{"id":130,"uris":["http://zotero.org/users/local/XXne8Mwc/items/7G3ESJ6A"],"uri":["http://zotero.org/users/local/XXne8Mwc/items/7G3ESJ6A"],"itemData":{"id":130,"type":"webpage","title":"International Market Correlation and Volatility: Financial Analysts Journal: Vol 52, No 5","URL":"https://www.tandfonline.com/doi/abs/10.2469/faj.v52.n5.2021","author":[{"family":"Solnik","given":"Bruno"},{"family":"Buocrelle","given":"Cyril"},{"family":"Le Fur","given":"Yann"}],"accessed":{"date-parts":[["2021",7,23]]},"issued":{"date-parts":[["1996"]]}}}],"schema":"https://github.com/citation-style-language/schema/raw/master/csl-citation.json"}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Solnik, Buocrelle, and Le Fur (1996)</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showed that the correlation </w:t>
      </w:r>
      <w:r w:rsidR="00B05764" w:rsidRPr="00B13CBE">
        <w:rPr>
          <w:rFonts w:ascii="Arial" w:hAnsi="Arial" w:cs="Arial"/>
          <w:color w:val="000000" w:themeColor="text1"/>
          <w:sz w:val="24"/>
          <w:szCs w:val="24"/>
        </w:rPr>
        <w:t>varies in time</w:t>
      </w:r>
      <w:r w:rsidRPr="00B13CBE">
        <w:rPr>
          <w:rFonts w:ascii="Arial" w:hAnsi="Arial" w:cs="Arial"/>
          <w:color w:val="000000" w:themeColor="text1"/>
          <w:sz w:val="24"/>
          <w:szCs w:val="24"/>
        </w:rPr>
        <w:t>.</w:t>
      </w:r>
      <w:r w:rsidR="00163FC3" w:rsidRPr="00B13CBE">
        <w:rPr>
          <w:rFonts w:ascii="Arial" w:hAnsi="Arial" w:cs="Arial"/>
          <w:color w:val="000000" w:themeColor="text1"/>
          <w:sz w:val="24"/>
          <w:szCs w:val="24"/>
        </w:rPr>
        <w:t xml:space="preserve"> </w:t>
      </w:r>
      <w:r w:rsidR="008178F1" w:rsidRPr="00B13CBE">
        <w:rPr>
          <w:rFonts w:ascii="Arial" w:hAnsi="Arial" w:cs="Arial"/>
          <w:color w:val="000000" w:themeColor="text1"/>
          <w:sz w:val="24"/>
          <w:szCs w:val="24"/>
        </w:rPr>
        <w:t xml:space="preserve">These studies established that </w:t>
      </w:r>
      <w:r w:rsidR="008178F1" w:rsidRPr="00B13CBE">
        <w:rPr>
          <w:rFonts w:ascii="Arial" w:hAnsi="Arial" w:cs="Arial"/>
          <w:color w:val="000000" w:themeColor="text1"/>
          <w:sz w:val="24"/>
          <w:szCs w:val="24"/>
        </w:rPr>
        <w:lastRenderedPageBreak/>
        <w:t>c</w:t>
      </w:r>
      <w:r w:rsidRPr="00B13CBE">
        <w:rPr>
          <w:rFonts w:ascii="Arial" w:hAnsi="Arial" w:cs="Arial"/>
          <w:color w:val="000000" w:themeColor="text1"/>
          <w:sz w:val="24"/>
          <w:szCs w:val="24"/>
        </w:rPr>
        <w:t xml:space="preserve">orrelation among international financial markets exists and is time-varying.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{"citationID":"Cl5CqYh3","properties":{"formattedCitation":"(Karolyi and Stulz, 1996)","plainCitation":"(Karolyi and Stulz, 1996)","dontUpdate":true,"noteIndex":0},"citationItems":[{"id":114,"uris":["http://zotero.org/users/local/XXne8Mwc/items/LPRIVNRZ"],"uri":["http://zotero.org/users/local/XXne8Mwc/items/LPRIVNRZ"],"itemData":{"id":114,"type":"article-journal","abstract":"This article explores the fundamental factors that affect cross-country stock return correlations. Using transactions data from 1988 to 1992, we construct overnight and intraday returns for a portfolio of Japanese stocks using their NYSE-traded American Depository Receipts (ADRs) and a matched-sample portfolio of U.S. stocks. We find that U.S. macroeconomic announcements, shocks to the Yen/Dollar foreign exchange rate and Treasury bill returns, and industry effects have no measurable influence on U.S. and Japanese return correlations. However, large shocks to broad-based market indices (Nikkei Stock Average and Standard and Poor's 500 Stock Index) positively impact both the magnitude and persistence of the return correlations.","container-title":"The Journal of Finance","DOI":"10.2307/2329228","ISSN":"0022-1082","issue":"3","note":"publisher: [American Finance Association, Wiley]","page":"951-986","source":"JSTOR","title":"Why Do Markets Move Together? An Investigation of U.S.-Japan Stock Return Comovements","title-short":"Why Do Markets Move Together?","volume":"51","author":[{"family":"Karolyi","given":"G. Andrew"},{"family":"Stulz","given":"René M."}],"issued":{"date-parts":[["1996"]]}}}],"schema":"https://github.com/citation-style-language/schema/raw/master/csl-citation.json"}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Karolyi and Stulz (1996)</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showed that correlation among international </w:t>
      </w:r>
      <w:r w:rsidR="00163FC3" w:rsidRPr="00B13CBE">
        <w:rPr>
          <w:rFonts w:ascii="Arial" w:hAnsi="Arial" w:cs="Arial"/>
          <w:color w:val="000000" w:themeColor="text1"/>
          <w:sz w:val="24"/>
          <w:szCs w:val="24"/>
        </w:rPr>
        <w:t>financial</w:t>
      </w:r>
      <w:r w:rsidRPr="00B13CBE">
        <w:rPr>
          <w:rFonts w:ascii="Arial" w:hAnsi="Arial" w:cs="Arial"/>
          <w:color w:val="000000" w:themeColor="text1"/>
          <w:sz w:val="24"/>
          <w:szCs w:val="24"/>
        </w:rPr>
        <w:t xml:space="preserve"> markets increases during periods of stress </w:t>
      </w:r>
      <w:r w:rsidR="00163FC3"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{"citationID":"cBrN9GYP","properties":{"formattedCitation":"(Erb, Harvey and Viskanta, 1994)","plainCitation":"(Erb, Harvey and Viskanta, 1994)","dontUpdate":true,"noteIndex":0},"citationItems":[{"id":119,"uris":["http://zotero.org/users/local/XXne8Mwc/items/Y9QYAZ5X"],"uri":["http://zotero.org/users/local/XXne8Mwc/items/Y9QYAZ5X"],"itemData":{"id":119,"type":"article-journal","container-title":"Financial Analysts Journal","DOI":"10.2469/faj.v50.n6.32","ISSN":"0015-198X","issue":"6","note":"publisher: Routledge\n_eprint: https://doi.org/10.2469/faj.v50.n6.32","page":"32-45","source":"Taylor and Francis+NEJM","title":"Forecasting International Equity Correlations","volume":"50","author":[{"family":"Erb","given":"Claude B."},{"family":"Harvey","given":"Campbell R."},{"family":"Viskanta","given":"Tadas E."}],"issued":{"date-parts":[["1994",11,1]]}}}],"schema":"https://github.com/citation-style-language/schema/raw/master/csl-citation.json"}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Erb, Harvey</w:t>
      </w:r>
      <w:r w:rsidR="0015169E"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and Viskanta (1994)</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15169E" w:rsidRPr="00B13CBE">
        <w:rPr>
          <w:rFonts w:ascii="Arial" w:hAnsi="Arial" w:cs="Arial"/>
          <w:color w:val="000000" w:themeColor="text1"/>
          <w:sz w:val="24"/>
          <w:szCs w:val="24"/>
        </w:rPr>
        <w:t>demonstrated that correlation changes</w:t>
      </w:r>
      <w:r w:rsidRPr="00B13CBE">
        <w:rPr>
          <w:rFonts w:ascii="Arial" w:hAnsi="Arial" w:cs="Arial"/>
          <w:color w:val="000000" w:themeColor="text1"/>
          <w:sz w:val="24"/>
          <w:szCs w:val="24"/>
        </w:rPr>
        <w:t xml:space="preserve"> during different stages of business cycles.</w:t>
      </w:r>
      <w:r w:rsidR="00055654"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The</w:t>
      </w:r>
      <w:r w:rsidR="008178F1" w:rsidRPr="00B13CBE">
        <w:rPr>
          <w:rFonts w:ascii="Arial" w:hAnsi="Arial" w:cs="Arial"/>
          <w:color w:val="000000" w:themeColor="text1"/>
          <w:sz w:val="24"/>
          <w:szCs w:val="24"/>
        </w:rPr>
        <w:t>refore, according to these</w:t>
      </w:r>
      <w:r w:rsidRPr="00B13CBE">
        <w:rPr>
          <w:rFonts w:ascii="Arial" w:hAnsi="Arial" w:cs="Arial"/>
          <w:color w:val="000000" w:themeColor="text1"/>
          <w:sz w:val="24"/>
          <w:szCs w:val="24"/>
        </w:rPr>
        <w:t xml:space="preserve"> studies</w:t>
      </w:r>
      <w:r w:rsidR="008178F1"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variation of correlation among financial markets is not random</w:t>
      </w:r>
      <w:r w:rsidR="008178F1" w:rsidRPr="00B13CBE">
        <w:rPr>
          <w:rFonts w:ascii="Arial" w:hAnsi="Arial" w:cs="Arial"/>
          <w:color w:val="000000" w:themeColor="text1"/>
          <w:sz w:val="24"/>
          <w:szCs w:val="24"/>
        </w:rPr>
        <w:t>.</w:t>
      </w:r>
      <w:r w:rsidR="00B05764" w:rsidRPr="00B13CBE">
        <w:rPr>
          <w:rFonts w:ascii="Arial" w:hAnsi="Arial" w:cs="Arial"/>
          <w:color w:val="000000" w:themeColor="text1"/>
          <w:sz w:val="24"/>
          <w:szCs w:val="24"/>
        </w:rPr>
        <w:t xml:space="preserve"> </w:t>
      </w:r>
      <w:r w:rsidR="008178F1" w:rsidRPr="00B13CBE">
        <w:rPr>
          <w:rFonts w:ascii="Arial" w:hAnsi="Arial" w:cs="Arial"/>
          <w:color w:val="000000" w:themeColor="text1"/>
          <w:sz w:val="24"/>
          <w:szCs w:val="24"/>
        </w:rPr>
        <w:t>I</w:t>
      </w:r>
      <w:r w:rsidRPr="00B13CBE">
        <w:rPr>
          <w:rFonts w:ascii="Arial" w:hAnsi="Arial" w:cs="Arial"/>
          <w:color w:val="000000" w:themeColor="text1"/>
          <w:sz w:val="24"/>
          <w:szCs w:val="24"/>
        </w:rPr>
        <w:t xml:space="preserve">nternational investors can use information processing and market timing </w:t>
      </w:r>
      <w:r w:rsidR="00B05764" w:rsidRPr="00B13CBE">
        <w:rPr>
          <w:rFonts w:ascii="Arial" w:hAnsi="Arial" w:cs="Arial"/>
          <w:color w:val="000000" w:themeColor="text1"/>
          <w:sz w:val="24"/>
          <w:szCs w:val="24"/>
        </w:rPr>
        <w:t xml:space="preserve">skills </w:t>
      </w:r>
      <w:r w:rsidRPr="00B13CBE">
        <w:rPr>
          <w:rFonts w:ascii="Arial" w:hAnsi="Arial" w:cs="Arial"/>
          <w:color w:val="000000" w:themeColor="text1"/>
          <w:sz w:val="24"/>
          <w:szCs w:val="24"/>
        </w:rPr>
        <w:t>to diversify their portfolios despite the time-varying correlation among financial markets.</w:t>
      </w:r>
      <w:r w:rsidR="00B05764" w:rsidRPr="00B13CBE">
        <w:rPr>
          <w:rFonts w:ascii="Arial" w:hAnsi="Arial" w:cs="Arial"/>
          <w:color w:val="000000" w:themeColor="text1"/>
          <w:sz w:val="24"/>
          <w:szCs w:val="24"/>
        </w:rPr>
        <w:t xml:space="preserve"> Therefore, if correlations among financial markets increase, international diversification is still possible however it becomes more difficult</w:t>
      </w:r>
      <w:r w:rsidR="008178F1" w:rsidRPr="00B13CBE">
        <w:rPr>
          <w:rFonts w:ascii="Arial" w:hAnsi="Arial" w:cs="Arial"/>
          <w:color w:val="000000" w:themeColor="text1"/>
          <w:sz w:val="24"/>
          <w:szCs w:val="24"/>
        </w:rPr>
        <w:t xml:space="preserve"> and costly to implement</w:t>
      </w:r>
      <w:r w:rsidR="00B05764" w:rsidRPr="00B13CBE">
        <w:rPr>
          <w:rFonts w:ascii="Arial" w:hAnsi="Arial" w:cs="Arial"/>
          <w:color w:val="000000" w:themeColor="text1"/>
          <w:sz w:val="24"/>
          <w:szCs w:val="24"/>
        </w:rPr>
        <w:t>.</w:t>
      </w:r>
      <w:r w:rsidR="008178F1" w:rsidRPr="00B13CBE">
        <w:rPr>
          <w:rFonts w:ascii="Arial" w:hAnsi="Arial" w:cs="Arial"/>
          <w:color w:val="000000" w:themeColor="text1"/>
          <w:sz w:val="24"/>
          <w:szCs w:val="24"/>
        </w:rPr>
        <w:t xml:space="preserve"> </w:t>
      </w:r>
    </w:p>
    <w:p w14:paraId="751FF882" w14:textId="77777777" w:rsidR="00305050"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In financial markets, the observed co-movement during periods of crisis</w:t>
      </w:r>
      <w:r w:rsidR="008178F1"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reflects the transmission of economic shocks across equity markets</w:t>
      </w:r>
      <w:r w:rsidR="008178F1" w:rsidRPr="00B13CBE">
        <w:rPr>
          <w:rFonts w:ascii="Arial" w:hAnsi="Arial" w:cs="Arial"/>
          <w:color w:val="000000" w:themeColor="text1"/>
          <w:sz w:val="24"/>
          <w:szCs w:val="24"/>
        </w:rPr>
        <w:t xml:space="preserve"> and</w:t>
      </w:r>
      <w:r w:rsidRPr="00B13CBE">
        <w:rPr>
          <w:rFonts w:ascii="Arial" w:hAnsi="Arial" w:cs="Arial"/>
          <w:color w:val="000000" w:themeColor="text1"/>
          <w:sz w:val="24"/>
          <w:szCs w:val="24"/>
        </w:rPr>
        <w:t xml:space="preserve"> has been attributed to contagion.</w:t>
      </w:r>
      <w:r w:rsidR="00C32DCA" w:rsidRPr="00B13CBE">
        <w:rPr>
          <w:rFonts w:ascii="Arial" w:hAnsi="Arial" w:cs="Arial"/>
          <w:color w:val="000000" w:themeColor="text1"/>
          <w:sz w:val="24"/>
          <w:szCs w:val="24"/>
        </w:rPr>
        <w:t xml:space="preserve"> According to </w:t>
      </w:r>
      <w:r w:rsidR="00C32DCA" w:rsidRPr="00B13CBE">
        <w:rPr>
          <w:rFonts w:ascii="Arial" w:hAnsi="Arial" w:cs="Arial"/>
          <w:color w:val="000000" w:themeColor="text1"/>
          <w:sz w:val="24"/>
          <w:szCs w:val="24"/>
        </w:rPr>
        <w:fldChar w:fldCharType="begin"/>
      </w:r>
      <w:r w:rsidR="00C32DCA" w:rsidRPr="00B13CBE">
        <w:rPr>
          <w:rFonts w:ascii="Arial" w:hAnsi="Arial" w:cs="Arial"/>
          <w:color w:val="000000" w:themeColor="text1"/>
          <w:sz w:val="24"/>
          <w:szCs w:val="24"/>
        </w:rPr>
        <w:instrText xml:space="preserve"> ADDIN ZOTERO_ITEM CSL_CITATION {"citationID":"1RLXZpeV","properties":{"formattedCitation":"(Bekaert et al., 2005)","plainCitation":"(Bekaert et al., 2005)","dontUpdate":true,"noteIndex":0},"citationItems":[{"id":117,"uris":["http://zotero.org/users/local/XXne8Mwc/items/9G8TG94D"],"uri":["http://zotero.org/users/local/XXne8Mwc/items/9G8TG94D"],"itemData":{"id":117,"type":"article-journal","abstract":"Contagion is usually defined as correlation between markets in excess of that implied by economic fundamentals; however, there is considerable disagreement regarding the definition of the fundamentals, how they might differ across countries, and the mechanisms that link them to asset returns. Our research starts with a two</w:instrText>
      </w:r>
      <w:r w:rsidR="00C32DCA" w:rsidRPr="00B13CBE">
        <w:rPr>
          <w:rFonts w:ascii="Cambria Math" w:hAnsi="Cambria Math" w:cs="Cambria Math"/>
          <w:color w:val="000000" w:themeColor="text1"/>
          <w:sz w:val="24"/>
          <w:szCs w:val="24"/>
        </w:rPr>
        <w:instrText>‐</w:instrText>
      </w:r>
      <w:r w:rsidR="00C32DCA" w:rsidRPr="00B13CBE">
        <w:rPr>
          <w:rFonts w:ascii="Arial" w:hAnsi="Arial" w:cs="Arial"/>
          <w:color w:val="000000" w:themeColor="text1"/>
          <w:sz w:val="24"/>
          <w:szCs w:val="24"/>
        </w:rPr>
        <w:instrText>factor model with time</w:instrText>
      </w:r>
      <w:r w:rsidR="00C32DCA" w:rsidRPr="00B13CBE">
        <w:rPr>
          <w:rFonts w:ascii="Cambria Math" w:hAnsi="Cambria Math" w:cs="Cambria Math"/>
          <w:color w:val="000000" w:themeColor="text1"/>
          <w:sz w:val="24"/>
          <w:szCs w:val="24"/>
        </w:rPr>
        <w:instrText>‐</w:instrText>
      </w:r>
      <w:r w:rsidR="00C32DCA" w:rsidRPr="00B13CBE">
        <w:rPr>
          <w:rFonts w:ascii="Arial" w:hAnsi="Arial" w:cs="Arial"/>
          <w:color w:val="000000" w:themeColor="text1"/>
          <w:sz w:val="24"/>
          <w:szCs w:val="24"/>
        </w:rPr>
        <w:instrText xml:space="preserve">varying betas that accommodates various degrees of market integration. We apply this model to stock returns in three different regions: Europe, Southeast Asia, and Latin America. In addition to examining contagion during crisis periods, we document time variation in world and regional market integration and measure the proportion of volatility driven by global, regional, and local factors.","container-title":"The Journal of Business","DOI":"10.1086/426519","ISSN":"0021-9398","issue":"1","note":"publisher: The University of Chicago Press","page":"39-69","source":"JSTOR","title":"Market Integration and Contagion","volume":"78","author":[{"family":"Bekaert","given":"Geert"},{"family":"Harvey","given":"Campbell R."},{"family":"Ng","given":"Angela"}],"issued":{"date-parts":[["2005"]]}}}],"schema":"https://github.com/citation-style-language/schema/raw/master/csl-citation.json"} </w:instrText>
      </w:r>
      <w:r w:rsidR="00C32DCA" w:rsidRPr="00B13CBE">
        <w:rPr>
          <w:rFonts w:ascii="Arial" w:hAnsi="Arial" w:cs="Arial"/>
          <w:color w:val="000000" w:themeColor="text1"/>
          <w:sz w:val="24"/>
          <w:szCs w:val="24"/>
        </w:rPr>
        <w:fldChar w:fldCharType="separate"/>
      </w:r>
      <w:r w:rsidR="00C32DCA" w:rsidRPr="00B13CBE">
        <w:rPr>
          <w:rFonts w:ascii="Arial" w:hAnsi="Arial" w:cs="Arial"/>
          <w:color w:val="000000" w:themeColor="text1"/>
          <w:sz w:val="24"/>
          <w:szCs w:val="24"/>
        </w:rPr>
        <w:t>Bekaert et al.</w:t>
      </w:r>
      <w:r w:rsidR="00B03135" w:rsidRPr="00B13CBE">
        <w:rPr>
          <w:rFonts w:ascii="Arial" w:hAnsi="Arial" w:cs="Arial"/>
          <w:color w:val="000000" w:themeColor="text1"/>
          <w:sz w:val="24"/>
          <w:szCs w:val="24"/>
        </w:rPr>
        <w:t xml:space="preserve"> </w:t>
      </w:r>
      <w:r w:rsidR="00C32DCA" w:rsidRPr="00B13CBE">
        <w:rPr>
          <w:rFonts w:ascii="Arial" w:hAnsi="Arial" w:cs="Arial"/>
          <w:color w:val="000000" w:themeColor="text1"/>
          <w:sz w:val="24"/>
          <w:szCs w:val="24"/>
        </w:rPr>
        <w:t>(2005)</w:t>
      </w:r>
      <w:r w:rsidR="00C32DCA" w:rsidRPr="00B13CBE">
        <w:rPr>
          <w:rFonts w:ascii="Arial" w:hAnsi="Arial" w:cs="Arial"/>
          <w:color w:val="000000" w:themeColor="text1"/>
          <w:sz w:val="24"/>
          <w:szCs w:val="24"/>
        </w:rPr>
        <w:fldChar w:fldCharType="end"/>
      </w:r>
      <w:r w:rsidR="00C32DCA" w:rsidRPr="00B13CBE">
        <w:rPr>
          <w:rFonts w:ascii="Arial" w:hAnsi="Arial" w:cs="Arial"/>
          <w:color w:val="000000" w:themeColor="text1"/>
          <w:sz w:val="24"/>
          <w:szCs w:val="24"/>
        </w:rPr>
        <w:t xml:space="preserve">, contagion is defined as the correlation between markets that </w:t>
      </w:r>
      <w:r w:rsidR="008178F1" w:rsidRPr="00B13CBE">
        <w:rPr>
          <w:rFonts w:ascii="Arial" w:hAnsi="Arial" w:cs="Arial"/>
          <w:color w:val="000000" w:themeColor="text1"/>
          <w:sz w:val="24"/>
          <w:szCs w:val="24"/>
        </w:rPr>
        <w:t xml:space="preserve">is higher </w:t>
      </w:r>
      <w:r w:rsidR="00F16C49" w:rsidRPr="00B13CBE">
        <w:rPr>
          <w:rFonts w:ascii="Arial" w:hAnsi="Arial" w:cs="Arial"/>
          <w:color w:val="000000" w:themeColor="text1"/>
          <w:sz w:val="24"/>
          <w:szCs w:val="24"/>
        </w:rPr>
        <w:t>than</w:t>
      </w:r>
      <w:r w:rsidRPr="00B13CBE">
        <w:rPr>
          <w:rFonts w:ascii="Arial" w:hAnsi="Arial" w:cs="Arial"/>
          <w:color w:val="000000" w:themeColor="text1"/>
          <w:sz w:val="24"/>
          <w:szCs w:val="24"/>
        </w:rPr>
        <w:t xml:space="preserve"> implied by </w:t>
      </w:r>
      <w:r w:rsidR="00C32DCA" w:rsidRPr="00B13CBE">
        <w:rPr>
          <w:rFonts w:ascii="Arial" w:hAnsi="Arial" w:cs="Arial"/>
          <w:color w:val="000000" w:themeColor="text1"/>
          <w:sz w:val="24"/>
          <w:szCs w:val="24"/>
        </w:rPr>
        <w:t xml:space="preserve">economic fundamentals. This is supported by </w:t>
      </w:r>
      <w:r w:rsidR="00C32DCA" w:rsidRPr="00B13CBE">
        <w:rPr>
          <w:rFonts w:ascii="Arial" w:hAnsi="Arial" w:cs="Arial"/>
          <w:color w:val="000000" w:themeColor="text1"/>
          <w:sz w:val="24"/>
          <w:szCs w:val="24"/>
        </w:rPr>
        <w:fldChar w:fldCharType="begin"/>
      </w:r>
      <w:r w:rsidR="00C32DCA" w:rsidRPr="00B13CBE">
        <w:rPr>
          <w:rFonts w:ascii="Arial" w:hAnsi="Arial" w:cs="Arial"/>
          <w:color w:val="000000" w:themeColor="text1"/>
          <w:sz w:val="24"/>
          <w:szCs w:val="24"/>
        </w:rPr>
        <w:instrText xml:space="preserve"> ADDIN ZOTERO_ITEM CSL_CITATION {"citationID":"kIZOjcMK","properties":{"formattedCitation":"(Sun et al., 2008)","plainCitation":"(Sun et al., 2008)","dontUpdate":true,"noteIndex":0},"citationItems":[{"id":105,"uris":["http://zotero.org/users/local/XXne8Mwc/items/22CKITRF"],"uri":["http://zotero.org/users/local/XXne8Mwc/items/22CKITRF"],"itemData":{"id":105,"type":"article-journal","abstract":"Analyzing equity market co-movements is important for risk diversification of an international portfolio. Copulas have several advantages compared to the linear correlation measure in modeling co-movement. This paper introduces a copula ARMA-GARCH model for analyzing the co-movement of international equity markets. The model is implemented with an ARMA-GARCH model for the marginal distributions and a copula for the joint distribution. After goodness of fit testing, we find that the Student’s t copula ARMA(1,1)-GARCH(1,1) model with fractional Gaussian noise is superior to alternative models investigated in our study where we model the simultaneous co-movement of nine international equity market indexes. This model is also suitable for capturing the long-range dependence and tail dependence observed in international equity markets.","container-title":"Empirical Economics","DOI":"10.1007/s00181-008-0192-3","ISSN":"1435-8921","issue":"1","journalAbbreviation":"Empir Econ","language":"en","page":"201","source":"Springer Link","title":"A new approach to modeling co-movement of international equity markets: evidence of unconditional copula-based simulation of tail dependence","title-short":"A new approach to modeling co-movement of international equity markets","volume":"36","author":[{"family":"Sun","given":"Wei"},{"family":"Rachev","given":"Svetlozar"},{"family":"Fabozzi","given":"Frank J."},{"family":"Kalev","given":"Petko S."}],"issued":{"date-parts":[["2008",4,22]]}}}],"schema":"https://github.com/citation-style-language/schema/raw/master/csl-citation.json"} </w:instrText>
      </w:r>
      <w:r w:rsidR="00C32DCA" w:rsidRPr="00B13CBE">
        <w:rPr>
          <w:rFonts w:ascii="Arial" w:hAnsi="Arial" w:cs="Arial"/>
          <w:color w:val="000000" w:themeColor="text1"/>
          <w:sz w:val="24"/>
          <w:szCs w:val="24"/>
        </w:rPr>
        <w:fldChar w:fldCharType="separate"/>
      </w:r>
      <w:r w:rsidR="00C32DCA" w:rsidRPr="00B13CBE">
        <w:rPr>
          <w:rFonts w:ascii="Arial" w:hAnsi="Arial" w:cs="Arial"/>
          <w:color w:val="000000" w:themeColor="text1"/>
          <w:sz w:val="24"/>
          <w:szCs w:val="24"/>
        </w:rPr>
        <w:t>Sun et al. (2008)</w:t>
      </w:r>
      <w:r w:rsidR="00C32DCA" w:rsidRPr="00B13CBE">
        <w:rPr>
          <w:rFonts w:ascii="Arial" w:hAnsi="Arial" w:cs="Arial"/>
          <w:color w:val="000000" w:themeColor="text1"/>
          <w:sz w:val="24"/>
          <w:szCs w:val="24"/>
        </w:rPr>
        <w:fldChar w:fldCharType="end"/>
      </w:r>
      <w:r w:rsidR="00C32DCA" w:rsidRPr="00B13CBE">
        <w:rPr>
          <w:rFonts w:ascii="Arial" w:hAnsi="Arial" w:cs="Arial"/>
          <w:color w:val="000000" w:themeColor="text1"/>
          <w:sz w:val="24"/>
          <w:szCs w:val="24"/>
        </w:rPr>
        <w:t xml:space="preserve"> who point out that financial crises and market crashes have been observed to happen at roughly the same time in different countries</w:t>
      </w:r>
      <w:r w:rsidRPr="00B13CBE">
        <w:rPr>
          <w:rFonts w:ascii="Arial" w:hAnsi="Arial" w:cs="Arial"/>
          <w:color w:val="000000" w:themeColor="text1"/>
          <w:sz w:val="24"/>
          <w:szCs w:val="24"/>
        </w:rPr>
        <w:t xml:space="preserve">, </w:t>
      </w:r>
      <w:r w:rsidR="00C32DCA" w:rsidRPr="00B13CBE">
        <w:rPr>
          <w:rFonts w:ascii="Arial" w:hAnsi="Arial" w:cs="Arial"/>
          <w:color w:val="000000" w:themeColor="text1"/>
          <w:sz w:val="24"/>
          <w:szCs w:val="24"/>
        </w:rPr>
        <w:t>even if the correlations among these markets are significantly low.</w:t>
      </w:r>
      <w:r w:rsidR="00B05764" w:rsidRPr="00B13CBE">
        <w:rPr>
          <w:rFonts w:ascii="Arial" w:hAnsi="Arial" w:cs="Arial"/>
          <w:color w:val="000000" w:themeColor="text1"/>
          <w:sz w:val="24"/>
          <w:szCs w:val="24"/>
        </w:rPr>
        <w:t xml:space="preserve"> Other theories that explain the existence of correlations among financial markets are further discussed in the literature review.</w:t>
      </w:r>
      <w:r w:rsidR="00C32DCA" w:rsidRPr="00B13CBE">
        <w:rPr>
          <w:rFonts w:ascii="Arial" w:hAnsi="Arial" w:cs="Arial"/>
          <w:color w:val="000000" w:themeColor="text1"/>
          <w:sz w:val="24"/>
          <w:szCs w:val="24"/>
        </w:rPr>
        <w:t xml:space="preserve"> </w:t>
      </w:r>
    </w:p>
    <w:p w14:paraId="668D8783" w14:textId="2348A508" w:rsidR="00295000"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According to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{"citationID":"HuvKkVOi","properties":{"formattedCitation":"(Natarajan et al., 2014)","plainCitation":"(Natarajan et al., 2014)","dontUpdate":true,"noteIndex":0},"citationItems":[{"id":156,"uris":["http://zotero.org/users/local/XXne8Mwc/items/GRPAZ95V"],"uri":["http://zotero.org/users/local/XXne8Mwc/items/GRPAZ95V"],"itemData":{"id":156,"type":"article-journal","abstract":"The study of the stock market in a country and the understanding of the influence of stock market crashes within and across the markets has been the subject matter of many researches, academicians and analysts during recent times. In this study we investigate the mean-volatility spillover effects that happen across international stock markets. The study, by taking into consideration the stock market returns based on various indices, investigates the mean-volatility spillover effects using the GARCH in Mean model for the period January 2002 to December 2011. The GARCH-M model seeks to provide useful insights into how information is transmitted and disseminated across stock markets. In particular, the model examines the precise and separate measures of return spillovers and volatility spillovers. The analysis provides the evidence of strong mean and volatility spillover across some stock exchanges.\nResumen\nEl estudio del mercado de valores de un país y la comprensión de la influencia de los desplomes de la bolsa en y a través de los mercados ha sido el objeto de muchas investigaciones de académicos y analistas en los últimos tiempos. En este estudio se investigan los efectos de derrame de media volatilidad que se producen en los mercados de valores internacionales. El estudio, teniendo en cuenta la rentabilidad del mercado de valores basada en varios índices, investiga los efectos de derrame promedio de volatilidad utilizando el modelo GARCH en el período comprendido entre enero de 2002 y diciembre de 2011. El modelo GARCH-M pretende proporcionar ideas útiles sobre cómo se transmite y difunde la información a través de los mercados de valores. En particular, el modelo examina las medidas precisas y separadas de los efectos de excedentes de retorno y de volatilidad. El análisis proporciona la evidencia de una media y volatilidad fuertes a través de algunas bolsas de valores.","container-title":"Journal of Economics Finance and Administrative Science","DOI":"10.1016/j.jefas.2014.01.001","ISSN":"2077-1886","issue":"36","journalAbbreviation":"Journal of Economics Finance and Administrative Science","language":"en","page":"55-62","source":"ScienceDirect","title":"Examining mean-volatility spillovers across national stock markets","volume":"19","author":[{"family":"Natarajan","given":"Vinodh Kesavaraj"},{"family":"Robert Raja Singh","given":"Azariah"},{"family":"Chidham Priya","given":"Nagarajan"}],"issued":{"date-parts":[["2014",6,1]]}}}],"schema":"https://github.com/citation-style-language/schema/raw/master/csl-citation.json"}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Natarajan et al. (2014)</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the term 'volatility spillover' refers to the transmission of volatility from one financial market to another. Volatility is defined as the variation of asset prices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{"citationID":"mV2wC0G4","properties":{"formattedCitation":"(Schwert, 1990)","plainCitation":"(Schwert, 1990)","noteIndex":0},"citationItems":[{"id":896,"uris":["http://zotero.org/users/local/XXne8Mwc/items/N967TZIG"],"uri":["http://zotero.org/users/local/XXne8Mwc/items/N967TZIG"],"itemData":{"id":896,"type":"article-journal","container-title":"Financial Analysts Journal","DOI":"10.2469/faj.v46.n3.23","ISSN":"0015-198X","issue":"3","note":"publisher: Routledge\n_eprint: https://doi.org/10.2469/faj.v46.n3.23","page":"23-34","source":"Taylor and Francis+NEJM","title":"Stock Market Volatility","volume":"46","author":[{"family":"Schwert","given":"G. William"}],"issued":{"date-parts":[["1990",5,1]]}}}],"schema":"https://github.com/citation-style-language/schema/raw/master/csl-citation.json"}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(Schwert, 1990)</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In reality, volatility cannot be observed but its effects on asset prices are observable. This has led to the use of </w:t>
      </w:r>
      <w:r w:rsidRPr="00B13CBE">
        <w:rPr>
          <w:rFonts w:ascii="Arial" w:hAnsi="Arial" w:cs="Arial"/>
          <w:color w:val="000000" w:themeColor="text1"/>
          <w:sz w:val="24"/>
          <w:szCs w:val="24"/>
        </w:rPr>
        <w:lastRenderedPageBreak/>
        <w:t xml:space="preserve">asset return variation as a proxy for volatility. </w:t>
      </w:r>
      <w:r w:rsidR="00FC49CE">
        <w:rPr>
          <w:rFonts w:ascii="Arial" w:hAnsi="Arial" w:cs="Arial"/>
          <w:color w:val="000000" w:themeColor="text1"/>
          <w:sz w:val="24"/>
          <w:szCs w:val="24"/>
        </w:rPr>
        <w:t>Due to the use of</w:t>
      </w:r>
      <w:r w:rsidRPr="00B13CBE">
        <w:rPr>
          <w:rFonts w:ascii="Arial" w:hAnsi="Arial" w:cs="Arial"/>
          <w:color w:val="000000" w:themeColor="text1"/>
          <w:sz w:val="24"/>
          <w:szCs w:val="24"/>
        </w:rPr>
        <w:t xml:space="preserve"> the variation of asset returns as a proxy for volatility, correlations among financial markets imply that volatility spillovers exist. According to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{"citationID":"8ApKd10p","properties":{"formattedCitation":"(Hong, 2001)","plainCitation":"(Hong, 2001)","noteIndex":0},"citationItems":[{"id":898,"uris":["http://zotero.org/users/local/XXne8Mwc/items/3BQ2AX2U"],"uri":["http://zotero.org/users/local/XXne8Mwc/items/3BQ2AX2U"],"itemData":{"id":898,"type":"article-journal","abstract":"This paper proposes a class of asymptotic N(0,1) tests for volatility spillover between two time series that exhibit conditional heteroskedasticity and may have infinite unconditional variances. The tests are based on a weighted sum of squared sample cross-correlations between two squared standardized residuals. We allow to use all the sample cross-correlations, and introduce a flexible weighting scheme for the sample cross-correlation at each lag. Cheung and Ng (1996) test and Granger (1969)-type regression-based test can be viewed as uniform weighting because they give equal weighting to each lag. Non-uniform weighting often gives better power than uniform weighting, as is illustrated in a simulation study. We apply the new tests to study Granger-causalities between two weekly nominal U.S. dollar exchange rates—Deutschemark and Japanese yen. It is found that for causality in mean, there exists only simultaneous interaction between the two exchange rates. For causality in variance, there also exists strong simultaneous interaction between them. Moreover, a change in past Deutschemark volatility Granger-causes a change in current Japanese yen volatility, but a change in past Japanese yen volatility does not Granger-cause a change in current Deutschemark volatility.","collection-title":"Studies in estimation and testing","container-title":"Journal of Econometrics","DOI":"10.1016/S0304-4076(01)00043-4","ISSN":"0304-4076","issue":"1","journalAbbreviation":"Journal of Econometrics","language":"en","page":"183-224","source":"ScienceDirect","title":"A test for volatility spillover with application to exchange rates","volume":"103","author":[{"family":"Hong","given":"Yongmiao"}],"issued":{"date-parts":[["2001",7,1]]}}}],"schema":"https://github.com/citation-style-language/schema/raw/master/csl-citation.json"}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Hong (2001)</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the absence of volatility spillovers implies that price changes in a market are the result of macroeconomic or fundamental news while the existence of volatility spillover implies that a shock in a market or asset will only increase the volatility of that particular market or asset.</w:t>
      </w:r>
      <w:r w:rsidR="00800367" w:rsidRPr="00B13CBE">
        <w:rPr>
          <w:rFonts w:ascii="Arial" w:hAnsi="Arial" w:cs="Arial"/>
          <w:color w:val="000000" w:themeColor="text1"/>
          <w:sz w:val="24"/>
          <w:szCs w:val="24"/>
        </w:rPr>
        <w:t xml:space="preserve"> This means that if volatility spillovers exist, investors have to worry about the volatility of foreign markets in addition to the volatility of the domestic market whether or not they invest in foreign markets </w:t>
      </w:r>
      <w:r w:rsidR="00800367" w:rsidRPr="00B13CBE">
        <w:rPr>
          <w:rFonts w:ascii="Arial" w:hAnsi="Arial" w:cs="Arial"/>
          <w:color w:val="000000" w:themeColor="text1"/>
          <w:sz w:val="24"/>
          <w:szCs w:val="24"/>
        </w:rPr>
        <w:fldChar w:fldCharType="begin"/>
      </w:r>
      <w:r w:rsidR="00800367" w:rsidRPr="00B13CBE">
        <w:rPr>
          <w:rFonts w:ascii="Arial" w:hAnsi="Arial" w:cs="Arial"/>
          <w:color w:val="000000" w:themeColor="text1"/>
          <w:sz w:val="24"/>
          <w:szCs w:val="24"/>
        </w:rPr>
        <w:instrText xml:space="preserve"> ADDIN ZOTERO_ITEM CSL_CITATION {"citationID":"tyQCjtK7","properties":{"formattedCitation":"(Balasubramanyan, 2004)","plainCitation":"(Balasubramanyan, 2004)","noteIndex":0},"citationItems":[{"id":108,"uris":["http://zotero.org/users/local/XXne8Mwc/items/ESDFTYJJ"],"uri":["http://zotero.org/users/local/XXne8Mwc/items/ESDFTYJJ"],"itemData":{"id":108,"type":"article-journal","abstract":"Financial markets and their respective assets are so intertwined; analyzing any single market in isolation ignores important information. We investigate whether time varying volatility comovement and spillover impact the true variance-covariance matrix under a time-varying correlation set up. Statistically significant volatility spillover and comovement between US, UK and Japan is found. To demonstrate the importance of modelling volatility comovement and spillover, we look at a simple portfolio optimization application. A utility based comparison is used to evaluate the economic performance of the portfolio which considers time varying correlation with volatility comovement and spillover. This paper shows that a portfolio strategy incorporating time-varying correlation with asymmetric volatility comovement and spillover outperforms the constant correlation model without comovement and spillover by yielding the highest level of wealth and utility difference of up to 250 basis points.","language":"en","source":"Zotero","title":"Do Time-Varying Covariances, Volatility Comovement and Spillover Matter?","author":[{"family":"Balasubramanyan","given":"Lakshmi"}],"issued":{"date-parts":[["2004"]]}}}],"schema":"https://github.com/citation-style-language/schema/raw/master/csl-citation.json"} </w:instrText>
      </w:r>
      <w:r w:rsidR="00800367" w:rsidRPr="00B13CBE">
        <w:rPr>
          <w:rFonts w:ascii="Arial" w:hAnsi="Arial" w:cs="Arial"/>
          <w:color w:val="000000" w:themeColor="text1"/>
          <w:sz w:val="24"/>
          <w:szCs w:val="24"/>
        </w:rPr>
        <w:fldChar w:fldCharType="separate"/>
      </w:r>
      <w:r w:rsidR="00800367" w:rsidRPr="00B13CBE">
        <w:rPr>
          <w:rFonts w:ascii="Arial" w:hAnsi="Arial" w:cs="Arial"/>
          <w:color w:val="000000" w:themeColor="text1"/>
          <w:sz w:val="24"/>
          <w:szCs w:val="24"/>
        </w:rPr>
        <w:t>(Balasubramanyan, 2004)</w:t>
      </w:r>
      <w:r w:rsidR="00800367" w:rsidRPr="00B13CBE">
        <w:rPr>
          <w:rFonts w:ascii="Arial" w:hAnsi="Arial" w:cs="Arial"/>
          <w:color w:val="000000" w:themeColor="text1"/>
          <w:sz w:val="24"/>
          <w:szCs w:val="24"/>
        </w:rPr>
        <w:fldChar w:fldCharType="end"/>
      </w:r>
      <w:r w:rsidR="00800367" w:rsidRPr="00B13CBE">
        <w:rPr>
          <w:rFonts w:ascii="Arial" w:hAnsi="Arial" w:cs="Arial"/>
          <w:color w:val="000000" w:themeColor="text1"/>
          <w:sz w:val="24"/>
          <w:szCs w:val="24"/>
        </w:rPr>
        <w:t xml:space="preserve">. </w:t>
      </w:r>
    </w:p>
    <w:p w14:paraId="5E94A932" w14:textId="77777777" w:rsidR="00204C6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 problems associated with an </w:t>
      </w:r>
      <w:r w:rsidR="0015169E" w:rsidRPr="00B13CBE">
        <w:rPr>
          <w:rFonts w:ascii="Arial" w:hAnsi="Arial" w:cs="Arial"/>
          <w:color w:val="000000" w:themeColor="text1"/>
          <w:sz w:val="24"/>
          <w:szCs w:val="24"/>
        </w:rPr>
        <w:t>increase in</w:t>
      </w:r>
      <w:r w:rsidRPr="00B13CBE">
        <w:rPr>
          <w:rFonts w:ascii="Arial" w:hAnsi="Arial" w:cs="Arial"/>
          <w:color w:val="000000" w:themeColor="text1"/>
          <w:sz w:val="24"/>
          <w:szCs w:val="24"/>
        </w:rPr>
        <w:t xml:space="preserve"> correlation</w:t>
      </w:r>
      <w:r w:rsidR="0015169E" w:rsidRPr="00B13CBE">
        <w:rPr>
          <w:rFonts w:ascii="Arial" w:hAnsi="Arial" w:cs="Arial"/>
          <w:color w:val="000000" w:themeColor="text1"/>
          <w:sz w:val="24"/>
          <w:szCs w:val="24"/>
        </w:rPr>
        <w:t xml:space="preserve"> among international markets</w:t>
      </w:r>
      <w:r w:rsidRPr="00B13CBE">
        <w:rPr>
          <w:rFonts w:ascii="Arial" w:hAnsi="Arial" w:cs="Arial"/>
          <w:color w:val="000000" w:themeColor="text1"/>
          <w:sz w:val="24"/>
          <w:szCs w:val="24"/>
        </w:rPr>
        <w:t xml:space="preserve"> are summarized by </w:t>
      </w:r>
      <w:r w:rsidRPr="00B13CBE">
        <w:rPr>
          <w:rFonts w:ascii="Arial" w:hAnsi="Arial" w:cs="Arial"/>
          <w:color w:val="000000" w:themeColor="text1"/>
          <w:sz w:val="24"/>
          <w:szCs w:val="24"/>
        </w:rPr>
        <w:fldChar w:fldCharType="begin"/>
      </w:r>
      <w:r w:rsidR="00BB20D3" w:rsidRPr="00B13CBE">
        <w:rPr>
          <w:rFonts w:ascii="Arial" w:hAnsi="Arial" w:cs="Arial"/>
          <w:color w:val="000000" w:themeColor="text1"/>
          <w:sz w:val="24"/>
          <w:szCs w:val="24"/>
        </w:rPr>
        <w:instrText xml:space="preserve"> ADDIN ZOTERO_ITEM CSL_CITATION {"citationID":"YomqKJZf","properties":{"formattedCitation":"(Karolyi &amp; Stulz, 1996)","plainCitation":"(Karolyi &amp; Stulz, 1996)","dontUpdate":true,"noteIndex":0},"citationItems":[{"id":114,"uris":["http://zotero.org/users/local/XXne8Mwc/items/LPRIVNRZ"],"uri":["http://zotero.org/users/local/XXne8Mwc/items/LPRIVNRZ"],"itemData":{"id":114,"type":"article-journal","abstract":"This article explores the fundamental factors that affect cross-country stock return correlations. Using transactions data from 1988 to 1992, we construct overnight and intraday returns for a portfolio of Japanese stocks using their NYSE-traded American Depository Receipts (ADRs) and a matched-sample portfolio of U.S. stocks. We find that U.S. macroeconomic announcements, shocks to the Yen/Dollar foreign exchange rate and Treasury bill returns, and industry effects have no measurable influence on U.S. and Japanese return correlations. However, large shocks to broad-based market indices (Nikkei Stock Average and Standard and Poor's 500 Stock Index) positively impact both the magnitude and persistence of the return correlations.","container-title":"The Journal of Finance","DOI":"10.2307/2329228","ISSN":"0022-1082","issue":"3","note":"publisher: [American Finance Association, Wiley]","page":"951-986","source":"JSTOR","title":"Why Do Markets Move Together? An Investigation of U.S.-Japan Stock Return Comovements","title-short":"Why Do Markets Move Together?","volume":"51","author":[{"family":"Karolyi","given":"G. Andrew"},{"family":"Stulz","given":"René M."}],"issued":{"date-parts":[["1996"]]}}}],"schema":"https://github.com/citation-style-language/schema/raw/master/csl-citation.json"}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Karolyi </w:t>
      </w:r>
      <w:r w:rsidR="0015169E"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Stulz (1996)</w:t>
      </w:r>
      <w:r w:rsidRPr="00B13CBE">
        <w:rPr>
          <w:rFonts w:ascii="Arial" w:hAnsi="Arial" w:cs="Arial"/>
          <w:color w:val="000000" w:themeColor="text1"/>
          <w:sz w:val="24"/>
          <w:szCs w:val="24"/>
        </w:rPr>
        <w:fldChar w:fldCharType="end"/>
      </w:r>
      <w:r w:rsidR="005945C1" w:rsidRPr="00B13CBE">
        <w:rPr>
          <w:rFonts w:ascii="Arial" w:hAnsi="Arial" w:cs="Arial"/>
          <w:color w:val="000000" w:themeColor="text1"/>
          <w:sz w:val="24"/>
          <w:szCs w:val="24"/>
        </w:rPr>
        <w:t xml:space="preserve"> who</w:t>
      </w:r>
      <w:r w:rsidRPr="00B13CBE">
        <w:rPr>
          <w:rFonts w:ascii="Arial" w:hAnsi="Arial" w:cs="Arial"/>
          <w:color w:val="000000" w:themeColor="text1"/>
          <w:sz w:val="24"/>
          <w:szCs w:val="24"/>
        </w:rPr>
        <w:t xml:space="preserve"> argue that an increase in co-variances among equity markets lead</w:t>
      </w:r>
      <w:r w:rsidR="00FA7CE8"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to fewer domestic risks being diversifiable internationally, an increase in the risk premium on the world market, the cost of capital increasing for individual firms</w:t>
      </w:r>
      <w:r w:rsidR="0015169E"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and the increasing inadequacy of the domestic version of the Capital Asset Pricing Model (CAPM)</w:t>
      </w:r>
      <w:r w:rsidR="00F16C49" w:rsidRPr="00B13CBE">
        <w:rPr>
          <w:rFonts w:ascii="Arial" w:hAnsi="Arial" w:cs="Arial"/>
          <w:color w:val="000000" w:themeColor="text1"/>
          <w:sz w:val="24"/>
          <w:szCs w:val="24"/>
        </w:rPr>
        <w:t>, a theoretical model used to determine expected return of</w:t>
      </w:r>
      <w:r w:rsidR="00FA7CE8" w:rsidRPr="00B13CBE">
        <w:rPr>
          <w:rFonts w:ascii="Arial" w:hAnsi="Arial" w:cs="Arial"/>
          <w:color w:val="000000" w:themeColor="text1"/>
          <w:sz w:val="24"/>
          <w:szCs w:val="24"/>
        </w:rPr>
        <w:t xml:space="preserve"> an</w:t>
      </w:r>
      <w:r w:rsidR="00F16C49" w:rsidRPr="00B13CBE">
        <w:rPr>
          <w:rFonts w:ascii="Arial" w:hAnsi="Arial" w:cs="Arial"/>
          <w:color w:val="000000" w:themeColor="text1"/>
          <w:sz w:val="24"/>
          <w:szCs w:val="24"/>
        </w:rPr>
        <w:t xml:space="preserve"> asset</w:t>
      </w:r>
      <w:r w:rsidRPr="00B13CBE">
        <w:rPr>
          <w:rFonts w:ascii="Arial" w:hAnsi="Arial" w:cs="Arial"/>
          <w:color w:val="000000" w:themeColor="text1"/>
          <w:sz w:val="24"/>
          <w:szCs w:val="24"/>
        </w:rPr>
        <w:t>.</w:t>
      </w:r>
      <w:r w:rsidR="00800367" w:rsidRPr="00B13CBE">
        <w:rPr>
          <w:rFonts w:ascii="Arial" w:hAnsi="Arial" w:cs="Arial"/>
          <w:color w:val="000000" w:themeColor="text1"/>
          <w:sz w:val="24"/>
          <w:szCs w:val="24"/>
        </w:rPr>
        <w:t xml:space="preserve"> CAPM is used in asset valuation and investment decision-making </w:t>
      </w:r>
      <w:r w:rsidR="00800367" w:rsidRPr="00B13CBE">
        <w:rPr>
          <w:rFonts w:ascii="Arial" w:hAnsi="Arial" w:cs="Arial"/>
          <w:color w:val="000000" w:themeColor="text1"/>
          <w:sz w:val="24"/>
          <w:szCs w:val="24"/>
        </w:rPr>
        <w:fldChar w:fldCharType="begin"/>
      </w:r>
      <w:r w:rsidR="00800367" w:rsidRPr="00B13CBE">
        <w:rPr>
          <w:rFonts w:ascii="Arial" w:hAnsi="Arial" w:cs="Arial"/>
          <w:color w:val="000000" w:themeColor="text1"/>
          <w:sz w:val="24"/>
          <w:szCs w:val="24"/>
        </w:rPr>
        <w:instrText xml:space="preserve"> ADDIN ZOTERO_ITEM CSL_CITATION {"citationID":"17KWUqdG","properties":{"formattedCitation":"(Stewart, Piros and Heisler, 2019)","plainCitation":"(Stewart, Piros and Heisler, 2019)","noteIndex":0},"citationItems":[{"id":820,"uris":["http://zotero.org/users/local/XXne8Mwc/items/TIP4BY2U"],"uri":["http://zotero.org/users/local/XXne8Mwc/items/TIP4BY2U"],"itemData":{"id":820,"type":"webpage","title":"Portfolio Management: Theory and Practice","URL":"https://books.google.co.ke/books?hl=en&amp;lr=&amp;id=4PyGDwAAQBAJ&amp;oi=fnd&amp;pg=PR9&amp;dq=portfolio+management+theory+and+practice&amp;ots=p7_9NlX0T5&amp;sig=5P4DcWlMSRrRF4Okl_16BZn-RfA&amp;redir_esc=y#v=onepage&amp;q=portfolio%20management%20theory%20and%20practice&amp;f=false","author":[{"family":"Stewart","given":"Scott D."},{"family":"Piros","given":"Christopher D."},{"family":"Heisler","given":"Jeffrey C."}],"accessed":{"date-parts":[["2021",8,29]]},"issued":{"date-parts":[["2019"]]}}}],"schema":"https://github.com/citation-style-language/schema/raw/master/csl-citation.json"} </w:instrText>
      </w:r>
      <w:r w:rsidR="00800367" w:rsidRPr="00B13CBE">
        <w:rPr>
          <w:rFonts w:ascii="Arial" w:hAnsi="Arial" w:cs="Arial"/>
          <w:color w:val="000000" w:themeColor="text1"/>
          <w:sz w:val="24"/>
          <w:szCs w:val="24"/>
        </w:rPr>
        <w:fldChar w:fldCharType="separate"/>
      </w:r>
      <w:r w:rsidR="00800367" w:rsidRPr="00B13CBE">
        <w:rPr>
          <w:rFonts w:ascii="Arial" w:hAnsi="Arial" w:cs="Arial"/>
          <w:color w:val="000000" w:themeColor="text1"/>
          <w:sz w:val="24"/>
          <w:szCs w:val="24"/>
        </w:rPr>
        <w:t>(Stewart, Piros, and Heisler, 2019)</w:t>
      </w:r>
      <w:r w:rsidR="00800367" w:rsidRPr="00B13CBE">
        <w:rPr>
          <w:rFonts w:ascii="Arial" w:hAnsi="Arial" w:cs="Arial"/>
          <w:color w:val="000000" w:themeColor="text1"/>
          <w:sz w:val="24"/>
          <w:szCs w:val="24"/>
        </w:rPr>
        <w:fldChar w:fldCharType="end"/>
      </w:r>
      <w:r w:rsidR="00800367"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 xml:space="preserve">When only a few risks can be diversified internationally, </w:t>
      </w:r>
      <w:r w:rsidR="00E81697" w:rsidRPr="00B13CBE">
        <w:rPr>
          <w:rFonts w:ascii="Arial" w:hAnsi="Arial" w:cs="Arial"/>
          <w:color w:val="000000" w:themeColor="text1"/>
          <w:sz w:val="24"/>
          <w:szCs w:val="24"/>
        </w:rPr>
        <w:t>i</w:t>
      </w:r>
      <w:r w:rsidR="00960BAA" w:rsidRPr="00B13CBE">
        <w:rPr>
          <w:rFonts w:ascii="Arial" w:hAnsi="Arial" w:cs="Arial"/>
          <w:color w:val="000000" w:themeColor="text1"/>
          <w:sz w:val="24"/>
          <w:szCs w:val="24"/>
        </w:rPr>
        <w:t xml:space="preserve">nvestors may have limited options </w:t>
      </w:r>
      <w:r w:rsidR="00E81697" w:rsidRPr="00B13CBE">
        <w:rPr>
          <w:rFonts w:ascii="Arial" w:hAnsi="Arial" w:cs="Arial"/>
          <w:color w:val="000000" w:themeColor="text1"/>
          <w:sz w:val="24"/>
          <w:szCs w:val="24"/>
        </w:rPr>
        <w:t>to</w:t>
      </w:r>
      <w:r w:rsidR="00960BAA" w:rsidRPr="00B13CBE">
        <w:rPr>
          <w:rFonts w:ascii="Arial" w:hAnsi="Arial" w:cs="Arial"/>
          <w:color w:val="000000" w:themeColor="text1"/>
          <w:sz w:val="24"/>
          <w:szCs w:val="24"/>
        </w:rPr>
        <w:t xml:space="preserve"> hedg</w:t>
      </w:r>
      <w:r w:rsidR="00F16C49" w:rsidRPr="00B13CBE">
        <w:rPr>
          <w:rFonts w:ascii="Arial" w:hAnsi="Arial" w:cs="Arial"/>
          <w:color w:val="000000" w:themeColor="text1"/>
          <w:sz w:val="24"/>
          <w:szCs w:val="24"/>
        </w:rPr>
        <w:t>e</w:t>
      </w:r>
      <w:r w:rsidR="00960BAA" w:rsidRPr="00B13CBE">
        <w:rPr>
          <w:rFonts w:ascii="Arial" w:hAnsi="Arial" w:cs="Arial"/>
          <w:color w:val="000000" w:themeColor="text1"/>
          <w:sz w:val="24"/>
          <w:szCs w:val="24"/>
        </w:rPr>
        <w:t xml:space="preserve"> market risk leading to poor returns.</w:t>
      </w:r>
      <w:r w:rsidR="00F16C49" w:rsidRPr="00B13CBE">
        <w:rPr>
          <w:rFonts w:ascii="Arial" w:hAnsi="Arial" w:cs="Arial"/>
          <w:color w:val="000000" w:themeColor="text1"/>
          <w:sz w:val="24"/>
          <w:szCs w:val="24"/>
        </w:rPr>
        <w:t xml:space="preserve"> The risk premium, defined by </w:t>
      </w:r>
      <w:r w:rsidR="0015169E" w:rsidRPr="00B13CBE">
        <w:rPr>
          <w:rFonts w:ascii="Arial" w:hAnsi="Arial" w:cs="Arial"/>
          <w:color w:val="000000" w:themeColor="text1"/>
          <w:sz w:val="24"/>
          <w:szCs w:val="24"/>
        </w:rPr>
        <w:t xml:space="preserve"> </w:t>
      </w:r>
      <w:r w:rsidR="0015169E"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{"citationID":"czjc9Kcp","properties":{"formattedCitation":"(Alexander, 2008)","plainCitation":"(Alexander, 2008)","dontUpdate":true,"noteIndex":0},"citationItems":[{"id":109,"uris":["http://zotero.org/users/local/XXne8Mwc/items/NTHXETVI"],"uri":["http://zotero.org/users/local/XXne8Mwc/items/NTHXETVI"],"itemData":{"id":109,"type":"book","abstract":"Written by leading market risk academic, Professor Carol Alexander, Practical Financial Econometrics forms part two of the Market Risk Analysis four volume set. It introduces the econometric techniques that are commonly applied to finance with a critical and selective exposition, emphasising the areas of econometrics, such as GARCH, cointegration and copulas that are required for resolving problems in market risk analysis. The book covers material for a one-semester graduate course in applied financial econometrics in a very pedagogical fashion as each time a concept is introduced an empirical example is given, and whenever possible this is illustrated with an Excel spreadsheet. All together, the Market Risk Analysis four volume set illustrates virtually every concept or formula with a practical, numerical example or a longer, empirical case study. Across all four volumes there are approximately 300 numerical and empirical examples, 400 graphs and figures and 30 case studies many of which are contained in interactive Excel spreadsheets available from the the accompanying CD-ROM . Empirical examples and case studies specific to this volume include:   Factor analysis with orthogonal regressions and using principal component factors;   Estimation of symmetric and asymmetric, normal and Student t GARCH and E-GARCH parameters;   Normal, Student t, Gumbel, Clayton, normal mixture copula densities, and simulations from these copulas with application to VaR and portfolio optimization;   Principal component analysis of yield curves with applications to portfolio immunization and asset/liability management;   Simulation of normal mixture and Markov switching GARCH returns;   Cointegration based index tracking and pairs trading, with error correction and impulse response modelling;   Markov switching regression models (Eviews code);   GARCH term structure forecasting with volatility targeting;   Non-linear quantile regressions with applications to hedging.","ISBN":"978-0-470-77103-7","language":"en","note":"Google-Books-ID: D8WXrqfFWt4C","number-of-pages":"431","publisher":"John Wiley &amp; Sons","source":"Google Books","title":"Market Risk Analysis, Practical Financial Econometrics","author":[{"family":"Alexander","given":"Carol"}],"issued":{"date-parts":[["2008",4,30]]}}}],"schema":"https://github.com/citation-style-language/schema/raw/master/csl-citation.json"} </w:instrText>
      </w:r>
      <w:r w:rsidR="0015169E" w:rsidRPr="00B13CBE">
        <w:rPr>
          <w:rFonts w:ascii="Arial" w:hAnsi="Arial" w:cs="Arial"/>
          <w:color w:val="000000" w:themeColor="text1"/>
          <w:sz w:val="24"/>
          <w:szCs w:val="24"/>
        </w:rPr>
        <w:fldChar w:fldCharType="separate"/>
      </w:r>
      <w:r w:rsidR="0015169E" w:rsidRPr="00B13CBE">
        <w:rPr>
          <w:rFonts w:ascii="Arial" w:hAnsi="Arial" w:cs="Arial"/>
          <w:color w:val="000000" w:themeColor="text1"/>
          <w:sz w:val="24"/>
          <w:szCs w:val="24"/>
        </w:rPr>
        <w:t>Alexander (2008)</w:t>
      </w:r>
      <w:r w:rsidR="0015169E" w:rsidRPr="00B13CBE">
        <w:rPr>
          <w:rFonts w:ascii="Arial" w:hAnsi="Arial" w:cs="Arial"/>
          <w:color w:val="000000" w:themeColor="text1"/>
          <w:sz w:val="24"/>
          <w:szCs w:val="24"/>
        </w:rPr>
        <w:fldChar w:fldCharType="end"/>
      </w:r>
      <w:r w:rsidR="00960BAA" w:rsidRPr="00B13CBE">
        <w:rPr>
          <w:rFonts w:ascii="Arial" w:hAnsi="Arial" w:cs="Arial"/>
          <w:color w:val="000000" w:themeColor="text1"/>
          <w:sz w:val="24"/>
          <w:szCs w:val="24"/>
        </w:rPr>
        <w:t xml:space="preserve"> as the </w:t>
      </w:r>
      <w:r w:rsidR="0045661D" w:rsidRPr="00B13CBE">
        <w:rPr>
          <w:rFonts w:ascii="Arial" w:hAnsi="Arial" w:cs="Arial"/>
          <w:color w:val="000000" w:themeColor="text1"/>
          <w:sz w:val="24"/>
          <w:szCs w:val="24"/>
        </w:rPr>
        <w:t xml:space="preserve">excess return of the </w:t>
      </w:r>
      <w:r w:rsidR="00960BAA" w:rsidRPr="00B13CBE">
        <w:rPr>
          <w:rFonts w:ascii="Arial" w:hAnsi="Arial" w:cs="Arial"/>
          <w:color w:val="000000" w:themeColor="text1"/>
          <w:sz w:val="24"/>
          <w:szCs w:val="24"/>
        </w:rPr>
        <w:t xml:space="preserve">market </w:t>
      </w:r>
      <w:r w:rsidR="0045661D" w:rsidRPr="00B13CBE">
        <w:rPr>
          <w:rFonts w:ascii="Arial" w:hAnsi="Arial" w:cs="Arial"/>
          <w:color w:val="000000" w:themeColor="text1"/>
          <w:sz w:val="24"/>
          <w:szCs w:val="24"/>
        </w:rPr>
        <w:t xml:space="preserve">over </w:t>
      </w:r>
      <w:r w:rsidR="00960BAA" w:rsidRPr="00B13CBE">
        <w:rPr>
          <w:rFonts w:ascii="Arial" w:hAnsi="Arial" w:cs="Arial"/>
          <w:color w:val="000000" w:themeColor="text1"/>
          <w:sz w:val="24"/>
          <w:szCs w:val="24"/>
        </w:rPr>
        <w:t>the risk-free return</w:t>
      </w:r>
      <w:r w:rsidR="0045661D"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is the return that investors require to undertake an investment. If it is high, then firms seeking investors will have a high cost of capital since they need to offer returns higher than the risk premium</w:t>
      </w:r>
      <w:r w:rsidR="000E3A44"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 xml:space="preserve">to entice investors. This could </w:t>
      </w:r>
      <w:r w:rsidR="00E81697" w:rsidRPr="00B13CBE">
        <w:rPr>
          <w:rFonts w:ascii="Arial" w:hAnsi="Arial" w:cs="Arial"/>
          <w:color w:val="000000" w:themeColor="text1"/>
          <w:sz w:val="24"/>
          <w:szCs w:val="24"/>
        </w:rPr>
        <w:t xml:space="preserve">limit the </w:t>
      </w:r>
      <w:r w:rsidR="00960BAA" w:rsidRPr="00B13CBE">
        <w:rPr>
          <w:rFonts w:ascii="Arial" w:hAnsi="Arial" w:cs="Arial"/>
          <w:color w:val="000000" w:themeColor="text1"/>
          <w:sz w:val="24"/>
          <w:szCs w:val="24"/>
        </w:rPr>
        <w:t>capacity to borrow by firms</w:t>
      </w:r>
      <w:r w:rsidR="000E3A44"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which</w:t>
      </w:r>
      <w:r w:rsidR="00031656" w:rsidRPr="00B13CBE">
        <w:rPr>
          <w:rFonts w:ascii="Arial" w:hAnsi="Arial" w:cs="Arial"/>
          <w:color w:val="000000" w:themeColor="text1"/>
          <w:sz w:val="24"/>
          <w:szCs w:val="24"/>
        </w:rPr>
        <w:t xml:space="preserve"> may </w:t>
      </w:r>
      <w:r w:rsidR="00960BAA" w:rsidRPr="00B13CBE">
        <w:rPr>
          <w:rFonts w:ascii="Arial" w:hAnsi="Arial" w:cs="Arial"/>
          <w:color w:val="000000" w:themeColor="text1"/>
          <w:sz w:val="24"/>
          <w:szCs w:val="24"/>
        </w:rPr>
        <w:t>decrease productivity.</w:t>
      </w:r>
      <w:r w:rsidR="00490800"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 xml:space="preserve">An inadequate domestic CAPM </w:t>
      </w:r>
      <w:r w:rsidR="00960BAA" w:rsidRPr="00B13CBE">
        <w:rPr>
          <w:rFonts w:ascii="Arial" w:hAnsi="Arial" w:cs="Arial"/>
          <w:color w:val="000000" w:themeColor="text1"/>
          <w:sz w:val="24"/>
          <w:szCs w:val="24"/>
        </w:rPr>
        <w:lastRenderedPageBreak/>
        <w:t>would lead to poor estimates of both systematic and non-diversifiable risks.</w:t>
      </w:r>
      <w:r w:rsidR="0045661D" w:rsidRPr="00B13CBE">
        <w:rPr>
          <w:rFonts w:ascii="Arial" w:hAnsi="Arial" w:cs="Arial"/>
          <w:color w:val="000000" w:themeColor="text1"/>
          <w:sz w:val="24"/>
          <w:szCs w:val="24"/>
        </w:rPr>
        <w:t xml:space="preserve"> The risk premium would also be estimated poorly.</w:t>
      </w:r>
      <w:r w:rsidR="00960BAA" w:rsidRPr="00B13CBE">
        <w:rPr>
          <w:rFonts w:ascii="Arial" w:hAnsi="Arial" w:cs="Arial"/>
          <w:color w:val="000000" w:themeColor="text1"/>
          <w:sz w:val="24"/>
          <w:szCs w:val="24"/>
        </w:rPr>
        <w:t xml:space="preserve"> </w:t>
      </w:r>
      <w:r w:rsidR="0045661D" w:rsidRPr="00B13CBE">
        <w:rPr>
          <w:rFonts w:ascii="Arial" w:hAnsi="Arial" w:cs="Arial"/>
          <w:color w:val="000000" w:themeColor="text1"/>
          <w:sz w:val="24"/>
          <w:szCs w:val="24"/>
        </w:rPr>
        <w:t>Therefore, d</w:t>
      </w:r>
      <w:r w:rsidR="00960BAA" w:rsidRPr="00B13CBE">
        <w:rPr>
          <w:rFonts w:ascii="Arial" w:hAnsi="Arial" w:cs="Arial"/>
          <w:color w:val="000000" w:themeColor="text1"/>
          <w:sz w:val="24"/>
          <w:szCs w:val="24"/>
        </w:rPr>
        <w:t>ue to the</w:t>
      </w:r>
      <w:r w:rsidR="00523E79" w:rsidRPr="00B13CBE">
        <w:rPr>
          <w:rFonts w:ascii="Arial" w:hAnsi="Arial" w:cs="Arial"/>
          <w:color w:val="000000" w:themeColor="text1"/>
          <w:sz w:val="24"/>
          <w:szCs w:val="24"/>
        </w:rPr>
        <w:t xml:space="preserve"> adverse effects of an increase in cross-country</w:t>
      </w:r>
      <w:r w:rsidR="000E3A44" w:rsidRPr="00B13CBE">
        <w:rPr>
          <w:rFonts w:ascii="Arial" w:hAnsi="Arial" w:cs="Arial"/>
          <w:color w:val="000000" w:themeColor="text1"/>
          <w:sz w:val="24"/>
          <w:szCs w:val="24"/>
        </w:rPr>
        <w:t xml:space="preserve"> capital</w:t>
      </w:r>
      <w:r w:rsidR="00523E79" w:rsidRPr="00B13CBE">
        <w:rPr>
          <w:rFonts w:ascii="Arial" w:hAnsi="Arial" w:cs="Arial"/>
          <w:color w:val="000000" w:themeColor="text1"/>
          <w:sz w:val="24"/>
          <w:szCs w:val="24"/>
        </w:rPr>
        <w:t xml:space="preserve"> market correlations</w:t>
      </w:r>
      <w:r w:rsidR="00960BAA" w:rsidRPr="00B13CBE">
        <w:rPr>
          <w:rFonts w:ascii="Arial" w:hAnsi="Arial" w:cs="Arial"/>
          <w:color w:val="000000" w:themeColor="text1"/>
          <w:sz w:val="24"/>
          <w:szCs w:val="24"/>
        </w:rPr>
        <w:t>,</w:t>
      </w:r>
      <w:r w:rsidR="00490800" w:rsidRPr="00B13CBE">
        <w:rPr>
          <w:rFonts w:ascii="Arial" w:hAnsi="Arial" w:cs="Arial"/>
          <w:color w:val="000000" w:themeColor="text1"/>
          <w:sz w:val="24"/>
          <w:szCs w:val="24"/>
        </w:rPr>
        <w:t xml:space="preserve"> </w:t>
      </w:r>
      <w:r w:rsidR="00960BAA" w:rsidRPr="00B13CBE">
        <w:rPr>
          <w:rFonts w:ascii="Arial" w:hAnsi="Arial" w:cs="Arial"/>
          <w:color w:val="000000" w:themeColor="text1"/>
          <w:sz w:val="24"/>
          <w:szCs w:val="24"/>
        </w:rPr>
        <w:t>it is in the interest of policymakers and investors to be able to accurately model correlation</w:t>
      </w:r>
      <w:r w:rsidR="000E3A44" w:rsidRPr="00B13CBE">
        <w:rPr>
          <w:rFonts w:ascii="Arial" w:hAnsi="Arial" w:cs="Arial"/>
          <w:color w:val="000000" w:themeColor="text1"/>
          <w:sz w:val="24"/>
          <w:szCs w:val="24"/>
        </w:rPr>
        <w:t>s</w:t>
      </w:r>
      <w:r w:rsidR="00960BAA" w:rsidRPr="00B13CBE">
        <w:rPr>
          <w:rFonts w:ascii="Arial" w:hAnsi="Arial" w:cs="Arial"/>
          <w:color w:val="000000" w:themeColor="text1"/>
          <w:sz w:val="24"/>
          <w:szCs w:val="24"/>
        </w:rPr>
        <w:t xml:space="preserve"> among international </w:t>
      </w:r>
      <w:r w:rsidR="000E3A44" w:rsidRPr="00B13CBE">
        <w:rPr>
          <w:rFonts w:ascii="Arial" w:hAnsi="Arial" w:cs="Arial"/>
          <w:color w:val="000000" w:themeColor="text1"/>
          <w:sz w:val="24"/>
          <w:szCs w:val="24"/>
        </w:rPr>
        <w:t>capital</w:t>
      </w:r>
      <w:r w:rsidR="00960BAA" w:rsidRPr="00B13CBE">
        <w:rPr>
          <w:rFonts w:ascii="Arial" w:hAnsi="Arial" w:cs="Arial"/>
          <w:color w:val="000000" w:themeColor="text1"/>
          <w:sz w:val="24"/>
          <w:szCs w:val="24"/>
        </w:rPr>
        <w:t xml:space="preserve"> markets. </w:t>
      </w:r>
    </w:p>
    <w:p w14:paraId="082BBFA1" w14:textId="77777777" w:rsidR="00DE1B3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Variation of a</w:t>
      </w:r>
      <w:r w:rsidR="00465C30" w:rsidRPr="00B13CBE">
        <w:rPr>
          <w:rFonts w:ascii="Arial" w:hAnsi="Arial" w:cs="Arial"/>
          <w:color w:val="000000" w:themeColor="text1"/>
          <w:sz w:val="24"/>
          <w:szCs w:val="24"/>
        </w:rPr>
        <w:t>sset</w:t>
      </w:r>
      <w:r w:rsidR="00C32DCA" w:rsidRPr="00B13CBE">
        <w:rPr>
          <w:rFonts w:ascii="Arial" w:hAnsi="Arial" w:cs="Arial"/>
          <w:color w:val="000000" w:themeColor="text1"/>
          <w:sz w:val="24"/>
          <w:szCs w:val="24"/>
        </w:rPr>
        <w:t xml:space="preserve"> returns </w:t>
      </w:r>
      <w:r w:rsidR="00E81697" w:rsidRPr="00B13CBE">
        <w:rPr>
          <w:rFonts w:ascii="Arial" w:hAnsi="Arial" w:cs="Arial"/>
          <w:color w:val="000000" w:themeColor="text1"/>
          <w:sz w:val="24"/>
          <w:szCs w:val="24"/>
        </w:rPr>
        <w:t>adhere</w:t>
      </w:r>
      <w:r w:rsidRPr="00B13CBE">
        <w:rPr>
          <w:rFonts w:ascii="Arial" w:hAnsi="Arial" w:cs="Arial"/>
          <w:color w:val="000000" w:themeColor="text1"/>
          <w:sz w:val="24"/>
          <w:szCs w:val="24"/>
        </w:rPr>
        <w:t>s</w:t>
      </w:r>
      <w:r w:rsidR="00E81697" w:rsidRPr="00B13CBE">
        <w:rPr>
          <w:rFonts w:ascii="Arial" w:hAnsi="Arial" w:cs="Arial"/>
          <w:color w:val="000000" w:themeColor="text1"/>
          <w:sz w:val="24"/>
          <w:szCs w:val="24"/>
        </w:rPr>
        <w:t xml:space="preserve"> to</w:t>
      </w:r>
      <w:r w:rsidR="00C32DCA" w:rsidRPr="00B13CBE">
        <w:rPr>
          <w:rFonts w:ascii="Arial" w:hAnsi="Arial" w:cs="Arial"/>
          <w:color w:val="000000" w:themeColor="text1"/>
          <w:sz w:val="24"/>
          <w:szCs w:val="24"/>
        </w:rPr>
        <w:t xml:space="preserve"> some stylized facts</w:t>
      </w:r>
      <w:r w:rsidR="00FA7CE8" w:rsidRPr="00B13CBE">
        <w:rPr>
          <w:rFonts w:ascii="Arial" w:hAnsi="Arial" w:cs="Arial"/>
          <w:color w:val="000000" w:themeColor="text1"/>
          <w:sz w:val="24"/>
          <w:szCs w:val="24"/>
        </w:rPr>
        <w:t xml:space="preserve"> that</w:t>
      </w:r>
      <w:r w:rsidR="00C32DCA" w:rsidRPr="00B13CBE">
        <w:rPr>
          <w:rFonts w:ascii="Arial" w:hAnsi="Arial" w:cs="Arial"/>
          <w:color w:val="000000" w:themeColor="text1"/>
          <w:sz w:val="24"/>
          <w:szCs w:val="24"/>
        </w:rPr>
        <w:t xml:space="preserve"> make </w:t>
      </w:r>
      <w:r w:rsidRPr="00B13CBE">
        <w:rPr>
          <w:rFonts w:ascii="Arial" w:hAnsi="Arial" w:cs="Arial"/>
          <w:color w:val="000000" w:themeColor="text1"/>
          <w:sz w:val="24"/>
          <w:szCs w:val="24"/>
        </w:rPr>
        <w:t xml:space="preserve">asset return </w:t>
      </w:r>
      <w:r w:rsidR="00C32DCA" w:rsidRPr="00B13CBE">
        <w:rPr>
          <w:rFonts w:ascii="Arial" w:hAnsi="Arial" w:cs="Arial"/>
          <w:color w:val="000000" w:themeColor="text1"/>
          <w:sz w:val="24"/>
          <w:szCs w:val="24"/>
        </w:rPr>
        <w:t>modeling</w:t>
      </w:r>
      <w:r w:rsidRPr="00B13CBE">
        <w:rPr>
          <w:rFonts w:ascii="Arial" w:hAnsi="Arial" w:cs="Arial"/>
          <w:color w:val="000000" w:themeColor="text1"/>
          <w:sz w:val="24"/>
          <w:szCs w:val="24"/>
        </w:rPr>
        <w:t xml:space="preserve"> </w:t>
      </w:r>
      <w:r w:rsidR="00C32DCA" w:rsidRPr="00B13CBE">
        <w:rPr>
          <w:rFonts w:ascii="Arial" w:hAnsi="Arial" w:cs="Arial"/>
          <w:color w:val="000000" w:themeColor="text1"/>
          <w:sz w:val="24"/>
          <w:szCs w:val="24"/>
        </w:rPr>
        <w:t>a complex task. Some of these stylized facts include the presence of 'fat tails', volatility clustering, and leverage effect</w:t>
      </w:r>
      <w:r w:rsidR="00FA7CE8" w:rsidRPr="00B13CBE">
        <w:rPr>
          <w:rFonts w:ascii="Arial" w:hAnsi="Arial" w:cs="Arial"/>
          <w:color w:val="000000" w:themeColor="text1"/>
          <w:sz w:val="24"/>
          <w:szCs w:val="24"/>
        </w:rPr>
        <w:t>s</w:t>
      </w:r>
      <w:r w:rsidR="0015169E" w:rsidRPr="00B13CBE">
        <w:rPr>
          <w:rFonts w:ascii="Arial" w:hAnsi="Arial" w:cs="Arial"/>
          <w:color w:val="000000" w:themeColor="text1"/>
          <w:sz w:val="24"/>
          <w:szCs w:val="24"/>
        </w:rPr>
        <w:t xml:space="preserve"> </w:t>
      </w:r>
      <w:r w:rsidR="0093276B" w:rsidRPr="00B13CBE">
        <w:rPr>
          <w:rFonts w:ascii="Arial" w:hAnsi="Arial" w:cs="Arial"/>
          <w:color w:val="000000" w:themeColor="text1"/>
          <w:sz w:val="24"/>
          <w:szCs w:val="24"/>
        </w:rPr>
        <w:fldChar w:fldCharType="begin"/>
      </w:r>
      <w:r w:rsidR="0093276B" w:rsidRPr="00B13CBE">
        <w:rPr>
          <w:rFonts w:ascii="Arial" w:hAnsi="Arial" w:cs="Arial"/>
          <w:color w:val="000000" w:themeColor="text1"/>
          <w:sz w:val="24"/>
          <w:szCs w:val="24"/>
        </w:rPr>
        <w:instrText xml:space="preserve"> ADDIN ZOTERO_ITEM CSL_CITATION {"citationID":"T1EUoFrI","properties":{"formattedCitation":"(Alexander, 2008)","plainCitation":"(Alexander, 2008)","noteIndex":0},"citationItems":[{"id":109,"uris":["http://zotero.org/users/local/XXne8Mwc/items/NTHXETVI"],"uri":["http://zotero.org/users/local/XXne8Mwc/items/NTHXETVI"],"itemData":{"id":109,"type":"book","abstract":"Written by leading market risk academic, Professor Carol Alexander, Practical Financial Econometrics forms part two of the Market Risk Analysis four volume set. It introduces the econometric techniques that are commonly applied to finance with a critical and selective exposition, emphasising the areas of econometrics, such as GARCH, cointegration and copulas that are required for resolving problems in market risk analysis. The book covers material for a one-semester graduate course in applied financial econometrics in a very pedagogical fashion as each time a concept is introduced an empirical example is given, and whenever possible this is illustrated with an Excel spreadsheet. All together, the Market Risk Analysis four volume set illustrates virtually every concept or formula with a practical, numerical example or a longer, empirical case study. Across all four volumes there are approximately 300 numerical and empirical examples, 400 graphs and figures and 30 case studies many of which are contained in interactive Excel spreadsheets available from the the accompanying CD-ROM . Empirical examples and case studies specific to this volume include:   Factor analysis with orthogonal regressions and using principal component factors;   Estimation of symmetric and asymmetric, normal and Student t GARCH and E-GARCH parameters;   Normal, Student t, Gumbel, Clayton, normal mixture copula densities, and simulations from these copulas with application to VaR and portfolio optimization;   Principal component analysis of yield curves with applications to portfolio immunization and asset/liability management;   Simulation of normal mixture and Markov switching GARCH returns;   Cointegration based index tracking and pairs trading, with error correction and impulse response modelling;   Markov switching regression models (Eviews code);   GARCH term structure forecasting with volatility targeting;   Non-linear quantile regressions with applications to hedging.","ISBN":"978-0-470-77103-7","language":"en","note":"Google-Books-ID: D8WXrqfFWt4C","number-of-pages":"431","publisher":"John Wiley &amp; Sons","source":"Google Books","title":"Market Risk Analysis, Practical Financial Econometrics","author":[{"family":"Alexander","given":"Carol"}],"issued":{"date-parts":[["2008",4,30]]}}}],"schema":"https://github.com/citation-style-language/schema/raw/master/csl-citation.json"} </w:instrText>
      </w:r>
      <w:r w:rsidR="0093276B"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(Alexander, 2008)</w:t>
      </w:r>
      <w:r w:rsidR="0093276B" w:rsidRPr="00B13CBE">
        <w:rPr>
          <w:rFonts w:ascii="Arial" w:hAnsi="Arial" w:cs="Arial"/>
          <w:color w:val="000000" w:themeColor="text1"/>
          <w:sz w:val="24"/>
          <w:szCs w:val="24"/>
        </w:rPr>
        <w:fldChar w:fldCharType="end"/>
      </w:r>
      <w:r w:rsidR="0093276B" w:rsidRPr="00B13CBE">
        <w:rPr>
          <w:rFonts w:ascii="Arial" w:hAnsi="Arial" w:cs="Arial"/>
          <w:color w:val="000000" w:themeColor="text1"/>
          <w:sz w:val="24"/>
          <w:szCs w:val="24"/>
        </w:rPr>
        <w:t>.</w:t>
      </w:r>
      <w:r w:rsidR="00C32DCA" w:rsidRPr="00B13CBE">
        <w:rPr>
          <w:rFonts w:ascii="Arial" w:hAnsi="Arial" w:cs="Arial"/>
          <w:color w:val="000000" w:themeColor="text1"/>
          <w:sz w:val="24"/>
          <w:szCs w:val="24"/>
        </w:rPr>
        <w:t xml:space="preserve"> ‘Fat tails’ is the colloquial term given to the tendency of financial returns to have </w:t>
      </w:r>
      <w:r w:rsidR="0093276B" w:rsidRPr="00B13CBE">
        <w:rPr>
          <w:rFonts w:ascii="Arial" w:hAnsi="Arial" w:cs="Arial"/>
          <w:color w:val="000000" w:themeColor="text1"/>
          <w:sz w:val="24"/>
          <w:szCs w:val="24"/>
        </w:rPr>
        <w:t>excess kurtosis</w:t>
      </w:r>
      <w:r w:rsidR="00E40E3D" w:rsidRPr="00B13CBE">
        <w:rPr>
          <w:rFonts w:ascii="Arial" w:hAnsi="Arial" w:cs="Arial"/>
          <w:color w:val="000000" w:themeColor="text1"/>
          <w:sz w:val="24"/>
          <w:szCs w:val="24"/>
        </w:rPr>
        <w:t xml:space="preserve"> </w:t>
      </w:r>
      <w:r w:rsidR="00E40E3D" w:rsidRPr="00B13CBE">
        <w:rPr>
          <w:rFonts w:ascii="Arial" w:hAnsi="Arial" w:cs="Arial"/>
          <w:color w:val="000000" w:themeColor="text1"/>
          <w:sz w:val="24"/>
          <w:szCs w:val="24"/>
        </w:rPr>
        <w:fldChar w:fldCharType="begin"/>
      </w:r>
      <w:r w:rsidR="00E40E3D" w:rsidRPr="00B13CBE">
        <w:rPr>
          <w:rFonts w:ascii="Arial" w:hAnsi="Arial" w:cs="Arial"/>
          <w:color w:val="000000" w:themeColor="text1"/>
          <w:sz w:val="24"/>
          <w:szCs w:val="24"/>
        </w:rPr>
        <w:instrText xml:space="preserve"> ADDIN ZOTERO_ITEM CSL_CITATION {"citationID":"JFQghbnn","properties":{"formattedCitation":"(Mandelbrot, 1963)","plainCitation":"(Mandelbrot, 1963)","noteIndex":0},"citationItems":[{"id":399,"uris":["http://zotero.org/users/local/XXne8Mwc/items/HZ34PTCH"],"uri":["http://zotero.org/users/local/XXne8Mwc/items/HZ34PTCH"],"itemData":{"id":399,"type":"chapter","abstract":"The classic model of the temporal variation of speculative prices (Bachelier 1900) assumes that successive changes of a price Z(t) are independent Gaussian random variables. But, even if Z(t) is replaced by log Z(t),this model is contradicted by facts in four ways, at least: (1) Large price changes are much more frequent than predicted by the Gaussian; this reflects the “excessively peaked” (“leptokurtic”) character of price relatives, which has been well-established since at least 1915. (2) Large practically instantaneous price changes occur often, contrary to prediction, and it seems that they must be explained by causal rather than stochastic models. (3) Successive price changes do not “look” independent, but rather exhibit a large number of recognizable patterns, which are, of course, the basis of the technical analysis of stocks. (4) Price records do not look stationary, and statistical expressions such as the sample variance take very different values at different times; this nonstationarity seems to put a precise statistical model of price change out of the question.","container-title":"Fractals and Scaling in Finance: Discontinuity, Concentration, Risk. Selecta Volume E","event-place":"New York, NY","ISBN":"978-1-4757-2763-0","language":"en","note":"DOI: 10.1007/978-1-4757-2763-0_14","page":"371-418","publisher":"Springer","publisher-place":"New York, NY","source":"Springer Link","title":"The variation of certain speculative prices","URL":"https://doi.org/10.1007/978-1-4757-2763-0_14","author":[{"family":"Mandelbrot","given":"Benoit B."}],"editor":[{"family":"Mandelbrot","given":"Benoit B."}],"accessed":{"date-parts":[["2021",7,29]]},"issued":{"date-parts":[["1963"]]}}}],"schema":"https://github.com/citation-style-language/schema/raw/master/csl-citation.json"} </w:instrText>
      </w:r>
      <w:r w:rsidR="00E40E3D" w:rsidRPr="00B13CBE">
        <w:rPr>
          <w:rFonts w:ascii="Arial" w:hAnsi="Arial" w:cs="Arial"/>
          <w:color w:val="000000" w:themeColor="text1"/>
          <w:sz w:val="24"/>
          <w:szCs w:val="24"/>
        </w:rPr>
        <w:fldChar w:fldCharType="separate"/>
      </w:r>
      <w:r w:rsidR="00E40E3D" w:rsidRPr="00B13CBE">
        <w:rPr>
          <w:rFonts w:ascii="Arial" w:hAnsi="Arial" w:cs="Arial"/>
          <w:color w:val="000000" w:themeColor="text1"/>
          <w:sz w:val="24"/>
          <w:szCs w:val="24"/>
        </w:rPr>
        <w:t>(Mandelbrot, 1963)</w:t>
      </w:r>
      <w:r w:rsidR="00E40E3D" w:rsidRPr="00B13CBE">
        <w:rPr>
          <w:rFonts w:ascii="Arial" w:hAnsi="Arial" w:cs="Arial"/>
          <w:color w:val="000000" w:themeColor="text1"/>
          <w:sz w:val="24"/>
          <w:szCs w:val="24"/>
        </w:rPr>
        <w:fldChar w:fldCharType="end"/>
      </w:r>
      <w:r w:rsidR="0093276B" w:rsidRPr="00B13CBE">
        <w:rPr>
          <w:rFonts w:ascii="Arial" w:hAnsi="Arial" w:cs="Arial"/>
          <w:color w:val="000000" w:themeColor="text1"/>
          <w:sz w:val="24"/>
          <w:szCs w:val="24"/>
        </w:rPr>
        <w:t>. This makes the use of spherical and elliptical distributions such as the normal distribution unsuitabl</w:t>
      </w:r>
      <w:r w:rsidR="0015169E" w:rsidRPr="00B13CBE">
        <w:rPr>
          <w:rFonts w:ascii="Arial" w:hAnsi="Arial" w:cs="Arial"/>
          <w:color w:val="000000" w:themeColor="text1"/>
          <w:sz w:val="24"/>
          <w:szCs w:val="24"/>
        </w:rPr>
        <w:t xml:space="preserve">e for asset return series. The non-normality of asset returns is </w:t>
      </w:r>
      <w:r w:rsidR="0093276B" w:rsidRPr="00B13CBE">
        <w:rPr>
          <w:rFonts w:ascii="Arial" w:hAnsi="Arial" w:cs="Arial"/>
          <w:color w:val="000000" w:themeColor="text1"/>
          <w:sz w:val="24"/>
          <w:szCs w:val="24"/>
        </w:rPr>
        <w:t>one of the reason</w:t>
      </w:r>
      <w:r w:rsidR="004F34D2" w:rsidRPr="00B13CBE">
        <w:rPr>
          <w:rFonts w:ascii="Arial" w:hAnsi="Arial" w:cs="Arial"/>
          <w:color w:val="000000" w:themeColor="text1"/>
          <w:sz w:val="24"/>
          <w:szCs w:val="24"/>
        </w:rPr>
        <w:t>s</w:t>
      </w:r>
      <w:r w:rsidR="0093276B" w:rsidRPr="00B13CBE">
        <w:rPr>
          <w:rFonts w:ascii="Arial" w:hAnsi="Arial" w:cs="Arial"/>
          <w:color w:val="000000" w:themeColor="text1"/>
          <w:sz w:val="24"/>
          <w:szCs w:val="24"/>
        </w:rPr>
        <w:t xml:space="preserve"> why linear correlation is a poor correlation model for financial returns</w:t>
      </w:r>
      <w:r w:rsidR="00E40E3D" w:rsidRPr="00B13CBE">
        <w:rPr>
          <w:rFonts w:ascii="Arial" w:hAnsi="Arial" w:cs="Arial"/>
          <w:color w:val="000000" w:themeColor="text1"/>
          <w:sz w:val="24"/>
          <w:szCs w:val="24"/>
        </w:rPr>
        <w:t xml:space="preserve"> </w:t>
      </w:r>
      <w:r w:rsidR="00E40E3D" w:rsidRPr="00B13CBE">
        <w:rPr>
          <w:rFonts w:ascii="Arial" w:hAnsi="Arial" w:cs="Arial"/>
          <w:color w:val="000000" w:themeColor="text1"/>
          <w:sz w:val="24"/>
          <w:szCs w:val="24"/>
        </w:rPr>
        <w:fldChar w:fldCharType="begin"/>
      </w:r>
      <w:r w:rsidR="00E40E3D" w:rsidRPr="00B13CBE">
        <w:rPr>
          <w:rFonts w:ascii="Arial" w:hAnsi="Arial" w:cs="Arial"/>
          <w:color w:val="000000" w:themeColor="text1"/>
          <w:sz w:val="24"/>
          <w:szCs w:val="24"/>
        </w:rPr>
        <w:instrText xml:space="preserve"> ADDIN ZOTERO_ITEM CSL_CITATION {"citationID":"04EV9BMt","properties":{"formattedCitation":"(Alexander, 2008)","plainCitation":"(Alexander, 2008)","noteIndex":0},"citationItems":[{"id":109,"uris":["http://zotero.org/users/local/XXne8Mwc/items/NTHXETVI"],"uri":["http://zotero.org/users/local/XXne8Mwc/items/NTHXETVI"],"itemData":{"id":109,"type":"book","abstract":"Written by leading market risk academic, Professor Carol Alexander, Practical Financial Econometrics forms part two of the Market Risk Analysis four volume set. It introduces the econometric techniques that are commonly applied to finance with a critical and selective exposition, emphasising the areas of econometrics, such as GARCH, cointegration and copulas that are required for resolving problems in market risk analysis. The book covers material for a one-semester graduate course in applied financial econometrics in a very pedagogical fashion as each time a concept is introduced an empirical example is given, and whenever possible this is illustrated with an Excel spreadsheet. All together, the Market Risk Analysis four volume set illustrates virtually every concept or formula with a practical, numerical example or a longer, empirical case study. Across all four volumes there are approximately 300 numerical and empirical examples, 400 graphs and figures and 30 case studies many of which are contained in interactive Excel spreadsheets available from the the accompanying CD-ROM . Empirical examples and case studies specific to this volume include:   Factor analysis with orthogonal regressions and using principal component factors;   Estimation of symmetric and asymmetric, normal and Student t GARCH and E-GARCH parameters;   Normal, Student t, Gumbel, Clayton, normal mixture copula densities, and simulations from these copulas with application to VaR and portfolio optimization;   Principal component analysis of yield curves with applications to portfolio immunization and asset/liability management;   Simulation of normal mixture and Markov switching GARCH returns;   Cointegration based index tracking and pairs trading, with error correction and impulse response modelling;   Markov switching regression models (Eviews code);   GARCH term structure forecasting with volatility targeting;   Non-linear quantile regressions with applications to hedging.","ISBN":"978-0-470-77103-7","language":"en","note":"Google-Books-ID: D8WXrqfFWt4C","number-of-pages":"431","publisher":"John Wiley &amp; Sons","source":"Google Books","title":"Market Risk Analysis, Practical Financial Econometrics","author":[{"family":"Alexander","given":"Carol"}],"issued":{"date-parts":[["2008",4,30]]}}}],"schema":"https://github.com/citation-style-language/schema/raw/master/csl-citation.json"} </w:instrText>
      </w:r>
      <w:r w:rsidR="00E40E3D" w:rsidRPr="00B13CBE">
        <w:rPr>
          <w:rFonts w:ascii="Arial" w:hAnsi="Arial" w:cs="Arial"/>
          <w:color w:val="000000" w:themeColor="text1"/>
          <w:sz w:val="24"/>
          <w:szCs w:val="24"/>
        </w:rPr>
        <w:fldChar w:fldCharType="separate"/>
      </w:r>
      <w:r w:rsidR="00E40E3D" w:rsidRPr="00B13CBE">
        <w:rPr>
          <w:rFonts w:ascii="Arial" w:hAnsi="Arial" w:cs="Arial"/>
          <w:color w:val="000000" w:themeColor="text1"/>
          <w:sz w:val="24"/>
          <w:szCs w:val="24"/>
        </w:rPr>
        <w:t>(Alexander, 2008)</w:t>
      </w:r>
      <w:r w:rsidR="00E40E3D" w:rsidRPr="00B13CBE">
        <w:rPr>
          <w:rFonts w:ascii="Arial" w:hAnsi="Arial" w:cs="Arial"/>
          <w:color w:val="000000" w:themeColor="text1"/>
          <w:sz w:val="24"/>
          <w:szCs w:val="24"/>
        </w:rPr>
        <w:fldChar w:fldCharType="end"/>
      </w:r>
      <w:r w:rsidR="00E40E3D" w:rsidRPr="00B13CBE">
        <w:rPr>
          <w:rFonts w:ascii="Arial" w:hAnsi="Arial" w:cs="Arial"/>
          <w:color w:val="000000" w:themeColor="text1"/>
          <w:sz w:val="24"/>
          <w:szCs w:val="24"/>
        </w:rPr>
        <w:t>.</w:t>
      </w:r>
      <w:r w:rsidR="0093276B" w:rsidRPr="00B13CBE">
        <w:rPr>
          <w:rFonts w:ascii="Arial" w:hAnsi="Arial" w:cs="Arial"/>
          <w:color w:val="000000" w:themeColor="text1"/>
          <w:sz w:val="24"/>
          <w:szCs w:val="24"/>
        </w:rPr>
        <w:t xml:space="preserve"> Volatility clustering refers to the tendency of financial asset returns to clump into periods of high volatility and also low volatility </w:t>
      </w:r>
      <w:r w:rsidR="00E40E3D" w:rsidRPr="00B13CBE">
        <w:rPr>
          <w:rFonts w:ascii="Arial" w:hAnsi="Arial" w:cs="Arial"/>
          <w:color w:val="000000" w:themeColor="text1"/>
          <w:sz w:val="24"/>
          <w:szCs w:val="24"/>
        </w:rPr>
        <w:fldChar w:fldCharType="begin"/>
      </w:r>
      <w:r w:rsidR="00E40E3D" w:rsidRPr="00B13CBE">
        <w:rPr>
          <w:rFonts w:ascii="Arial" w:hAnsi="Arial" w:cs="Arial"/>
          <w:color w:val="000000" w:themeColor="text1"/>
          <w:sz w:val="24"/>
          <w:szCs w:val="24"/>
        </w:rPr>
        <w:instrText xml:space="preserve"> ADDIN ZOTERO_ITEM CSL_CITATION {"citationID":"kAdzNHsd","properties":{"formattedCitation":"(Tsay, 2005)","plainCitation":"(Tsay, 2005)","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00E40E3D" w:rsidRPr="00B13CBE">
        <w:rPr>
          <w:rFonts w:ascii="Arial" w:hAnsi="Arial" w:cs="Arial"/>
          <w:color w:val="000000" w:themeColor="text1"/>
          <w:sz w:val="24"/>
          <w:szCs w:val="24"/>
        </w:rPr>
        <w:fldChar w:fldCharType="separate"/>
      </w:r>
      <w:r w:rsidR="00E40E3D" w:rsidRPr="00B13CBE">
        <w:rPr>
          <w:rFonts w:ascii="Arial" w:hAnsi="Arial" w:cs="Arial"/>
          <w:color w:val="000000" w:themeColor="text1"/>
          <w:sz w:val="24"/>
          <w:szCs w:val="24"/>
        </w:rPr>
        <w:t>(Tsay, 2005)</w:t>
      </w:r>
      <w:r w:rsidR="00E40E3D" w:rsidRPr="00B13CBE">
        <w:rPr>
          <w:rFonts w:ascii="Arial" w:hAnsi="Arial" w:cs="Arial"/>
          <w:color w:val="000000" w:themeColor="text1"/>
          <w:sz w:val="24"/>
          <w:szCs w:val="24"/>
        </w:rPr>
        <w:fldChar w:fldCharType="end"/>
      </w:r>
      <w:r w:rsidR="00E40E3D" w:rsidRPr="00B13CBE">
        <w:rPr>
          <w:rFonts w:ascii="Arial" w:hAnsi="Arial" w:cs="Arial"/>
          <w:color w:val="000000" w:themeColor="text1"/>
          <w:sz w:val="24"/>
          <w:szCs w:val="24"/>
        </w:rPr>
        <w:t xml:space="preserve">. </w:t>
      </w:r>
      <w:r w:rsidR="0093276B" w:rsidRPr="00B13CBE">
        <w:rPr>
          <w:rFonts w:ascii="Arial" w:hAnsi="Arial" w:cs="Arial"/>
          <w:color w:val="000000" w:themeColor="text1"/>
          <w:sz w:val="24"/>
          <w:szCs w:val="24"/>
        </w:rPr>
        <w:t>This phenomenon implies that volatility changes with time and was the main reason for the introduction of Generalized Autoregressive Conditional Heteroscedasticity (GARCH</w:t>
      </w:r>
      <w:r w:rsidR="0015169E" w:rsidRPr="00B13CBE">
        <w:rPr>
          <w:rFonts w:ascii="Arial" w:hAnsi="Arial" w:cs="Arial"/>
          <w:color w:val="000000" w:themeColor="text1"/>
          <w:sz w:val="24"/>
          <w:szCs w:val="24"/>
        </w:rPr>
        <w:t>)</w:t>
      </w:r>
      <w:r w:rsidR="0093276B" w:rsidRPr="00B13CBE">
        <w:rPr>
          <w:rFonts w:ascii="Arial" w:hAnsi="Arial" w:cs="Arial"/>
          <w:color w:val="000000" w:themeColor="text1"/>
          <w:sz w:val="24"/>
          <w:szCs w:val="24"/>
        </w:rPr>
        <w:t xml:space="preserve"> models</w:t>
      </w:r>
      <w:r w:rsidR="00F93E7F" w:rsidRPr="00B13CBE">
        <w:rPr>
          <w:rFonts w:ascii="Arial" w:hAnsi="Arial" w:cs="Arial"/>
          <w:color w:val="000000" w:themeColor="text1"/>
          <w:sz w:val="24"/>
          <w:szCs w:val="24"/>
        </w:rPr>
        <w:t xml:space="preserve"> by </w:t>
      </w:r>
      <w:r w:rsidR="00F93E7F" w:rsidRPr="00B13CBE">
        <w:rPr>
          <w:rFonts w:ascii="Arial" w:hAnsi="Arial" w:cs="Arial"/>
          <w:color w:val="000000" w:themeColor="text1"/>
          <w:sz w:val="24"/>
          <w:szCs w:val="24"/>
        </w:rPr>
        <w:fldChar w:fldCharType="begin"/>
      </w:r>
      <w:r w:rsidR="00BB20D3" w:rsidRPr="00B13CBE">
        <w:rPr>
          <w:rFonts w:ascii="Arial" w:hAnsi="Arial" w:cs="Arial"/>
          <w:color w:val="000000" w:themeColor="text1"/>
          <w:sz w:val="24"/>
          <w:szCs w:val="24"/>
        </w:rPr>
        <w:instrText xml:space="preserve"> ADDIN ZOTERO_ITEM CSL_CITATION {"citationID":"4mgnzTsj","properties":{"formattedCitation":"(Bollerslev, 1987)","plainCitation":"(Bollerslev, 1987)","dontUpdate":true,"noteIndex":0},"citationItems":[{"id":175,"uris":["http://zotero.org/users/local/XXne8Mwc/items/GETDBY7L"],"uri":["http://zotero.org/users/local/XXne8Mwc/items/GETDBY7L"],"itemData":{"id":175,"type":"article-journal","abstract":"The distribution of speculative price changes and rates of return data tend to be uncorrelated over time but characterized by volatile and tranquil periods. A simple time series model designed to capture this dependence is presented. The model is an extension of the Autoregressive Conditional Heteroskedastic (ARCH) and Generalized ARCH (GARCH) models obtained by allowing for conditionally t-distributed errors. The model can be derived as a simple subordinate stochastic process by including an additive unobservable error term in the conditional variance equation. The descriptive validity of the model is illustrated for a set of foreign exchange rates and stock price indices.","container-title":"The Review of Economics and Statistics","DOI":"10.2307/1925546","ISSN":"0034-6535","issue":"3","note":"publisher: The MIT Press","page":"542-547","source":"JSTOR","title":"A Conditionally Heteroskedastic Time Series Model for Speculative Prices and Rates of Return","volume":"69","author":[{"family":"Bollerslev","given":"Tim"}],"issued":{"date-parts":[["1987"]]}}}],"schema":"https://github.com/citation-style-language/schema/raw/master/csl-citation.json"} </w:instrText>
      </w:r>
      <w:r w:rsidR="00F93E7F" w:rsidRPr="00B13CBE">
        <w:rPr>
          <w:rFonts w:ascii="Arial" w:hAnsi="Arial" w:cs="Arial"/>
          <w:color w:val="000000" w:themeColor="text1"/>
          <w:sz w:val="24"/>
          <w:szCs w:val="24"/>
        </w:rPr>
        <w:fldChar w:fldCharType="separate"/>
      </w:r>
      <w:r w:rsidR="00F93E7F" w:rsidRPr="00B13CBE">
        <w:rPr>
          <w:rFonts w:ascii="Arial" w:hAnsi="Arial" w:cs="Arial"/>
          <w:color w:val="000000" w:themeColor="text1"/>
          <w:sz w:val="24"/>
          <w:szCs w:val="24"/>
        </w:rPr>
        <w:t>Bollerslev (1987)</w:t>
      </w:r>
      <w:r w:rsidR="00F93E7F" w:rsidRPr="00B13CBE">
        <w:rPr>
          <w:rFonts w:ascii="Arial" w:hAnsi="Arial" w:cs="Arial"/>
          <w:color w:val="000000" w:themeColor="text1"/>
          <w:sz w:val="24"/>
          <w:szCs w:val="24"/>
        </w:rPr>
        <w:fldChar w:fldCharType="end"/>
      </w:r>
      <w:r w:rsidR="0093276B" w:rsidRPr="00B13CBE">
        <w:rPr>
          <w:rFonts w:ascii="Arial" w:hAnsi="Arial" w:cs="Arial"/>
          <w:color w:val="000000" w:themeColor="text1"/>
          <w:sz w:val="24"/>
          <w:szCs w:val="24"/>
        </w:rPr>
        <w:t xml:space="preserve"> which is a family of econometric models </w:t>
      </w:r>
      <w:r w:rsidR="0015169E" w:rsidRPr="00B13CBE">
        <w:rPr>
          <w:rFonts w:ascii="Arial" w:hAnsi="Arial" w:cs="Arial"/>
          <w:color w:val="000000" w:themeColor="text1"/>
          <w:sz w:val="24"/>
          <w:szCs w:val="24"/>
        </w:rPr>
        <w:t>capable of</w:t>
      </w:r>
      <w:r w:rsidR="0093276B" w:rsidRPr="00B13CBE">
        <w:rPr>
          <w:rFonts w:ascii="Arial" w:hAnsi="Arial" w:cs="Arial"/>
          <w:color w:val="000000" w:themeColor="text1"/>
          <w:sz w:val="24"/>
          <w:szCs w:val="24"/>
        </w:rPr>
        <w:t xml:space="preserve"> captur</w:t>
      </w:r>
      <w:r w:rsidR="0015169E" w:rsidRPr="00B13CBE">
        <w:rPr>
          <w:rFonts w:ascii="Arial" w:hAnsi="Arial" w:cs="Arial"/>
          <w:color w:val="000000" w:themeColor="text1"/>
          <w:sz w:val="24"/>
          <w:szCs w:val="24"/>
        </w:rPr>
        <w:t>ing</w:t>
      </w:r>
      <w:r w:rsidR="0093276B" w:rsidRPr="00B13CBE">
        <w:rPr>
          <w:rFonts w:ascii="Arial" w:hAnsi="Arial" w:cs="Arial"/>
          <w:color w:val="000000" w:themeColor="text1"/>
          <w:sz w:val="24"/>
          <w:szCs w:val="24"/>
        </w:rPr>
        <w:t xml:space="preserve"> volatility clustering. The main weakness of the classic GARCH is that it assumes volatility is symmetric</w:t>
      </w:r>
      <w:r w:rsidR="00E40E3D" w:rsidRPr="00B13CBE">
        <w:rPr>
          <w:rFonts w:ascii="Arial" w:hAnsi="Arial" w:cs="Arial"/>
          <w:color w:val="000000" w:themeColor="text1"/>
          <w:sz w:val="24"/>
          <w:szCs w:val="24"/>
        </w:rPr>
        <w:t xml:space="preserve"> </w:t>
      </w:r>
      <w:r w:rsidR="00E40E3D" w:rsidRPr="00B13CBE">
        <w:rPr>
          <w:rFonts w:ascii="Arial" w:hAnsi="Arial" w:cs="Arial"/>
          <w:color w:val="000000" w:themeColor="text1"/>
          <w:sz w:val="24"/>
          <w:szCs w:val="24"/>
        </w:rPr>
        <w:fldChar w:fldCharType="begin"/>
      </w:r>
      <w:r w:rsidR="00E40E3D" w:rsidRPr="00B13CBE">
        <w:rPr>
          <w:rFonts w:ascii="Arial" w:hAnsi="Arial" w:cs="Arial"/>
          <w:color w:val="000000" w:themeColor="text1"/>
          <w:sz w:val="24"/>
          <w:szCs w:val="24"/>
        </w:rPr>
        <w:instrText xml:space="preserve"> ADDIN ZOTERO_ITEM CSL_CITATION {"citationID":"QNeq4THT","properties":{"formattedCitation":"(Tsay, 2005)","plainCitation":"(Tsay, 2005)","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00E40E3D" w:rsidRPr="00B13CBE">
        <w:rPr>
          <w:rFonts w:ascii="Arial" w:hAnsi="Arial" w:cs="Arial"/>
          <w:color w:val="000000" w:themeColor="text1"/>
          <w:sz w:val="24"/>
          <w:szCs w:val="24"/>
        </w:rPr>
        <w:fldChar w:fldCharType="separate"/>
      </w:r>
      <w:r w:rsidR="00E40E3D" w:rsidRPr="00B13CBE">
        <w:rPr>
          <w:rFonts w:ascii="Arial" w:hAnsi="Arial" w:cs="Arial"/>
          <w:color w:val="000000" w:themeColor="text1"/>
          <w:sz w:val="24"/>
          <w:szCs w:val="24"/>
        </w:rPr>
        <w:t>(Tsay, 2005)</w:t>
      </w:r>
      <w:r w:rsidR="00E40E3D" w:rsidRPr="00B13CBE">
        <w:rPr>
          <w:rFonts w:ascii="Arial" w:hAnsi="Arial" w:cs="Arial"/>
          <w:color w:val="000000" w:themeColor="text1"/>
          <w:sz w:val="24"/>
          <w:szCs w:val="24"/>
        </w:rPr>
        <w:fldChar w:fldCharType="end"/>
      </w:r>
      <w:r w:rsidR="0093276B" w:rsidRPr="00B13CBE">
        <w:rPr>
          <w:rFonts w:ascii="Arial" w:hAnsi="Arial" w:cs="Arial"/>
          <w:color w:val="000000" w:themeColor="text1"/>
          <w:sz w:val="24"/>
          <w:szCs w:val="24"/>
        </w:rPr>
        <w:t xml:space="preserve">. The leverage effect is a term given to the behavior </w:t>
      </w:r>
      <w:r w:rsidR="00E81697" w:rsidRPr="00B13CBE">
        <w:rPr>
          <w:rFonts w:ascii="Arial" w:hAnsi="Arial" w:cs="Arial"/>
          <w:color w:val="000000" w:themeColor="text1"/>
          <w:sz w:val="24"/>
          <w:szCs w:val="24"/>
        </w:rPr>
        <w:t>of</w:t>
      </w:r>
      <w:r w:rsidR="0093276B" w:rsidRPr="00B13CBE">
        <w:rPr>
          <w:rFonts w:ascii="Arial" w:hAnsi="Arial" w:cs="Arial"/>
          <w:color w:val="000000" w:themeColor="text1"/>
          <w:sz w:val="24"/>
          <w:szCs w:val="24"/>
        </w:rPr>
        <w:t xml:space="preserve"> financial returns where large negative shocks tend to be followed by large negative shocks more than large positive shocks tend to be followed by large positive shocks</w:t>
      </w:r>
      <w:r w:rsidR="0003779D" w:rsidRPr="00B13CBE">
        <w:rPr>
          <w:rFonts w:ascii="Arial" w:hAnsi="Arial" w:cs="Arial"/>
          <w:color w:val="000000" w:themeColor="text1"/>
          <w:sz w:val="24"/>
          <w:szCs w:val="24"/>
        </w:rPr>
        <w:t xml:space="preserve"> </w:t>
      </w:r>
      <w:r w:rsidR="0003779D" w:rsidRPr="00B13CBE">
        <w:rPr>
          <w:rFonts w:ascii="Arial" w:hAnsi="Arial" w:cs="Arial"/>
          <w:color w:val="000000" w:themeColor="text1"/>
          <w:sz w:val="24"/>
          <w:szCs w:val="24"/>
        </w:rPr>
        <w:fldChar w:fldCharType="begin"/>
      </w:r>
      <w:r w:rsidR="0003779D" w:rsidRPr="00B13CBE">
        <w:rPr>
          <w:rFonts w:ascii="Arial" w:hAnsi="Arial" w:cs="Arial"/>
          <w:color w:val="000000" w:themeColor="text1"/>
          <w:sz w:val="24"/>
          <w:szCs w:val="24"/>
        </w:rPr>
        <w:instrText xml:space="preserve"> ADDIN ZOTERO_ITEM CSL_CITATION {"citationID":"Z15mD54o","properties":{"formattedCitation":"(Tsay, 2005)","plainCitation":"(Tsay, 2005)","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0003779D" w:rsidRPr="00B13CBE">
        <w:rPr>
          <w:rFonts w:ascii="Arial" w:hAnsi="Arial" w:cs="Arial"/>
          <w:color w:val="000000" w:themeColor="text1"/>
          <w:sz w:val="24"/>
          <w:szCs w:val="24"/>
        </w:rPr>
        <w:fldChar w:fldCharType="separate"/>
      </w:r>
      <w:r w:rsidR="0003779D" w:rsidRPr="00B13CBE">
        <w:rPr>
          <w:rFonts w:ascii="Arial" w:hAnsi="Arial" w:cs="Arial"/>
          <w:color w:val="000000" w:themeColor="text1"/>
          <w:sz w:val="24"/>
          <w:szCs w:val="24"/>
        </w:rPr>
        <w:t>(Tsay, 2005)</w:t>
      </w:r>
      <w:r w:rsidR="0003779D" w:rsidRPr="00B13CBE">
        <w:rPr>
          <w:rFonts w:ascii="Arial" w:hAnsi="Arial" w:cs="Arial"/>
          <w:color w:val="000000" w:themeColor="text1"/>
          <w:sz w:val="24"/>
          <w:szCs w:val="24"/>
        </w:rPr>
        <w:fldChar w:fldCharType="end"/>
      </w:r>
      <w:r w:rsidR="0093276B" w:rsidRPr="00B13CBE">
        <w:rPr>
          <w:rFonts w:ascii="Arial" w:hAnsi="Arial" w:cs="Arial"/>
          <w:color w:val="000000" w:themeColor="text1"/>
          <w:sz w:val="24"/>
          <w:szCs w:val="24"/>
        </w:rPr>
        <w:t xml:space="preserve">. Put tersely, volatility is asymmetric. This and other </w:t>
      </w:r>
      <w:r w:rsidR="0093276B" w:rsidRPr="00B13CBE">
        <w:rPr>
          <w:rFonts w:ascii="Arial" w:hAnsi="Arial" w:cs="Arial"/>
          <w:color w:val="000000" w:themeColor="text1"/>
          <w:sz w:val="24"/>
          <w:szCs w:val="24"/>
        </w:rPr>
        <w:lastRenderedPageBreak/>
        <w:t xml:space="preserve">weaknesses have led to subsequent development of </w:t>
      </w:r>
      <w:r w:rsidR="0015169E" w:rsidRPr="00B13CBE">
        <w:rPr>
          <w:rFonts w:ascii="Arial" w:hAnsi="Arial" w:cs="Arial"/>
          <w:color w:val="000000" w:themeColor="text1"/>
          <w:sz w:val="24"/>
          <w:szCs w:val="24"/>
        </w:rPr>
        <w:t xml:space="preserve">variants of </w:t>
      </w:r>
      <w:r w:rsidR="0093276B" w:rsidRPr="00B13CBE">
        <w:rPr>
          <w:rFonts w:ascii="Arial" w:hAnsi="Arial" w:cs="Arial"/>
          <w:color w:val="000000" w:themeColor="text1"/>
          <w:sz w:val="24"/>
          <w:szCs w:val="24"/>
        </w:rPr>
        <w:t>GARCH models</w:t>
      </w:r>
      <w:r w:rsidR="0015169E" w:rsidRPr="00B13CBE">
        <w:rPr>
          <w:rFonts w:ascii="Arial" w:hAnsi="Arial" w:cs="Arial"/>
          <w:color w:val="000000" w:themeColor="text1"/>
          <w:sz w:val="24"/>
          <w:szCs w:val="24"/>
        </w:rPr>
        <w:t xml:space="preserve"> as well as other families of models</w:t>
      </w:r>
      <w:r w:rsidR="0093276B" w:rsidRPr="00B13CBE">
        <w:rPr>
          <w:rFonts w:ascii="Arial" w:hAnsi="Arial" w:cs="Arial"/>
          <w:color w:val="000000" w:themeColor="text1"/>
          <w:sz w:val="24"/>
          <w:szCs w:val="24"/>
        </w:rPr>
        <w:t xml:space="preserve"> each improving on the weaknesses of the other.</w:t>
      </w:r>
      <w:r w:rsidR="001A4CBC" w:rsidRPr="00B13CBE">
        <w:rPr>
          <w:rFonts w:ascii="Arial" w:hAnsi="Arial" w:cs="Arial"/>
          <w:color w:val="000000" w:themeColor="text1"/>
          <w:sz w:val="24"/>
          <w:szCs w:val="24"/>
        </w:rPr>
        <w:t xml:space="preserve"> </w:t>
      </w:r>
    </w:p>
    <w:p w14:paraId="11633C83" w14:textId="77777777" w:rsidR="0093276B"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This study utilizes </w:t>
      </w:r>
      <w:r w:rsidR="0031075B" w:rsidRPr="00B13CBE">
        <w:rPr>
          <w:rFonts w:ascii="Arial" w:hAnsi="Arial" w:cs="Arial"/>
          <w:color w:val="000000" w:themeColor="text1"/>
          <w:sz w:val="24"/>
          <w:szCs w:val="24"/>
        </w:rPr>
        <w:t xml:space="preserve">a multivariate GARCH model (MVGARCH) called </w:t>
      </w:r>
      <w:r w:rsidRPr="00B13CBE">
        <w:rPr>
          <w:rFonts w:ascii="Arial" w:hAnsi="Arial" w:cs="Arial"/>
          <w:color w:val="000000" w:themeColor="text1"/>
          <w:sz w:val="24"/>
          <w:szCs w:val="24"/>
        </w:rPr>
        <w:t xml:space="preserve">the Dynamic Conditional Correlation (DCC) model of </w:t>
      </w:r>
      <w:r w:rsidR="00686539"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{"citationID":"1i01YcIl","properties":{"formattedCitation":"(Engle, 2002)","plainCitation":"(Engle, 2002)","dontUpdate":true,"noteIndex":0},"citationItems":[{"id":173,"uris":["http://zotero.org/users/local/XXne8Mwc/items/DU76AHGB"],"uri":["http://zotero.org/users/local/XXne8Mwc/items/DU76AHGB"],"itemData":{"id":173,"type":"article-journal","abstract":"Time varying correlations are often estimated with multivariate generalized autoregressive conditional heteroskedasticity (GARCH) models that are linear in squares and cross products of the data. A new class of multivariate models called dynamic conditional correlation models is proposed. These have the flexibility of univariate GARCH models coupled with parsimonious parametric models for the correlations. They are not linear but can often be estimated very simply with univariate or two-step methods based on the likelihood function. It is shown that they perform well in a variety of situations and provide sensible empirical results.","container-title":"Journal of Business &amp; Economic Statistics","ISSN":"0735-0015","issue":"3","note":"publisher: [American Statistical Association, Taylor &amp; Francis, Ltd.]","page":"339-350","source":"JSTOR","title":"Dynamic Conditional Correlation: A Simple Class of Multivariate Generalized Autoregressive Conditional Heteroskedasticity Models","title-short":"Dynamic Conditional Correlation","volume":"20","author":[{"family":"Engle","given":"Robert"}],"issued":{"date-parts":[["2002"]]}}}],"schema":"https://github.com/citation-style-language/schema/raw/master/csl-citation.json"} </w:instrText>
      </w:r>
      <w:r w:rsidR="00686539"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Engle </w:t>
      </w:r>
      <w:r w:rsidR="0015169E"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2002)</w:t>
      </w:r>
      <w:r w:rsidR="00686539" w:rsidRPr="00B13CBE">
        <w:rPr>
          <w:rFonts w:ascii="Arial" w:hAnsi="Arial" w:cs="Arial"/>
          <w:color w:val="000000" w:themeColor="text1"/>
          <w:sz w:val="24"/>
          <w:szCs w:val="24"/>
        </w:rPr>
        <w:fldChar w:fldCharType="end"/>
      </w:r>
      <w:r w:rsidR="00686539" w:rsidRPr="00B13CBE">
        <w:rPr>
          <w:rFonts w:ascii="Arial" w:hAnsi="Arial" w:cs="Arial"/>
          <w:color w:val="000000" w:themeColor="text1"/>
          <w:sz w:val="24"/>
          <w:szCs w:val="24"/>
        </w:rPr>
        <w:t xml:space="preserve"> that models time-varying correlation. Another common choice for modeling time-varying volatility is the BEKK-GARCH model </w:t>
      </w:r>
      <w:r w:rsidR="0015169E" w:rsidRPr="00B13CBE">
        <w:rPr>
          <w:rFonts w:ascii="Arial" w:hAnsi="Arial" w:cs="Arial"/>
          <w:color w:val="000000" w:themeColor="text1"/>
          <w:sz w:val="24"/>
          <w:szCs w:val="24"/>
        </w:rPr>
        <w:t xml:space="preserve">introduced by </w:t>
      </w:r>
      <w:r w:rsidR="00686539" w:rsidRPr="00B13CBE">
        <w:rPr>
          <w:rFonts w:ascii="Arial" w:hAnsi="Arial" w:cs="Arial"/>
          <w:color w:val="000000" w:themeColor="text1"/>
          <w:sz w:val="24"/>
          <w:szCs w:val="24"/>
        </w:rPr>
        <w:t xml:space="preserve">Baba et al. </w:t>
      </w:r>
      <w:r w:rsidR="0015169E" w:rsidRPr="00B13CBE">
        <w:rPr>
          <w:rFonts w:ascii="Arial" w:hAnsi="Arial" w:cs="Arial"/>
          <w:color w:val="000000" w:themeColor="text1"/>
          <w:sz w:val="24"/>
          <w:szCs w:val="24"/>
        </w:rPr>
        <w:t>(</w:t>
      </w:r>
      <w:r w:rsidR="00686539" w:rsidRPr="00B13CBE">
        <w:rPr>
          <w:rFonts w:ascii="Arial" w:hAnsi="Arial" w:cs="Arial"/>
          <w:color w:val="000000" w:themeColor="text1"/>
          <w:sz w:val="24"/>
          <w:szCs w:val="24"/>
        </w:rPr>
        <w:t>1990). The BEKK-GARCH contains a lot more parameter</w:t>
      </w:r>
      <w:r w:rsidR="006D4D5E" w:rsidRPr="00B13CBE">
        <w:rPr>
          <w:rFonts w:ascii="Arial" w:hAnsi="Arial" w:cs="Arial"/>
          <w:color w:val="000000" w:themeColor="text1"/>
          <w:sz w:val="24"/>
          <w:szCs w:val="24"/>
        </w:rPr>
        <w:t>s</w:t>
      </w:r>
      <w:r w:rsidR="00686539" w:rsidRPr="00B13CBE">
        <w:rPr>
          <w:rFonts w:ascii="Arial" w:hAnsi="Arial" w:cs="Arial"/>
          <w:color w:val="000000" w:themeColor="text1"/>
          <w:sz w:val="24"/>
          <w:szCs w:val="24"/>
        </w:rPr>
        <w:t xml:space="preserve"> </w:t>
      </w:r>
      <w:r w:rsidR="006D4D5E" w:rsidRPr="00B13CBE">
        <w:rPr>
          <w:rFonts w:ascii="Arial" w:hAnsi="Arial" w:cs="Arial"/>
          <w:color w:val="000000" w:themeColor="text1"/>
          <w:sz w:val="24"/>
          <w:szCs w:val="24"/>
        </w:rPr>
        <w:t xml:space="preserve">a total of </w:t>
      </w:r>
      <w:r w:rsidR="00686539" w:rsidRPr="00B13CBE">
        <w:rPr>
          <w:rFonts w:ascii="Arial" w:hAnsi="Arial" w:cs="Arial"/>
          <w:color w:val="000000" w:themeColor="text1"/>
          <w:sz w:val="24"/>
          <w:szCs w:val="24"/>
        </w:rPr>
        <w:t>O</w:t>
      </w:r>
      <m:oMath>
        <m:d>
          <m:dPr>
            <m:ctrlPr>
              <w:rPr>
                <w:rFonts w:ascii="Cambria Math" w:hAnsi="Cambria Math" w:cs="Arial"/>
                <w:i/>
                <w:color w:val="000000" w:themeColor="text1"/>
                <w:sz w:val="24"/>
                <w:szCs w:val="24"/>
              </w:rPr>
            </m:ctrlPr>
          </m:dPr>
          <m:e>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k</m:t>
                </m:r>
              </m:e>
              <m:sup>
                <m:r>
                  <w:rPr>
                    <w:rFonts w:ascii="Cambria Math" w:hAnsi="Cambria Math" w:cs="Arial"/>
                    <w:color w:val="000000" w:themeColor="text1"/>
                    <w:sz w:val="24"/>
                    <w:szCs w:val="24"/>
                  </w:rPr>
                  <m:t>4</m:t>
                </m:r>
              </m:sup>
            </m:sSup>
          </m:e>
        </m:d>
      </m:oMath>
      <w:r w:rsidR="00686539" w:rsidRPr="00B13CBE">
        <w:rPr>
          <w:rFonts w:ascii="Arial" w:eastAsiaTheme="minorEastAsia" w:hAnsi="Arial" w:cs="Arial"/>
          <w:color w:val="000000" w:themeColor="text1"/>
          <w:sz w:val="24"/>
          <w:szCs w:val="24"/>
        </w:rPr>
        <w:t xml:space="preserve"> where k is the dimension of the data which makes it unsuitable for analyzing many variables. </w:t>
      </w:r>
      <w:r w:rsidR="00686539" w:rsidRPr="00B13CBE">
        <w:rPr>
          <w:rFonts w:ascii="Arial" w:hAnsi="Arial" w:cs="Arial"/>
          <w:color w:val="000000" w:themeColor="text1"/>
          <w:sz w:val="24"/>
          <w:szCs w:val="24"/>
        </w:rPr>
        <w:t xml:space="preserve"> </w:t>
      </w:r>
      <w:r w:rsidR="004F34D2" w:rsidRPr="00B13CBE">
        <w:rPr>
          <w:rFonts w:ascii="Arial" w:hAnsi="Arial" w:cs="Arial"/>
          <w:color w:val="000000" w:themeColor="text1"/>
          <w:sz w:val="24"/>
          <w:szCs w:val="24"/>
        </w:rPr>
        <w:fldChar w:fldCharType="begin"/>
      </w:r>
      <w:r w:rsidR="00BB20D3" w:rsidRPr="00B13CBE">
        <w:rPr>
          <w:rFonts w:ascii="Arial" w:hAnsi="Arial" w:cs="Arial"/>
          <w:color w:val="000000" w:themeColor="text1"/>
          <w:sz w:val="24"/>
          <w:szCs w:val="24"/>
        </w:rPr>
        <w:instrText xml:space="preserve"> ADDIN ZOTERO_ITEM CSL_CITATION {"citationID":"0x8JWcUO","properties":{"formattedCitation":"(Sheppard, 2003)","plainCitation":"(Sheppard, 2003)","dontUpdate":true,"noteIndex":0},"citationItems":[{"id":111,"uris":["http://zotero.org/users/local/XXne8Mwc/items/Y4HBZ77A"],"uri":["http://zotero.org/users/local/XXne8Mwc/items/Y4HBZ77A"],"itemData":{"id":111,"type":"webpage","abstract":"Estimation of large time varying covariance matrices has proven difficult since the original multivariate volatility models were introduced. In this paper, we develop the empirical properties of a new class of MV-GARCH models capable of estimating large time-varying covariance matrices. We show that the problem of multivariate conditional variance estimation can be reduced to a series of univariate GARCH processes plus an additional conditional correlation estimator. We use the model to estimate a conditional covariance of up to 100 assets using S&amp;amp;P 500 Sector Indies and Dow Jones Industrial Average stocks. This new estimator demonstrates very strong performance especially considering the estimators easy of implementation.","language":"en","title":"Multi-step estimation of Multivariate GARCH models","URL":"https://www.semanticscholar.org/paper/Multi-step-estimation-of-Multivariate-GARCH-models-Sheppard/f14dfb0c1549ad0a2e767637ef1241753a40e349","author":[{"family":"Sheppard","given":"Kevin"}],"accessed":{"date-parts":[["2021",7,23]]},"issued":{"date-parts":[["2003"]]}}}],"schema":"https://github.com/citation-style-language/schema/raw/master/csl-citation.json"} </w:instrText>
      </w:r>
      <w:r w:rsidR="004F34D2" w:rsidRPr="00B13CBE">
        <w:rPr>
          <w:rFonts w:ascii="Arial" w:hAnsi="Arial" w:cs="Arial"/>
          <w:color w:val="000000" w:themeColor="text1"/>
          <w:sz w:val="24"/>
          <w:szCs w:val="24"/>
        </w:rPr>
        <w:fldChar w:fldCharType="separate"/>
      </w:r>
      <w:r w:rsidR="004F34D2" w:rsidRPr="00B13CBE">
        <w:rPr>
          <w:rFonts w:ascii="Arial" w:hAnsi="Arial" w:cs="Arial"/>
          <w:color w:val="000000" w:themeColor="text1"/>
          <w:sz w:val="24"/>
          <w:szCs w:val="24"/>
        </w:rPr>
        <w:t>Sheppard (2003)</w:t>
      </w:r>
      <w:r w:rsidR="004F34D2" w:rsidRPr="00B13CBE">
        <w:rPr>
          <w:rFonts w:ascii="Arial" w:hAnsi="Arial" w:cs="Arial"/>
          <w:color w:val="000000" w:themeColor="text1"/>
          <w:sz w:val="24"/>
          <w:szCs w:val="24"/>
        </w:rPr>
        <w:fldChar w:fldCharType="end"/>
      </w:r>
      <w:r w:rsidR="004F34D2" w:rsidRPr="00B13CBE">
        <w:rPr>
          <w:rFonts w:ascii="Arial" w:hAnsi="Arial" w:cs="Arial"/>
          <w:color w:val="000000" w:themeColor="text1"/>
          <w:sz w:val="24"/>
          <w:szCs w:val="24"/>
        </w:rPr>
        <w:t xml:space="preserve"> argues that due to a large number of variables for high dimensional data of the BEKK-GARCH model, it is difficult to discern the exact interpretation and impact of the individual coefficients. The DCC-GARCH model is not hindered by the dimension of the data. However, unlike the BEKK-GARCH model, DCC-GARCH models the conditional variance of returns using past squared returns which can cause the volatility spillovers to be excluded</w:t>
      </w:r>
      <w:r w:rsidR="007F4ECA" w:rsidRPr="00B13CBE">
        <w:rPr>
          <w:rFonts w:ascii="Arial" w:hAnsi="Arial" w:cs="Arial"/>
          <w:color w:val="000000" w:themeColor="text1"/>
          <w:sz w:val="24"/>
          <w:szCs w:val="24"/>
        </w:rPr>
        <w:t xml:space="preserve"> </w:t>
      </w:r>
      <w:r w:rsidR="0003779D" w:rsidRPr="00B13CBE">
        <w:rPr>
          <w:rFonts w:ascii="Arial" w:hAnsi="Arial" w:cs="Arial"/>
          <w:color w:val="000000" w:themeColor="text1"/>
          <w:sz w:val="24"/>
          <w:szCs w:val="24"/>
        </w:rPr>
        <w:fldChar w:fldCharType="begin"/>
      </w:r>
      <w:r w:rsidR="0003779D" w:rsidRPr="00B13CBE">
        <w:rPr>
          <w:rFonts w:ascii="Arial" w:hAnsi="Arial" w:cs="Arial"/>
          <w:color w:val="000000" w:themeColor="text1"/>
          <w:sz w:val="24"/>
          <w:szCs w:val="24"/>
        </w:rPr>
        <w:instrText xml:space="preserve"> ADDIN ZOTERO_ITEM CSL_CITATION {"citationID":"EwhPVf98","properties":{"formattedCitation":"(Sheppard, 2003)","plainCitation":"(Sheppard, 2003)","noteIndex":0},"citationItems":[{"id":111,"uris":["http://zotero.org/users/local/XXne8Mwc/items/Y4HBZ77A"],"uri":["http://zotero.org/users/local/XXne8Mwc/items/Y4HBZ77A"],"itemData":{"id":111,"type":"webpage","abstract":"Estimation of large time varying covariance matrices has proven difficult since the original multivariate volatility models were introduced. In this paper, we develop the empirical properties of a new class of MV-GARCH models capable of estimating large time-varying covariance matrices. We show that the problem of multivariate conditional variance estimation can be reduced to a series of univariate GARCH processes plus an additional conditional correlation estimator. We use the model to estimate a conditional covariance of up to 100 assets using S&amp;amp;P 500 Sector Indies and Dow Jones Industrial Average stocks. This new estimator demonstrates very strong performance especially considering the estimators easy of implementation.","language":"en","title":"Multi-step estimation of Multivariate GARCH models","URL":"https://www.semanticscholar.org/paper/Multi-step-estimation-of-Multivariate-GARCH-models-Sheppard/f14dfb0c1549ad0a2e767637ef1241753a40e349","author":[{"family":"Sheppard","given":"Kevin"}],"accessed":{"date-parts":[["2021",7,23]]},"issued":{"date-parts":[["2003"]]}}}],"schema":"https://github.com/citation-style-language/schema/raw/master/csl-citation.json"} </w:instrText>
      </w:r>
      <w:r w:rsidR="0003779D" w:rsidRPr="00B13CBE">
        <w:rPr>
          <w:rFonts w:ascii="Arial" w:hAnsi="Arial" w:cs="Arial"/>
          <w:color w:val="000000" w:themeColor="text1"/>
          <w:sz w:val="24"/>
          <w:szCs w:val="24"/>
        </w:rPr>
        <w:fldChar w:fldCharType="separate"/>
      </w:r>
      <w:r w:rsidR="0003779D" w:rsidRPr="00B13CBE">
        <w:rPr>
          <w:rFonts w:ascii="Arial" w:hAnsi="Arial" w:cs="Arial"/>
          <w:color w:val="000000" w:themeColor="text1"/>
          <w:sz w:val="24"/>
          <w:szCs w:val="24"/>
        </w:rPr>
        <w:t>(Sheppard, 2003)</w:t>
      </w:r>
      <w:r w:rsidR="0003779D" w:rsidRPr="00B13CBE">
        <w:rPr>
          <w:rFonts w:ascii="Arial" w:hAnsi="Arial" w:cs="Arial"/>
          <w:color w:val="000000" w:themeColor="text1"/>
          <w:sz w:val="24"/>
          <w:szCs w:val="24"/>
        </w:rPr>
        <w:fldChar w:fldCharType="end"/>
      </w:r>
      <w:r w:rsidR="004F34D2" w:rsidRPr="00B13CBE">
        <w:rPr>
          <w:rFonts w:ascii="Arial" w:hAnsi="Arial" w:cs="Arial"/>
          <w:color w:val="000000" w:themeColor="text1"/>
          <w:sz w:val="24"/>
          <w:szCs w:val="24"/>
        </w:rPr>
        <w:t xml:space="preserve">. </w:t>
      </w:r>
    </w:p>
    <w:p w14:paraId="271529D6" w14:textId="77777777" w:rsidR="001A4CBC"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This study seeks to determine the magnitude of cross volatility spillovers among different countries in the world. Major stock market indices are used as proxies for the entire equity market in the different countries since stock market indices typically contain firms with the largest market capitalization and most liquid shares. A sample of 12 major world indices from different countries across the world is used and a DCC-GARCH model is applied to determine the magnitude and direction of volatility spillovers among the selected stock market indices. </w:t>
      </w:r>
    </w:p>
    <w:p w14:paraId="71F2ABB7" w14:textId="77777777" w:rsidR="00383C0A" w:rsidRPr="00B13CBE" w:rsidRDefault="00C4772C" w:rsidP="00781A3B">
      <w:pPr>
        <w:pStyle w:val="Heading2"/>
      </w:pPr>
      <w:bookmarkStart w:id="4" w:name="_Toc82603348"/>
      <w:r w:rsidRPr="00B13CBE">
        <w:lastRenderedPageBreak/>
        <w:t>R</w:t>
      </w:r>
      <w:r w:rsidR="008846C7" w:rsidRPr="00B13CBE">
        <w:t>esearch</w:t>
      </w:r>
      <w:r w:rsidRPr="00B13CBE">
        <w:t xml:space="preserve"> Q</w:t>
      </w:r>
      <w:r w:rsidR="008846C7" w:rsidRPr="00B13CBE">
        <w:t>uestion</w:t>
      </w:r>
      <w:bookmarkEnd w:id="4"/>
    </w:p>
    <w:p w14:paraId="05B2756F" w14:textId="77777777" w:rsidR="00D3717A"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This research seeks answers to </w:t>
      </w:r>
      <w:r w:rsidR="000703E0" w:rsidRPr="00B13CBE">
        <w:rPr>
          <w:rFonts w:ascii="Arial" w:hAnsi="Arial" w:cs="Arial"/>
          <w:color w:val="000000" w:themeColor="text1"/>
          <w:sz w:val="24"/>
          <w:szCs w:val="24"/>
        </w:rPr>
        <w:t>the question: What is the magnitude of volatility spillovers among the SNP 500, Dow Jones, NASDAQ, Russel 2000, DAX Performance-Index, CAC  40, FTSE 100, Nikkei 225, Hang Seng, Shenzhen Composite, IPC Mexico, and Jakarta Composite indices between 31</w:t>
      </w:r>
      <w:r w:rsidR="000703E0" w:rsidRPr="00B13CBE">
        <w:rPr>
          <w:rFonts w:ascii="Arial" w:hAnsi="Arial" w:cs="Arial"/>
          <w:color w:val="000000" w:themeColor="text1"/>
          <w:sz w:val="24"/>
          <w:szCs w:val="24"/>
          <w:vertAlign w:val="superscript"/>
        </w:rPr>
        <w:t>st</w:t>
      </w:r>
      <w:r w:rsidR="000703E0" w:rsidRPr="00B13CBE">
        <w:rPr>
          <w:rFonts w:ascii="Arial" w:hAnsi="Arial" w:cs="Arial"/>
          <w:color w:val="000000" w:themeColor="text1"/>
          <w:sz w:val="24"/>
          <w:szCs w:val="24"/>
        </w:rPr>
        <w:t xml:space="preserve"> December 2014 and 31</w:t>
      </w:r>
      <w:r w:rsidR="000703E0" w:rsidRPr="00B13CBE">
        <w:rPr>
          <w:rFonts w:ascii="Arial" w:hAnsi="Arial" w:cs="Arial"/>
          <w:color w:val="000000" w:themeColor="text1"/>
          <w:sz w:val="24"/>
          <w:szCs w:val="24"/>
          <w:vertAlign w:val="superscript"/>
        </w:rPr>
        <w:t>st</w:t>
      </w:r>
      <w:r w:rsidR="000703E0" w:rsidRPr="00B13CBE">
        <w:rPr>
          <w:rFonts w:ascii="Arial" w:hAnsi="Arial" w:cs="Arial"/>
          <w:color w:val="000000" w:themeColor="text1"/>
          <w:sz w:val="24"/>
          <w:szCs w:val="24"/>
        </w:rPr>
        <w:t xml:space="preserve"> December 2020</w:t>
      </w:r>
      <w:r w:rsidRPr="00B13CBE">
        <w:rPr>
          <w:rFonts w:ascii="Arial" w:hAnsi="Arial" w:cs="Arial"/>
          <w:color w:val="000000" w:themeColor="text1"/>
          <w:sz w:val="24"/>
          <w:szCs w:val="24"/>
        </w:rPr>
        <w:t xml:space="preserve">? </w:t>
      </w:r>
    </w:p>
    <w:p w14:paraId="2A4FD0CF" w14:textId="77777777" w:rsidR="00DE1B3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 DCC-GARCH model is chosen over the BEKK-GARCH model because </w:t>
      </w:r>
      <w:r w:rsidR="004F34D2" w:rsidRPr="00B13CBE">
        <w:rPr>
          <w:rFonts w:ascii="Arial" w:hAnsi="Arial" w:cs="Arial"/>
          <w:color w:val="000000" w:themeColor="text1"/>
          <w:sz w:val="24"/>
          <w:szCs w:val="24"/>
        </w:rPr>
        <w:t>the data has a dimension of 12 and using the DCC-GARCH</w:t>
      </w:r>
      <w:r w:rsidRPr="00B13CBE">
        <w:rPr>
          <w:rFonts w:ascii="Arial" w:hAnsi="Arial" w:cs="Arial"/>
          <w:color w:val="000000" w:themeColor="text1"/>
          <w:sz w:val="24"/>
          <w:szCs w:val="24"/>
        </w:rPr>
        <w:t xml:space="preserve"> </w:t>
      </w:r>
      <w:r w:rsidR="004F34D2" w:rsidRPr="00B13CBE">
        <w:rPr>
          <w:rFonts w:ascii="Arial" w:hAnsi="Arial" w:cs="Arial"/>
          <w:color w:val="000000" w:themeColor="text1"/>
          <w:sz w:val="24"/>
          <w:szCs w:val="24"/>
        </w:rPr>
        <w:t xml:space="preserve">leads to significantly </w:t>
      </w:r>
      <w:r w:rsidRPr="00B13CBE">
        <w:rPr>
          <w:rFonts w:ascii="Arial" w:hAnsi="Arial" w:cs="Arial"/>
          <w:color w:val="000000" w:themeColor="text1"/>
          <w:sz w:val="24"/>
          <w:szCs w:val="24"/>
        </w:rPr>
        <w:t>fewer parameter</w:t>
      </w:r>
      <w:r w:rsidR="004F34D2" w:rsidRPr="00B13CBE">
        <w:rPr>
          <w:rFonts w:ascii="Arial" w:hAnsi="Arial" w:cs="Arial"/>
          <w:color w:val="000000" w:themeColor="text1"/>
          <w:sz w:val="24"/>
          <w:szCs w:val="24"/>
        </w:rPr>
        <w:t xml:space="preserve">s which </w:t>
      </w:r>
      <w:r w:rsidRPr="00B13CBE">
        <w:rPr>
          <w:rFonts w:ascii="Arial" w:hAnsi="Arial" w:cs="Arial"/>
          <w:color w:val="000000" w:themeColor="text1"/>
          <w:sz w:val="24"/>
          <w:szCs w:val="24"/>
        </w:rPr>
        <w:t>reduce the margin of specification errors</w:t>
      </w:r>
      <w:r w:rsidR="0003779D" w:rsidRPr="00B13CBE">
        <w:rPr>
          <w:rFonts w:ascii="Arial" w:hAnsi="Arial" w:cs="Arial"/>
          <w:color w:val="000000" w:themeColor="text1"/>
          <w:sz w:val="24"/>
          <w:szCs w:val="24"/>
        </w:rPr>
        <w:t xml:space="preserve"> </w:t>
      </w:r>
      <w:r w:rsidR="0003779D" w:rsidRPr="00B13CBE">
        <w:rPr>
          <w:rFonts w:ascii="Arial" w:hAnsi="Arial" w:cs="Arial"/>
          <w:color w:val="000000" w:themeColor="text1"/>
          <w:sz w:val="24"/>
          <w:szCs w:val="24"/>
        </w:rPr>
        <w:fldChar w:fldCharType="begin"/>
      </w:r>
      <w:r w:rsidR="0003779D" w:rsidRPr="00B13CBE">
        <w:rPr>
          <w:rFonts w:ascii="Arial" w:hAnsi="Arial" w:cs="Arial"/>
          <w:color w:val="000000" w:themeColor="text1"/>
          <w:sz w:val="24"/>
          <w:szCs w:val="24"/>
        </w:rPr>
        <w:instrText xml:space="preserve"> ADDIN ZOTERO_ITEM CSL_CITATION {"citationID":"ibXHQ3x5","properties":{"formattedCitation":"(Sheppard, 2003)","plainCitation":"(Sheppard, 2003)","noteIndex":0},"citationItems":[{"id":111,"uris":["http://zotero.org/users/local/XXne8Mwc/items/Y4HBZ77A"],"uri":["http://zotero.org/users/local/XXne8Mwc/items/Y4HBZ77A"],"itemData":{"id":111,"type":"webpage","abstract":"Estimation of large time varying covariance matrices has proven difficult since the original multivariate volatility models were introduced. In this paper, we develop the empirical properties of a new class of MV-GARCH models capable of estimating large time-varying covariance matrices. We show that the problem of multivariate conditional variance estimation can be reduced to a series of univariate GARCH processes plus an additional conditional correlation estimator. We use the model to estimate a conditional covariance of up to 100 assets using S&amp;amp;P 500 Sector Indies and Dow Jones Industrial Average stocks. This new estimator demonstrates very strong performance especially considering the estimators easy of implementation.","language":"en","title":"Multi-step estimation of Multivariate GARCH models","URL":"https://www.semanticscholar.org/paper/Multi-step-estimation-of-Multivariate-GARCH-models-Sheppard/f14dfb0c1549ad0a2e767637ef1241753a40e349","author":[{"family":"Sheppard","given":"Kevin"}],"accessed":{"date-parts":[["2021",7,23]]},"issued":{"date-parts":[["2003"]]}}}],"schema":"https://github.com/citation-style-language/schema/raw/master/csl-citation.json"} </w:instrText>
      </w:r>
      <w:r w:rsidR="0003779D" w:rsidRPr="00B13CBE">
        <w:rPr>
          <w:rFonts w:ascii="Arial" w:hAnsi="Arial" w:cs="Arial"/>
          <w:color w:val="000000" w:themeColor="text1"/>
          <w:sz w:val="24"/>
          <w:szCs w:val="24"/>
        </w:rPr>
        <w:fldChar w:fldCharType="separate"/>
      </w:r>
      <w:r w:rsidR="0003779D" w:rsidRPr="00B13CBE">
        <w:rPr>
          <w:rFonts w:ascii="Arial" w:hAnsi="Arial" w:cs="Arial"/>
          <w:color w:val="000000" w:themeColor="text1"/>
          <w:sz w:val="24"/>
          <w:szCs w:val="24"/>
        </w:rPr>
        <w:t>(Sheppard, 2003)</w:t>
      </w:r>
      <w:r w:rsidR="0003779D" w:rsidRPr="00B13CBE">
        <w:rPr>
          <w:rFonts w:ascii="Arial" w:hAnsi="Arial" w:cs="Arial"/>
          <w:color w:val="000000" w:themeColor="text1"/>
          <w:sz w:val="24"/>
          <w:szCs w:val="24"/>
        </w:rPr>
        <w:fldChar w:fldCharType="end"/>
      </w:r>
      <w:r w:rsidR="0003779D"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w:t>
      </w:r>
      <w:r w:rsidR="000703E0" w:rsidRPr="00B13CBE">
        <w:rPr>
          <w:rFonts w:ascii="Arial" w:hAnsi="Arial" w:cs="Arial"/>
          <w:color w:val="000000" w:themeColor="text1"/>
          <w:sz w:val="24"/>
          <w:szCs w:val="24"/>
        </w:rPr>
        <w:t>All data was obtained from Yahoo Finance</w:t>
      </w:r>
      <w:r w:rsidR="008846C7" w:rsidRPr="00B13CBE">
        <w:rPr>
          <w:rFonts w:ascii="Arial" w:hAnsi="Arial" w:cs="Arial"/>
          <w:color w:val="000000" w:themeColor="text1"/>
          <w:sz w:val="24"/>
          <w:szCs w:val="24"/>
        </w:rPr>
        <w:t>.</w:t>
      </w:r>
    </w:p>
    <w:p w14:paraId="530A527D" w14:textId="77777777" w:rsidR="00383C0A" w:rsidRPr="00B13CBE" w:rsidRDefault="00C4772C" w:rsidP="00781A3B">
      <w:pPr>
        <w:pStyle w:val="Heading2"/>
      </w:pPr>
      <w:bookmarkStart w:id="5" w:name="_Toc82603349"/>
      <w:r w:rsidRPr="00B13CBE">
        <w:t>J</w:t>
      </w:r>
      <w:r w:rsidR="008846C7" w:rsidRPr="00B13CBE">
        <w:t xml:space="preserve">ustification </w:t>
      </w:r>
      <w:r w:rsidR="008E428F" w:rsidRPr="00B13CBE">
        <w:t xml:space="preserve">of </w:t>
      </w:r>
      <w:r w:rsidR="000703E0" w:rsidRPr="00B13CBE">
        <w:t>T</w:t>
      </w:r>
      <w:r w:rsidR="008846C7" w:rsidRPr="00B13CBE">
        <w:t>he</w:t>
      </w:r>
      <w:r w:rsidR="000703E0" w:rsidRPr="00B13CBE">
        <w:t xml:space="preserve"> S</w:t>
      </w:r>
      <w:r w:rsidR="008846C7" w:rsidRPr="00B13CBE">
        <w:t>tudy</w:t>
      </w:r>
      <w:bookmarkEnd w:id="5"/>
    </w:p>
    <w:p w14:paraId="4E0B7594" w14:textId="77777777" w:rsidR="00D135C9"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 results of this study will </w:t>
      </w:r>
      <w:r w:rsidR="007F4ECA" w:rsidRPr="00B13CBE">
        <w:rPr>
          <w:rFonts w:ascii="Arial" w:hAnsi="Arial" w:cs="Arial"/>
          <w:color w:val="000000" w:themeColor="text1"/>
          <w:sz w:val="24"/>
          <w:szCs w:val="24"/>
        </w:rPr>
        <w:t>contribute</w:t>
      </w:r>
      <w:r w:rsidRPr="00B13CBE">
        <w:rPr>
          <w:rFonts w:ascii="Arial" w:hAnsi="Arial" w:cs="Arial"/>
          <w:color w:val="000000" w:themeColor="text1"/>
          <w:sz w:val="24"/>
          <w:szCs w:val="24"/>
        </w:rPr>
        <w:t xml:space="preserve"> to the literature about </w:t>
      </w:r>
      <w:r w:rsidR="007F4ECA" w:rsidRPr="00B13CBE">
        <w:rPr>
          <w:rFonts w:ascii="Arial" w:hAnsi="Arial" w:cs="Arial"/>
          <w:color w:val="000000" w:themeColor="text1"/>
          <w:sz w:val="24"/>
          <w:szCs w:val="24"/>
        </w:rPr>
        <w:t xml:space="preserve">correlations </w:t>
      </w:r>
      <w:r w:rsidRPr="00B13CBE">
        <w:rPr>
          <w:rFonts w:ascii="Arial" w:hAnsi="Arial" w:cs="Arial"/>
          <w:color w:val="000000" w:themeColor="text1"/>
          <w:sz w:val="24"/>
          <w:szCs w:val="24"/>
        </w:rPr>
        <w:t>among capital markets around the world. The period of the data allows for up-to-date results that characterize the present state of affairs regarding inter-market volatility spillovers.</w:t>
      </w:r>
      <w:r w:rsidR="007F4ECA"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Policymakers can use the results of this study to inform policies</w:t>
      </w:r>
      <w:r w:rsidR="006D4D5E" w:rsidRPr="00B13CBE">
        <w:rPr>
          <w:rFonts w:ascii="Arial" w:hAnsi="Arial" w:cs="Arial"/>
          <w:color w:val="000000" w:themeColor="text1"/>
          <w:sz w:val="24"/>
          <w:szCs w:val="24"/>
        </w:rPr>
        <w:t xml:space="preserve"> designed</w:t>
      </w:r>
      <w:r w:rsidRPr="00B13CBE">
        <w:rPr>
          <w:rFonts w:ascii="Arial" w:hAnsi="Arial" w:cs="Arial"/>
          <w:color w:val="000000" w:themeColor="text1"/>
          <w:sz w:val="24"/>
          <w:szCs w:val="24"/>
        </w:rPr>
        <w:t xml:space="preserve"> t</w:t>
      </w:r>
      <w:r w:rsidR="006D4D5E" w:rsidRPr="00B13CBE">
        <w:rPr>
          <w:rFonts w:ascii="Arial" w:hAnsi="Arial" w:cs="Arial"/>
          <w:color w:val="000000" w:themeColor="text1"/>
          <w:sz w:val="24"/>
          <w:szCs w:val="24"/>
        </w:rPr>
        <w:t>o</w:t>
      </w:r>
      <w:r w:rsidRPr="00B13CBE">
        <w:rPr>
          <w:rFonts w:ascii="Arial" w:hAnsi="Arial" w:cs="Arial"/>
          <w:color w:val="000000" w:themeColor="text1"/>
          <w:sz w:val="24"/>
          <w:szCs w:val="24"/>
        </w:rPr>
        <w:t xml:space="preserve"> mitigate contagion </w:t>
      </w:r>
      <w:r w:rsidR="006D4D5E"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protect their economies from the adverse effects of volatility spillovers. International investors can use the results of this study t</w:t>
      </w:r>
      <w:r w:rsidR="005A73E7" w:rsidRPr="00B13CBE">
        <w:rPr>
          <w:rFonts w:ascii="Arial" w:hAnsi="Arial" w:cs="Arial"/>
          <w:color w:val="000000" w:themeColor="text1"/>
          <w:sz w:val="24"/>
          <w:szCs w:val="24"/>
        </w:rPr>
        <w:t>o</w:t>
      </w:r>
      <w:r w:rsidRPr="00B13CBE">
        <w:rPr>
          <w:rFonts w:ascii="Arial" w:hAnsi="Arial" w:cs="Arial"/>
          <w:color w:val="000000" w:themeColor="text1"/>
          <w:sz w:val="24"/>
          <w:szCs w:val="24"/>
        </w:rPr>
        <w:t xml:space="preserve"> inform their </w:t>
      </w:r>
      <w:r w:rsidR="006D4D5E" w:rsidRPr="00B13CBE">
        <w:rPr>
          <w:rFonts w:ascii="Arial" w:hAnsi="Arial" w:cs="Arial"/>
          <w:color w:val="000000" w:themeColor="text1"/>
          <w:sz w:val="24"/>
          <w:szCs w:val="24"/>
        </w:rPr>
        <w:t xml:space="preserve">asset allocation and </w:t>
      </w:r>
      <w:r w:rsidRPr="00B13CBE">
        <w:rPr>
          <w:rFonts w:ascii="Arial" w:hAnsi="Arial" w:cs="Arial"/>
          <w:color w:val="000000" w:themeColor="text1"/>
          <w:sz w:val="24"/>
          <w:szCs w:val="24"/>
        </w:rPr>
        <w:t>risk management</w:t>
      </w:r>
      <w:r w:rsidR="005A73E7" w:rsidRPr="00B13CBE">
        <w:rPr>
          <w:rFonts w:ascii="Arial" w:hAnsi="Arial" w:cs="Arial"/>
          <w:color w:val="000000" w:themeColor="text1"/>
          <w:sz w:val="24"/>
          <w:szCs w:val="24"/>
        </w:rPr>
        <w:t xml:space="preserve"> decisions</w:t>
      </w:r>
      <w:r w:rsidRPr="00B13CBE">
        <w:rPr>
          <w:rFonts w:ascii="Arial" w:hAnsi="Arial" w:cs="Arial"/>
          <w:color w:val="000000" w:themeColor="text1"/>
          <w:sz w:val="24"/>
          <w:szCs w:val="24"/>
        </w:rPr>
        <w:t>.</w:t>
      </w:r>
      <w:r w:rsidR="005A73E7" w:rsidRPr="00B13CBE">
        <w:rPr>
          <w:rFonts w:ascii="Arial" w:hAnsi="Arial" w:cs="Arial"/>
          <w:color w:val="000000" w:themeColor="text1"/>
          <w:sz w:val="24"/>
          <w:szCs w:val="24"/>
        </w:rPr>
        <w:t xml:space="preserve"> Firms in the relevant economies can use the result of this study to determine their risk exposure for example by updating their domestic CAPM estimates.</w:t>
      </w:r>
    </w:p>
    <w:p w14:paraId="28AA8562" w14:textId="77777777" w:rsidR="00383C0A" w:rsidRPr="00B13CBE" w:rsidRDefault="00C4772C" w:rsidP="00781A3B">
      <w:pPr>
        <w:pStyle w:val="Heading2"/>
      </w:pPr>
      <w:bookmarkStart w:id="6" w:name="_Toc82603350"/>
      <w:r w:rsidRPr="00B13CBE">
        <w:t>S</w:t>
      </w:r>
      <w:r w:rsidR="008846C7" w:rsidRPr="00B13CBE">
        <w:t>tructure</w:t>
      </w:r>
      <w:r w:rsidR="006D4D5E" w:rsidRPr="00B13CBE">
        <w:t xml:space="preserve"> </w:t>
      </w:r>
      <w:r w:rsidR="008E428F" w:rsidRPr="00B13CBE">
        <w:t xml:space="preserve">of </w:t>
      </w:r>
      <w:r w:rsidR="006D4D5E" w:rsidRPr="00B13CBE">
        <w:t>T</w:t>
      </w:r>
      <w:r w:rsidR="008846C7" w:rsidRPr="00B13CBE">
        <w:t>he</w:t>
      </w:r>
      <w:r w:rsidR="006D4D5E" w:rsidRPr="00B13CBE">
        <w:t xml:space="preserve"> P</w:t>
      </w:r>
      <w:r w:rsidR="008846C7" w:rsidRPr="00B13CBE">
        <w:t>aper</w:t>
      </w:r>
      <w:bookmarkEnd w:id="6"/>
    </w:p>
    <w:p w14:paraId="2A2A85E9" w14:textId="34EFE159" w:rsidR="006D4D5E"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Chapter 2 provides the literature review which review</w:t>
      </w:r>
      <w:r w:rsidR="00DE1B3F"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the theory behind inter-market dependence and the related empirical evidence. It also </w:t>
      </w:r>
      <w:r w:rsidR="00DE1B3F" w:rsidRPr="00B13CBE">
        <w:rPr>
          <w:rFonts w:ascii="Arial" w:hAnsi="Arial" w:cs="Arial"/>
          <w:color w:val="000000" w:themeColor="text1"/>
          <w:sz w:val="24"/>
          <w:szCs w:val="24"/>
        </w:rPr>
        <w:t>analyses</w:t>
      </w:r>
      <w:r w:rsidRPr="00B13CBE">
        <w:rPr>
          <w:rFonts w:ascii="Arial" w:hAnsi="Arial" w:cs="Arial"/>
          <w:color w:val="000000" w:themeColor="text1"/>
          <w:sz w:val="24"/>
          <w:szCs w:val="24"/>
        </w:rPr>
        <w:t xml:space="preserve"> the </w:t>
      </w:r>
      <w:r w:rsidRPr="00B13CBE">
        <w:rPr>
          <w:rFonts w:ascii="Arial" w:hAnsi="Arial" w:cs="Arial"/>
          <w:color w:val="000000" w:themeColor="text1"/>
          <w:sz w:val="24"/>
          <w:szCs w:val="24"/>
        </w:rPr>
        <w:lastRenderedPageBreak/>
        <w:t>theoretical considerations in volatility modeling</w:t>
      </w:r>
      <w:r w:rsidR="00DE1B3F" w:rsidRPr="00B13CBE">
        <w:rPr>
          <w:rFonts w:ascii="Arial" w:hAnsi="Arial" w:cs="Arial"/>
          <w:color w:val="000000" w:themeColor="text1"/>
          <w:sz w:val="24"/>
          <w:szCs w:val="24"/>
        </w:rPr>
        <w:t xml:space="preserve"> and details</w:t>
      </w:r>
      <w:r w:rsidRPr="00B13CBE">
        <w:rPr>
          <w:rFonts w:ascii="Arial" w:hAnsi="Arial" w:cs="Arial"/>
          <w:color w:val="000000" w:themeColor="text1"/>
          <w:sz w:val="24"/>
          <w:szCs w:val="24"/>
        </w:rPr>
        <w:t xml:space="preserve"> the formulation of the DCC-GARCH</w:t>
      </w:r>
      <w:r w:rsidR="00DE1B3F" w:rsidRPr="00B13CBE">
        <w:rPr>
          <w:rFonts w:ascii="Arial" w:hAnsi="Arial" w:cs="Arial"/>
          <w:color w:val="000000" w:themeColor="text1"/>
          <w:sz w:val="24"/>
          <w:szCs w:val="24"/>
        </w:rPr>
        <w:t>. Chapter 3 describes the data and the methodology used in this study. A preliminary view of the data is</w:t>
      </w:r>
      <w:r w:rsidR="004D3355" w:rsidRPr="00B13CBE">
        <w:rPr>
          <w:rFonts w:ascii="Arial" w:hAnsi="Arial" w:cs="Arial"/>
          <w:color w:val="000000" w:themeColor="text1"/>
          <w:sz w:val="24"/>
          <w:szCs w:val="24"/>
        </w:rPr>
        <w:t xml:space="preserve"> also</w:t>
      </w:r>
      <w:r w:rsidR="00DE1B3F" w:rsidRPr="00B13CBE">
        <w:rPr>
          <w:rFonts w:ascii="Arial" w:hAnsi="Arial" w:cs="Arial"/>
          <w:color w:val="000000" w:themeColor="text1"/>
          <w:sz w:val="24"/>
          <w:szCs w:val="24"/>
        </w:rPr>
        <w:t xml:space="preserve"> given</w:t>
      </w:r>
      <w:r w:rsidR="004D3355" w:rsidRPr="00B13CBE">
        <w:rPr>
          <w:rFonts w:ascii="Arial" w:hAnsi="Arial" w:cs="Arial"/>
          <w:color w:val="000000" w:themeColor="text1"/>
          <w:sz w:val="24"/>
          <w:szCs w:val="24"/>
        </w:rPr>
        <w:t xml:space="preserve"> in chapter 3</w:t>
      </w:r>
      <w:r w:rsidR="00DE1B3F" w:rsidRPr="00B13CBE">
        <w:rPr>
          <w:rFonts w:ascii="Arial" w:hAnsi="Arial" w:cs="Arial"/>
          <w:color w:val="000000" w:themeColor="text1"/>
          <w:sz w:val="24"/>
          <w:szCs w:val="24"/>
        </w:rPr>
        <w:t>. Chapter 4 reports the results and</w:t>
      </w:r>
      <w:r w:rsidR="007F4ECA" w:rsidRPr="00B13CBE">
        <w:rPr>
          <w:rFonts w:ascii="Arial" w:hAnsi="Arial" w:cs="Arial"/>
          <w:color w:val="000000" w:themeColor="text1"/>
          <w:sz w:val="24"/>
          <w:szCs w:val="24"/>
        </w:rPr>
        <w:t xml:space="preserve"> provides a discussion. </w:t>
      </w:r>
      <w:r w:rsidR="00DE1B3F" w:rsidRPr="00B13CBE">
        <w:rPr>
          <w:rFonts w:ascii="Arial" w:hAnsi="Arial" w:cs="Arial"/>
          <w:color w:val="000000" w:themeColor="text1"/>
          <w:sz w:val="24"/>
          <w:szCs w:val="24"/>
        </w:rPr>
        <w:t>Chapter 5</w:t>
      </w:r>
      <w:r w:rsidR="007F4ECA" w:rsidRPr="00B13CBE">
        <w:rPr>
          <w:rFonts w:ascii="Arial" w:hAnsi="Arial" w:cs="Arial"/>
          <w:color w:val="000000" w:themeColor="text1"/>
          <w:sz w:val="24"/>
          <w:szCs w:val="24"/>
        </w:rPr>
        <w:t xml:space="preserve"> concludes and discusses the limitations of the research as well as directions for future work</w:t>
      </w:r>
      <w:r w:rsidR="00DE1B3F"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br w:type="page"/>
      </w:r>
    </w:p>
    <w:p w14:paraId="3C600560" w14:textId="77777777" w:rsidR="00BB20D3" w:rsidRPr="00B13CBE" w:rsidRDefault="00C4772C" w:rsidP="00781A3B">
      <w:pPr>
        <w:pStyle w:val="Heading1"/>
        <w:numPr>
          <w:ilvl w:val="0"/>
          <w:numId w:val="18"/>
        </w:numPr>
        <w:spacing w:before="0" w:line="360" w:lineRule="auto"/>
        <w:jc w:val="both"/>
        <w:rPr>
          <w:rFonts w:ascii="Arial" w:hAnsi="Arial" w:cs="Arial"/>
          <w:b/>
          <w:bCs/>
          <w:color w:val="000000" w:themeColor="text1"/>
          <w:sz w:val="24"/>
          <w:szCs w:val="24"/>
        </w:rPr>
      </w:pPr>
      <w:bookmarkStart w:id="7" w:name="_Toc82603351"/>
      <w:r w:rsidRPr="00B13CBE">
        <w:rPr>
          <w:rFonts w:ascii="Arial" w:hAnsi="Arial" w:cs="Arial"/>
          <w:b/>
          <w:bCs/>
          <w:color w:val="000000" w:themeColor="text1"/>
          <w:sz w:val="24"/>
          <w:szCs w:val="24"/>
        </w:rPr>
        <w:lastRenderedPageBreak/>
        <w:t>L</w:t>
      </w:r>
      <w:r w:rsidR="000703E0" w:rsidRPr="00B13CBE">
        <w:rPr>
          <w:rFonts w:ascii="Arial" w:hAnsi="Arial" w:cs="Arial"/>
          <w:b/>
          <w:bCs/>
          <w:color w:val="000000" w:themeColor="text1"/>
          <w:sz w:val="24"/>
          <w:szCs w:val="24"/>
        </w:rPr>
        <w:t>ITERATURE REVIEW</w:t>
      </w:r>
      <w:bookmarkEnd w:id="7"/>
    </w:p>
    <w:p w14:paraId="4ABB0386" w14:textId="77777777" w:rsidR="00383C0A" w:rsidRPr="00B13CBE" w:rsidRDefault="00C4772C" w:rsidP="00781A3B">
      <w:pPr>
        <w:pStyle w:val="Heading2"/>
      </w:pPr>
      <w:bookmarkStart w:id="8" w:name="_Toc82603352"/>
      <w:r w:rsidRPr="00B13CBE">
        <w:t>The V</w:t>
      </w:r>
      <w:r w:rsidR="008846C7" w:rsidRPr="00B13CBE">
        <w:t>olatility</w:t>
      </w:r>
      <w:r w:rsidR="000703E0" w:rsidRPr="00B13CBE">
        <w:t xml:space="preserve"> </w:t>
      </w:r>
      <w:r w:rsidR="00AF71BE" w:rsidRPr="00B13CBE">
        <w:t>o</w:t>
      </w:r>
      <w:r w:rsidR="008E428F" w:rsidRPr="00B13CBE">
        <w:t xml:space="preserve">f </w:t>
      </w:r>
      <w:r w:rsidR="000703E0" w:rsidRPr="00B13CBE">
        <w:t>A</w:t>
      </w:r>
      <w:r w:rsidR="008846C7" w:rsidRPr="00B13CBE">
        <w:t>sset</w:t>
      </w:r>
      <w:r w:rsidR="000703E0" w:rsidRPr="00B13CBE">
        <w:t xml:space="preserve"> R</w:t>
      </w:r>
      <w:r w:rsidR="008846C7" w:rsidRPr="00B13CBE">
        <w:t>eturns</w:t>
      </w:r>
      <w:bookmarkEnd w:id="8"/>
    </w:p>
    <w:p w14:paraId="038308BF" w14:textId="15BE1359" w:rsidR="00E130D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Volatility, in finance and economics, refers to the degree to which a random variable</w:t>
      </w:r>
      <w:r w:rsidR="003B0A11"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such as asset returns</w:t>
      </w:r>
      <w:r w:rsidR="004D3355" w:rsidRPr="00B13CBE">
        <w:rPr>
          <w:rFonts w:ascii="Arial" w:hAnsi="Arial" w:cs="Arial"/>
          <w:color w:val="000000" w:themeColor="text1"/>
          <w:sz w:val="24"/>
          <w:szCs w:val="24"/>
        </w:rPr>
        <w:t xml:space="preserve"> </w:t>
      </w:r>
      <w:r w:rsidR="003B0A11" w:rsidRPr="00B13CBE">
        <w:rPr>
          <w:rFonts w:ascii="Arial" w:hAnsi="Arial" w:cs="Arial"/>
          <w:color w:val="000000" w:themeColor="text1"/>
          <w:sz w:val="24"/>
          <w:szCs w:val="24"/>
        </w:rPr>
        <w:t>varies</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{"citationID":"IcpfBqfz","properties":{"formattedCitation":"(Andersen and Bollerslev, no date)","plainCitation":"(Andersen and Bollerslev, no date)","dontUpdate":true,"noteIndex":0},"citationItems":[{"id":340,"uris":["http://zotero.org/users/local/XXne8Mwc/items/5CHRY9LX"],"uri":["http://zotero.org/users/local/XXne8Mwc/items/5CHRY9LX"],"itemData":{"id":340,"type":"webpage","abstract":"‘This anthology of classical and recent articles will be very useful to all researchers and students interested in the various econometric aspects of volatility measurement, modeling, forecasting, and their applications in finance. The introductory chapter by Andersen and Bollerslev – well-known top experts in the field – offers the needed guidance to fully benefit from the collected papers.’\n– Luc Bauwens, Université catholique de Louvain, Belgium","language":"en","title":"Volatility","URL":"https://www.e-elgar.com/shop/gbp/volatility-9781788110617.html","author":[{"family":"Andersen","given":"Torben"},{"family":"Bollerslev","given":"Tim"}],"accessed":{"date-parts":[["2021",7,27]]}}}],"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(Andersen and Bollerslev, n</w:t>
      </w:r>
      <w:r w:rsidR="008846C7" w:rsidRPr="00B13CBE">
        <w:rPr>
          <w:rFonts w:ascii="Arial" w:hAnsi="Arial" w:cs="Arial"/>
          <w:color w:val="000000" w:themeColor="text1"/>
          <w:sz w:val="24"/>
          <w:szCs w:val="24"/>
        </w:rPr>
        <w:t>.d.</w:t>
      </w:r>
      <w:r w:rsidR="00305050" w:rsidRPr="00B13CBE">
        <w:rPr>
          <w:rFonts w:ascii="Arial" w:hAnsi="Arial" w:cs="Arial"/>
          <w:color w:val="000000" w:themeColor="text1"/>
          <w:sz w:val="24"/>
          <w:szCs w:val="24"/>
        </w:rPr>
        <w:t>)</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4D3355" w:rsidRPr="00B13CBE">
        <w:rPr>
          <w:rFonts w:ascii="Arial" w:hAnsi="Arial" w:cs="Arial"/>
          <w:color w:val="000000" w:themeColor="text1"/>
          <w:sz w:val="24"/>
          <w:szCs w:val="24"/>
        </w:rPr>
        <w:t xml:space="preserve">According to </w:t>
      </w:r>
      <w:r w:rsidR="004D3355"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{"citationID":"fOLbq9jk","properties":{"formattedCitation":"(Tsay, 2005)","plainCitation":"(Tsay, 2005)","dontUpdate":true,"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004D3355" w:rsidRPr="00B13CBE">
        <w:rPr>
          <w:rFonts w:ascii="Arial" w:hAnsi="Arial" w:cs="Arial"/>
          <w:color w:val="000000" w:themeColor="text1"/>
          <w:sz w:val="24"/>
          <w:szCs w:val="24"/>
        </w:rPr>
        <w:fldChar w:fldCharType="separate"/>
      </w:r>
      <w:r w:rsidR="004D3355" w:rsidRPr="00B13CBE">
        <w:rPr>
          <w:rFonts w:ascii="Arial" w:hAnsi="Arial" w:cs="Arial"/>
          <w:color w:val="000000" w:themeColor="text1"/>
          <w:sz w:val="24"/>
          <w:szCs w:val="24"/>
        </w:rPr>
        <w:t>Tsay</w:t>
      </w:r>
      <w:r w:rsidR="008846C7" w:rsidRPr="00B13CBE">
        <w:rPr>
          <w:rFonts w:ascii="Arial" w:hAnsi="Arial" w:cs="Arial"/>
          <w:color w:val="000000" w:themeColor="text1"/>
          <w:sz w:val="24"/>
          <w:szCs w:val="24"/>
        </w:rPr>
        <w:t xml:space="preserve"> </w:t>
      </w:r>
      <w:r w:rsidR="004D3355" w:rsidRPr="00B13CBE">
        <w:rPr>
          <w:rFonts w:ascii="Arial" w:hAnsi="Arial" w:cs="Arial"/>
          <w:color w:val="000000" w:themeColor="text1"/>
          <w:sz w:val="24"/>
          <w:szCs w:val="24"/>
        </w:rPr>
        <w:t>(2005)</w:t>
      </w:r>
      <w:r w:rsidR="004D3355"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 w</w:t>
      </w:r>
      <w:r w:rsidR="003B0A11" w:rsidRPr="00B13CBE">
        <w:rPr>
          <w:rFonts w:ascii="Arial" w:hAnsi="Arial" w:cs="Arial"/>
          <w:color w:val="000000" w:themeColor="text1"/>
          <w:sz w:val="24"/>
          <w:szCs w:val="24"/>
        </w:rPr>
        <w:t>hen it comes to making investment and risk management decision</w:t>
      </w:r>
      <w:r w:rsidR="004D3355" w:rsidRPr="00B13CBE">
        <w:rPr>
          <w:rFonts w:ascii="Arial" w:hAnsi="Arial" w:cs="Arial"/>
          <w:color w:val="000000" w:themeColor="text1"/>
          <w:sz w:val="24"/>
          <w:szCs w:val="24"/>
        </w:rPr>
        <w:t>s</w:t>
      </w:r>
      <w:r w:rsidR="003B0A11" w:rsidRPr="00B13CBE">
        <w:rPr>
          <w:rFonts w:ascii="Arial" w:hAnsi="Arial" w:cs="Arial"/>
          <w:color w:val="000000" w:themeColor="text1"/>
          <w:sz w:val="24"/>
          <w:szCs w:val="24"/>
        </w:rPr>
        <w:t xml:space="preserve">, </w:t>
      </w:r>
      <w:r w:rsidR="00E81697" w:rsidRPr="00B13CBE">
        <w:rPr>
          <w:rFonts w:ascii="Arial" w:hAnsi="Arial" w:cs="Arial"/>
          <w:color w:val="000000" w:themeColor="text1"/>
          <w:sz w:val="24"/>
          <w:szCs w:val="24"/>
        </w:rPr>
        <w:t xml:space="preserve">there are two key reasons why </w:t>
      </w:r>
      <w:r w:rsidR="003B0A11" w:rsidRPr="00B13CBE">
        <w:rPr>
          <w:rFonts w:ascii="Arial" w:hAnsi="Arial" w:cs="Arial"/>
          <w:color w:val="000000" w:themeColor="text1"/>
          <w:sz w:val="24"/>
          <w:szCs w:val="24"/>
        </w:rPr>
        <w:t>i</w:t>
      </w:r>
      <w:r w:rsidRPr="00B13CBE">
        <w:rPr>
          <w:rFonts w:ascii="Arial" w:hAnsi="Arial" w:cs="Arial"/>
          <w:color w:val="000000" w:themeColor="text1"/>
          <w:sz w:val="24"/>
          <w:szCs w:val="24"/>
        </w:rPr>
        <w:t>nvestors</w:t>
      </w:r>
      <w:r w:rsidR="004D3355"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care more about asset returns than asset prices</w:t>
      </w:r>
      <w:r w:rsidR="007F4ECA" w:rsidRPr="00B13CBE">
        <w:rPr>
          <w:rFonts w:ascii="Arial" w:hAnsi="Arial" w:cs="Arial"/>
          <w:color w:val="000000" w:themeColor="text1"/>
          <w:sz w:val="24"/>
          <w:szCs w:val="24"/>
        </w:rPr>
        <w:t>. First, according to the author,</w:t>
      </w:r>
      <w:r w:rsidRPr="00B13CBE">
        <w:rPr>
          <w:rFonts w:ascii="Arial" w:hAnsi="Arial" w:cs="Arial"/>
          <w:color w:val="000000" w:themeColor="text1"/>
          <w:sz w:val="24"/>
          <w:szCs w:val="24"/>
        </w:rPr>
        <w:t xml:space="preserve"> the return of an asset is a scale-free and complete description of what an investment has to offer</w:t>
      </w:r>
      <w:r w:rsidR="007F4ECA" w:rsidRPr="00B13CBE">
        <w:rPr>
          <w:rFonts w:ascii="Arial" w:hAnsi="Arial" w:cs="Arial"/>
          <w:color w:val="000000" w:themeColor="text1"/>
          <w:sz w:val="24"/>
          <w:szCs w:val="24"/>
        </w:rPr>
        <w:t xml:space="preserve">. Secondly, </w:t>
      </w:r>
      <w:r w:rsidRPr="00B13CBE">
        <w:rPr>
          <w:rFonts w:ascii="Arial" w:hAnsi="Arial" w:cs="Arial"/>
          <w:color w:val="000000" w:themeColor="text1"/>
          <w:sz w:val="24"/>
          <w:szCs w:val="24"/>
        </w:rPr>
        <w:t>asset return series are statistically tractable.</w:t>
      </w:r>
      <w:r w:rsidR="003B0A11" w:rsidRPr="00B13CBE">
        <w:rPr>
          <w:rFonts w:ascii="Arial" w:hAnsi="Arial" w:cs="Arial"/>
          <w:color w:val="000000" w:themeColor="text1"/>
          <w:sz w:val="24"/>
          <w:szCs w:val="24"/>
        </w:rPr>
        <w:t xml:space="preserve"> The former means that a rate of return of 1% for example, means the same thing to all investors irrespective of how much capital they are dealing with. </w:t>
      </w:r>
      <w:r w:rsidRPr="00B13CBE">
        <w:rPr>
          <w:rFonts w:ascii="Arial" w:hAnsi="Arial" w:cs="Arial"/>
          <w:color w:val="000000" w:themeColor="text1"/>
          <w:sz w:val="24"/>
          <w:szCs w:val="24"/>
        </w:rPr>
        <w:t xml:space="preserve"> In everyday life, the volatility of asset returns is synonymous with market risk</w:t>
      </w:r>
      <w:r w:rsidR="000A7374" w:rsidRPr="00B13CBE">
        <w:rPr>
          <w:rFonts w:ascii="Arial" w:hAnsi="Arial" w:cs="Arial"/>
          <w:color w:val="000000" w:themeColor="text1"/>
          <w:sz w:val="24"/>
          <w:szCs w:val="24"/>
        </w:rPr>
        <w:t xml:space="preserve"> even though </w:t>
      </w:r>
      <w:r w:rsidRPr="00B13CBE">
        <w:rPr>
          <w:rFonts w:ascii="Arial" w:hAnsi="Arial" w:cs="Arial"/>
          <w:color w:val="000000" w:themeColor="text1"/>
          <w:sz w:val="24"/>
          <w:szCs w:val="24"/>
        </w:rPr>
        <w:t>the</w:t>
      </w:r>
      <w:r w:rsidR="000A7374" w:rsidRPr="00B13CBE">
        <w:rPr>
          <w:rFonts w:ascii="Arial" w:hAnsi="Arial" w:cs="Arial"/>
          <w:color w:val="000000" w:themeColor="text1"/>
          <w:sz w:val="24"/>
          <w:szCs w:val="24"/>
        </w:rPr>
        <w:t>y</w:t>
      </w:r>
      <w:r w:rsidRPr="00B13CBE">
        <w:rPr>
          <w:rFonts w:ascii="Arial" w:hAnsi="Arial" w:cs="Arial"/>
          <w:color w:val="000000" w:themeColor="text1"/>
          <w:sz w:val="24"/>
          <w:szCs w:val="24"/>
        </w:rPr>
        <w:t xml:space="preserve"> are different things. </w:t>
      </w:r>
      <w:r w:rsidRPr="00B13CBE">
        <w:rPr>
          <w:rFonts w:ascii="Arial" w:hAnsi="Arial" w:cs="Arial"/>
          <w:color w:val="000000" w:themeColor="text1"/>
          <w:sz w:val="24"/>
          <w:szCs w:val="24"/>
        </w:rPr>
        <w:fldChar w:fldCharType="begin"/>
      </w:r>
      <w:r w:rsidR="003B0A11" w:rsidRPr="00B13CBE">
        <w:rPr>
          <w:rFonts w:ascii="Arial" w:hAnsi="Arial" w:cs="Arial"/>
          <w:color w:val="000000" w:themeColor="text1"/>
          <w:sz w:val="24"/>
          <w:szCs w:val="24"/>
        </w:rPr>
        <w:instrText xml:space="preserve"> ADDIN ZOTERO_ITEM CSL_CITATION {"citationID":"t9TRM518","properties":{"formattedCitation":"(Kalotychou &amp; Staikouras, 2009)","plainCitation":"(Kalotychou &amp; Staikouras, 2009)","dontUpdate":true,"noteIndex":0},"citationItems":[{"id":372,"uris":["http://zotero.org/users/local/XXne8Mwc/items/W7E55RDY"],"uri":["http://zotero.org/users/local/XXne8Mwc/items/W7E55RDY"],"itemData":{"id":372,"type":"chapter","abstract":"Volatility as a phenomenon as well as a concept remains central to \nmodern financial markets and academic research. The link between volatility and risk has been to some extent elusive, but stock market volatilityCONTENTS\n1.1 Introduction 3\n1.2 Speculation and Volatility 4\n1.3 Information, Liquidity, and Volatility 7\n1.4 Derivatives Trading and Volatility 10\n1.5 Stylized Facts of Volatility Modeling 13\n1.6 The Rival Volatility Forecasts 17\n1.7 Volatility Trading 18\n1.8 Conclusion 21\nReferences 22is not necessarily a bad thing. In fact, fundamentally justified volatility \ncan form the basis for efficient price discovery, while volatility dependence \nimplies predictability, which is welcomed by traders and medium-term \ninvestors.","container-title":"Stock Market Volatility","ISBN":"978-0-429-16611-2","note":"number-of-pages: 28","publisher":"Chapman and Hall/CRC","title":"■ An Overview of the Issues Surrounding Stock Market Volatility","author":[{"family":"Kalotychou","given":"Elena"},{"family":"Staikouras","given":"Sotiris"}],"issued":{"date-parts":[["2009"]]}}}],"schema":"https://github.com/citation-style-language/schema/raw/master/csl-citation.json"}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Kalotychou </w:t>
      </w:r>
      <w:r w:rsidR="004D3355"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Staikouras (2009)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argue that</w:t>
      </w:r>
      <w:r w:rsidR="000A7374"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when </w:t>
      </w:r>
      <w:r w:rsidR="00E81697" w:rsidRPr="00B13CBE">
        <w:rPr>
          <w:rFonts w:ascii="Arial" w:hAnsi="Arial" w:cs="Arial"/>
          <w:color w:val="000000" w:themeColor="text1"/>
          <w:sz w:val="24"/>
          <w:szCs w:val="24"/>
        </w:rPr>
        <w:t xml:space="preserve">volatility is </w:t>
      </w:r>
      <w:r w:rsidRPr="00B13CBE">
        <w:rPr>
          <w:rFonts w:ascii="Arial" w:hAnsi="Arial" w:cs="Arial"/>
          <w:color w:val="000000" w:themeColor="text1"/>
          <w:sz w:val="24"/>
          <w:szCs w:val="24"/>
        </w:rPr>
        <w:t xml:space="preserve">driven by economic fundamentals, </w:t>
      </w:r>
      <w:r w:rsidR="00E81697" w:rsidRPr="00B13CBE">
        <w:rPr>
          <w:rFonts w:ascii="Arial" w:hAnsi="Arial" w:cs="Arial"/>
          <w:color w:val="000000" w:themeColor="text1"/>
          <w:sz w:val="24"/>
          <w:szCs w:val="24"/>
        </w:rPr>
        <w:t>it leads to</w:t>
      </w:r>
      <w:r w:rsidRPr="00B13CBE">
        <w:rPr>
          <w:rFonts w:ascii="Arial" w:hAnsi="Arial" w:cs="Arial"/>
          <w:color w:val="000000" w:themeColor="text1"/>
          <w:sz w:val="24"/>
          <w:szCs w:val="24"/>
        </w:rPr>
        <w:t xml:space="preserve"> efficient asset price discovery </w:t>
      </w:r>
      <w:r w:rsidR="00E81697" w:rsidRPr="00B13CBE">
        <w:rPr>
          <w:rFonts w:ascii="Arial" w:hAnsi="Arial" w:cs="Arial"/>
          <w:color w:val="000000" w:themeColor="text1"/>
          <w:sz w:val="24"/>
          <w:szCs w:val="24"/>
        </w:rPr>
        <w:t>since</w:t>
      </w:r>
      <w:r w:rsidRPr="00B13CBE">
        <w:rPr>
          <w:rFonts w:ascii="Arial" w:hAnsi="Arial" w:cs="Arial"/>
          <w:color w:val="000000" w:themeColor="text1"/>
          <w:sz w:val="24"/>
          <w:szCs w:val="24"/>
        </w:rPr>
        <w:t xml:space="preserve"> prices fluctuate and move towards equilibrium prices.</w:t>
      </w:r>
      <w:r w:rsidR="003B0A11" w:rsidRPr="00B13CBE">
        <w:rPr>
          <w:rFonts w:ascii="Arial" w:hAnsi="Arial" w:cs="Arial"/>
          <w:color w:val="000000" w:themeColor="text1"/>
          <w:sz w:val="24"/>
          <w:szCs w:val="24"/>
        </w:rPr>
        <w:t xml:space="preserve"> Additionally</w:t>
      </w:r>
      <w:r w:rsidRPr="00B13CBE">
        <w:rPr>
          <w:rFonts w:ascii="Arial" w:hAnsi="Arial" w:cs="Arial"/>
          <w:color w:val="000000" w:themeColor="text1"/>
          <w:sz w:val="24"/>
          <w:szCs w:val="24"/>
        </w:rPr>
        <w:t>, the authors</w:t>
      </w:r>
      <w:r w:rsidR="003B0A11" w:rsidRPr="00B13CBE">
        <w:rPr>
          <w:rFonts w:ascii="Arial" w:hAnsi="Arial" w:cs="Arial"/>
          <w:color w:val="000000" w:themeColor="text1"/>
          <w:sz w:val="24"/>
          <w:szCs w:val="24"/>
        </w:rPr>
        <w:t xml:space="preserve"> argue</w:t>
      </w:r>
      <w:r w:rsidR="004D3355" w:rsidRPr="00B13CBE">
        <w:rPr>
          <w:rFonts w:ascii="Arial" w:hAnsi="Arial" w:cs="Arial"/>
          <w:color w:val="000000" w:themeColor="text1"/>
          <w:sz w:val="24"/>
          <w:szCs w:val="24"/>
        </w:rPr>
        <w:t xml:space="preserve"> that </w:t>
      </w:r>
      <w:r w:rsidR="003B0A11" w:rsidRPr="00B13CBE">
        <w:rPr>
          <w:rFonts w:ascii="Arial" w:hAnsi="Arial" w:cs="Arial"/>
          <w:color w:val="000000" w:themeColor="text1"/>
          <w:sz w:val="24"/>
          <w:szCs w:val="24"/>
        </w:rPr>
        <w:t>it is</w:t>
      </w:r>
      <w:r w:rsidRPr="00B13CBE">
        <w:rPr>
          <w:rFonts w:ascii="Arial" w:hAnsi="Arial" w:cs="Arial"/>
          <w:color w:val="000000" w:themeColor="text1"/>
          <w:sz w:val="24"/>
          <w:szCs w:val="24"/>
        </w:rPr>
        <w:t xml:space="preserve"> the predictability of volatility </w:t>
      </w:r>
      <w:r w:rsidR="000A7374" w:rsidRPr="00B13CBE">
        <w:rPr>
          <w:rFonts w:ascii="Arial" w:hAnsi="Arial" w:cs="Arial"/>
          <w:color w:val="000000" w:themeColor="text1"/>
          <w:sz w:val="24"/>
          <w:szCs w:val="24"/>
        </w:rPr>
        <w:t xml:space="preserve">that </w:t>
      </w:r>
      <w:r w:rsidRPr="00B13CBE">
        <w:rPr>
          <w:rFonts w:ascii="Arial" w:hAnsi="Arial" w:cs="Arial"/>
          <w:color w:val="000000" w:themeColor="text1"/>
          <w:sz w:val="24"/>
          <w:szCs w:val="24"/>
        </w:rPr>
        <w:t xml:space="preserve">enables investors to </w:t>
      </w:r>
      <w:r w:rsidR="00E81697" w:rsidRPr="00B13CBE">
        <w:rPr>
          <w:rFonts w:ascii="Arial" w:hAnsi="Arial" w:cs="Arial"/>
          <w:color w:val="000000" w:themeColor="text1"/>
          <w:sz w:val="24"/>
          <w:szCs w:val="24"/>
        </w:rPr>
        <w:t>make</w:t>
      </w:r>
      <w:r w:rsidRPr="00B13CBE">
        <w:rPr>
          <w:rFonts w:ascii="Arial" w:hAnsi="Arial" w:cs="Arial"/>
          <w:color w:val="000000" w:themeColor="text1"/>
          <w:sz w:val="24"/>
          <w:szCs w:val="24"/>
        </w:rPr>
        <w:t xml:space="preserve"> profit</w:t>
      </w:r>
      <w:r w:rsidR="00E81697" w:rsidRPr="00B13CBE">
        <w:rPr>
          <w:rFonts w:ascii="Arial" w:hAnsi="Arial" w:cs="Arial"/>
          <w:color w:val="000000" w:themeColor="text1"/>
          <w:sz w:val="24"/>
          <w:szCs w:val="24"/>
        </w:rPr>
        <w:t>s</w:t>
      </w:r>
      <w:r w:rsidRPr="00B13CBE">
        <w:rPr>
          <w:rFonts w:ascii="Arial" w:hAnsi="Arial" w:cs="Arial"/>
          <w:color w:val="000000" w:themeColor="text1"/>
          <w:sz w:val="24"/>
          <w:szCs w:val="24"/>
        </w:rPr>
        <w:t>. Speculators, arbitrageurs, portfolio managers</w:t>
      </w:r>
      <w:r w:rsidR="004D3355"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and corporate managers </w:t>
      </w:r>
      <w:r w:rsidR="000A7374" w:rsidRPr="00B13CBE">
        <w:rPr>
          <w:rFonts w:ascii="Arial" w:hAnsi="Arial" w:cs="Arial"/>
          <w:color w:val="000000" w:themeColor="text1"/>
          <w:sz w:val="24"/>
          <w:szCs w:val="24"/>
        </w:rPr>
        <w:t xml:space="preserve">keep track of volatility </w:t>
      </w:r>
      <w:r w:rsidRPr="00B13CBE">
        <w:rPr>
          <w:rFonts w:ascii="Arial" w:hAnsi="Arial" w:cs="Arial"/>
          <w:color w:val="000000" w:themeColor="text1"/>
          <w:sz w:val="24"/>
          <w:szCs w:val="24"/>
        </w:rPr>
        <w:t>and</w:t>
      </w:r>
      <w:r w:rsidR="003B0A11" w:rsidRPr="00B13CBE">
        <w:rPr>
          <w:rFonts w:ascii="Arial" w:hAnsi="Arial" w:cs="Arial"/>
          <w:color w:val="000000" w:themeColor="text1"/>
          <w:sz w:val="24"/>
          <w:szCs w:val="24"/>
        </w:rPr>
        <w:t xml:space="preserve"> also</w:t>
      </w:r>
      <w:r w:rsidRPr="00B13CBE">
        <w:rPr>
          <w:rFonts w:ascii="Arial" w:hAnsi="Arial" w:cs="Arial"/>
          <w:color w:val="000000" w:themeColor="text1"/>
          <w:sz w:val="24"/>
          <w:szCs w:val="24"/>
        </w:rPr>
        <w:t xml:space="preserve"> make volatility forecasts </w:t>
      </w:r>
      <w:r w:rsidR="000A7374" w:rsidRPr="00B13CBE">
        <w:rPr>
          <w:rFonts w:ascii="Arial" w:hAnsi="Arial" w:cs="Arial"/>
          <w:color w:val="000000" w:themeColor="text1"/>
          <w:sz w:val="24"/>
          <w:szCs w:val="24"/>
        </w:rPr>
        <w:t>to</w:t>
      </w:r>
      <w:r w:rsidRPr="00B13CBE">
        <w:rPr>
          <w:rFonts w:ascii="Arial" w:hAnsi="Arial" w:cs="Arial"/>
          <w:color w:val="000000" w:themeColor="text1"/>
          <w:sz w:val="24"/>
          <w:szCs w:val="24"/>
        </w:rPr>
        <w:t xml:space="preserve"> </w:t>
      </w:r>
      <w:r w:rsidR="003B0A11" w:rsidRPr="00B13CBE">
        <w:rPr>
          <w:rFonts w:ascii="Arial" w:hAnsi="Arial" w:cs="Arial"/>
          <w:color w:val="000000" w:themeColor="text1"/>
          <w:sz w:val="24"/>
          <w:szCs w:val="24"/>
        </w:rPr>
        <w:t>inform their</w:t>
      </w:r>
      <w:r w:rsidRPr="00B13CBE">
        <w:rPr>
          <w:rFonts w:ascii="Arial" w:hAnsi="Arial" w:cs="Arial"/>
          <w:color w:val="000000" w:themeColor="text1"/>
          <w:sz w:val="24"/>
          <w:szCs w:val="24"/>
        </w:rPr>
        <w:t xml:space="preserve"> investment and risk management decisions </w:t>
      </w:r>
      <w:r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{"citationID":"m0SS1NfO","properties":{"formattedCitation":"(Kalotychou and Staikouras, 2009)","plainCitation":"(Kalotychou and Staikouras, 2009)","noteIndex":0},"citationItems":[{"id":372,"uris":["http://zotero.org/users/local/XXne8Mwc/items/W7E55RDY"],"uri":["http://zotero.org/users/local/XXne8Mwc/items/W7E55RDY"],"itemData":{"id":372,"type":"chapter","abstract":"Volatility as a phenomenon as well as a concept remains central to \nmodern financial markets and academic research. The link between volatility and risk has been to some extent elusive, but stock market volatilityCONTENTS\n1.1 Introduction 3\n1.2 Speculation and Volatility 4\n1.3 Information, Liquidity, and Volatility 7\n1.4 Derivatives Trading and Volatility 10\n1.5 Stylized Facts of Volatility Modeling 13\n1.6 The Rival Volatility Forecasts 17\n1.7 Volatility Trading 18\n1.8 Conclusion 21\nReferences 22is not necessarily a bad thing. In fact, fundamentally justified volatility \ncan form the basis for efficient price discovery, while volatility dependence \nimplies predictability, which is welcomed by traders and medium-term \ninvestors.","container-title":"Stock Market Volatility","ISBN":"978-0-429-16611-2","note":"number-of-pages: 28","publisher":"Chapman and Hall/CRC","title":"■ An Overview of the Issues Surrounding Stock Market Volatility","author":[{"family":"Kalotychou","given":"Elena"},{"family":"Staikouras","given":"Sotiris"}],"issued":{"date-parts":[["2009"]]}}}],"schema":"https://github.com/citation-style-language/schema/raw/master/csl-citation.json"}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(Kalotychou and Staikouras, 2009)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p>
    <w:p w14:paraId="54F32B6D" w14:textId="77777777" w:rsidR="00E130D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 </w:t>
      </w:r>
      <w:r w:rsidR="007F4ECA" w:rsidRPr="00B13CBE">
        <w:rPr>
          <w:rFonts w:ascii="Arial" w:hAnsi="Arial" w:cs="Arial"/>
          <w:color w:val="000000" w:themeColor="text1"/>
          <w:sz w:val="24"/>
          <w:szCs w:val="24"/>
        </w:rPr>
        <w:t>Variation of a</w:t>
      </w:r>
      <w:r w:rsidRPr="00B13CBE">
        <w:rPr>
          <w:rFonts w:ascii="Arial" w:hAnsi="Arial" w:cs="Arial"/>
          <w:color w:val="000000" w:themeColor="text1"/>
          <w:sz w:val="24"/>
          <w:szCs w:val="24"/>
        </w:rPr>
        <w:t>sset returns</w:t>
      </w:r>
      <w:r w:rsidR="003B0A11"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displays some stylized facts that</w:t>
      </w:r>
      <w:r w:rsidR="000A7374" w:rsidRPr="00B13CBE">
        <w:rPr>
          <w:rFonts w:ascii="Arial" w:hAnsi="Arial" w:cs="Arial"/>
          <w:color w:val="000000" w:themeColor="text1"/>
          <w:sz w:val="24"/>
          <w:szCs w:val="24"/>
        </w:rPr>
        <w:t xml:space="preserve"> increase the complexity involved in </w:t>
      </w:r>
      <w:r w:rsidRPr="00B13CBE">
        <w:rPr>
          <w:rFonts w:ascii="Arial" w:hAnsi="Arial" w:cs="Arial"/>
          <w:color w:val="000000" w:themeColor="text1"/>
          <w:sz w:val="24"/>
          <w:szCs w:val="24"/>
        </w:rPr>
        <w:t xml:space="preserve">modeling them. These stylized facts were summarized by </w:t>
      </w:r>
      <w:r w:rsidR="00693846"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{"citationID":"Uv01kutY","properties":{"formattedCitation":"(Bollerslev et al., 1994)","plainCitation":"(Bollerslev et al., 1994)","dontUpdate":true,"noteIndex":0},"citationItems":[{"id":341,"uris":["http://zotero.org/users/local/XXne8Mwc/items/2NR54SPY"],"uri":["http://zotero.org/users/local/XXne8Mwc/items/2NR54SPY"],"itemData":{"id":341,"type":"chapter","abstract":"This chapter evaluates the most important theoretical developments in ARCH type modeling of time-varying conditional variances. The coverage include the specification of univariate parametric ARCH models, general inference procedures, conditions for stationarity and ergodicity, continuous time methods, aggregation and forecasting of ARCH models, multivariate conditional covariance formulations, and the use of model selection criteria in an ARCH context. Additionally, the chapter contains a discussion of the empirical regularities pertaining to the temporal variation in financial market volatility. Motivated in part by recent results on optimal filtering, a new conditional variance model for better characterizing stock return volatility is also presented.","container-title":"Handbook of Econometrics","language":"en","note":"DOI: 10.1016/S1573-4412(05)80018-2","page":"2959-3038","publisher":"Elsevier","source":"ScienceDirect","title":"Chapter 49 Arch models","URL":"https://www.sciencedirect.com/science/article/pii/S1573441205800182","volume":"4","author":[{"family":"Bollerslev","given":"Tim"},{"family":"Engle","given":"Robert F."},{"family":"Nelson","given":"Daniel B."}],"accessed":{"date-parts":[["2021",7,27]]},"issued":{"date-parts":[["1994",1,1]]}}}],"schema":"https://github.com/citation-style-language/schema/raw/master/csl-citation.json"} </w:instrText>
      </w:r>
      <w:r w:rsidR="00693846" w:rsidRPr="00B13CBE">
        <w:rPr>
          <w:rFonts w:ascii="Arial" w:hAnsi="Arial" w:cs="Arial"/>
          <w:color w:val="000000" w:themeColor="text1"/>
          <w:sz w:val="24"/>
          <w:szCs w:val="24"/>
        </w:rPr>
        <w:fldChar w:fldCharType="separate"/>
      </w:r>
      <w:r w:rsidR="00693846" w:rsidRPr="00B13CBE">
        <w:rPr>
          <w:rFonts w:ascii="Arial" w:hAnsi="Arial" w:cs="Arial"/>
          <w:color w:val="000000" w:themeColor="text1"/>
          <w:sz w:val="24"/>
          <w:szCs w:val="24"/>
        </w:rPr>
        <w:t>Bollerslev et al. (1994)</w:t>
      </w:r>
      <w:r w:rsidR="00693846" w:rsidRPr="00B13CBE">
        <w:rPr>
          <w:rFonts w:ascii="Arial" w:hAnsi="Arial" w:cs="Arial"/>
          <w:color w:val="000000" w:themeColor="text1"/>
          <w:sz w:val="24"/>
          <w:szCs w:val="24"/>
        </w:rPr>
        <w:fldChar w:fldCharType="end"/>
      </w:r>
      <w:r w:rsidR="007F4ECA" w:rsidRPr="00B13CBE">
        <w:rPr>
          <w:rFonts w:ascii="Arial" w:hAnsi="Arial" w:cs="Arial"/>
          <w:color w:val="000000" w:themeColor="text1"/>
          <w:sz w:val="24"/>
          <w:szCs w:val="24"/>
        </w:rPr>
        <w:t xml:space="preserve"> in the following way.</w:t>
      </w:r>
    </w:p>
    <w:p w14:paraId="0FD5DC9A"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Fat tails</w:t>
      </w:r>
    </w:p>
    <w:p w14:paraId="1A7CB7EB"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Asset returns have fatter tails than </w:t>
      </w:r>
      <w:r w:rsidR="00693846" w:rsidRPr="00B13CBE">
        <w:rPr>
          <w:rFonts w:ascii="Arial" w:hAnsi="Arial" w:cs="Arial"/>
          <w:color w:val="000000" w:themeColor="text1"/>
          <w:sz w:val="24"/>
          <w:szCs w:val="24"/>
        </w:rPr>
        <w:t xml:space="preserve">a </w:t>
      </w:r>
      <w:r w:rsidRPr="00B13CBE">
        <w:rPr>
          <w:rFonts w:ascii="Arial" w:hAnsi="Arial" w:cs="Arial"/>
          <w:color w:val="000000" w:themeColor="text1"/>
          <w:sz w:val="24"/>
          <w:szCs w:val="24"/>
        </w:rPr>
        <w:t>normal distribution</w:t>
      </w:r>
      <w:r w:rsidR="000E7533" w:rsidRPr="00B13CBE">
        <w:rPr>
          <w:rFonts w:ascii="Arial" w:hAnsi="Arial" w:cs="Arial"/>
          <w:color w:val="000000" w:themeColor="text1"/>
          <w:sz w:val="24"/>
          <w:szCs w:val="24"/>
        </w:rPr>
        <w:t xml:space="preserve"> meaning </w:t>
      </w:r>
      <w:r w:rsidR="000A7374" w:rsidRPr="00B13CBE">
        <w:rPr>
          <w:rFonts w:ascii="Arial" w:hAnsi="Arial" w:cs="Arial"/>
          <w:color w:val="000000" w:themeColor="text1"/>
          <w:sz w:val="24"/>
          <w:szCs w:val="24"/>
        </w:rPr>
        <w:t>they</w:t>
      </w:r>
      <w:r w:rsidR="00693846" w:rsidRPr="00B13CBE">
        <w:rPr>
          <w:rFonts w:ascii="Arial" w:hAnsi="Arial" w:cs="Arial"/>
          <w:color w:val="000000" w:themeColor="text1"/>
          <w:sz w:val="24"/>
          <w:szCs w:val="24"/>
        </w:rPr>
        <w:t xml:space="preserve"> have more kurtosis than a normal distribution </w:t>
      </w:r>
      <w:r w:rsidR="00693846" w:rsidRPr="00B13CBE">
        <w:rPr>
          <w:rFonts w:ascii="Arial" w:hAnsi="Arial" w:cs="Arial"/>
          <w:color w:val="000000" w:themeColor="text1"/>
          <w:sz w:val="24"/>
          <w:szCs w:val="24"/>
        </w:rPr>
        <w:fldChar w:fldCharType="begin"/>
      </w:r>
      <w:r w:rsidR="00693846" w:rsidRPr="00B13CBE">
        <w:rPr>
          <w:rFonts w:ascii="Arial" w:hAnsi="Arial" w:cs="Arial"/>
          <w:color w:val="000000" w:themeColor="text1"/>
          <w:sz w:val="24"/>
          <w:szCs w:val="24"/>
        </w:rPr>
        <w:instrText xml:space="preserve"> ADDIN ZOTERO_ITEM CSL_CITATION {"citationID":"LmfcnpfW","properties":{"formattedCitation":"(Mandelbrot, 1963)","plainCitation":"(Mandelbrot, 1963)","noteIndex":0},"citationItems":[{"id":399,"uris":["http://zotero.org/users/local/XXne8Mwc/items/HZ34PTCH"],"uri":["http://zotero.org/users/local/XXne8Mwc/items/HZ34PTCH"],"itemData":{"id":399,"type":"chapter","abstract":"The classic model of the temporal variation of speculative prices (Bachelier 1900) assumes that successive changes of a price Z(t) are independent Gaussian random variables. But, even if Z(t) is replaced by log Z(t),this model is contradicted by facts in four ways, at least: (1) Large price changes are much more frequent than predicted by the Gaussian; this reflects the “excessively peaked” (“leptokurtic”) character of price relatives, which has been well-established since at least 1915. (2) Large practically instantaneous price changes occur often, contrary to prediction, and it seems that they must be explained by causal rather than stochastic models. (3) Successive price changes do not “look” independent, but rather exhibit a large number of recognizable patterns, which are, of course, the basis of the technical analysis of stocks. (4) Price records do not look stationary, and statistical expressions such as the sample variance take very different values at different times; this nonstationarity seems to put a precise statistical model of price change out of the question.","container-title":"Fractals and Scaling in Finance: Discontinuity, Concentration, Risk. Selecta Volume E","event-place":"New York, NY","ISBN":"978-1-4757-2763-0","language":"en","note":"DOI: 10.1007/978-1-4757-2763-0_14","page":"371-418","publisher":"Springer","publisher-place":"New York, NY","source":"Springer Link","title":"The variation of certain speculative prices","URL":"https://doi.org/10.1007/978-1-4757-2763-0_14","author":[{"family":"Mandelbrot","given":"Benoit B."}],"editor":[{"family":"Mandelbrot","given":"Benoit B."}],"accessed":{"date-parts":[["2021",7,29]]},"issued":{"date-parts":[["1963"]]}}}],"schema":"https://github.com/citation-style-language/schema/raw/master/csl-citation.json"} </w:instrText>
      </w:r>
      <w:r w:rsidR="00693846"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(Mandelbrot, 1963)</w:t>
      </w:r>
      <w:r w:rsidR="00693846"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Th</w:t>
      </w:r>
      <w:r w:rsidR="000E7533" w:rsidRPr="00B13CBE">
        <w:rPr>
          <w:rFonts w:ascii="Arial" w:hAnsi="Arial" w:cs="Arial"/>
          <w:color w:val="000000" w:themeColor="text1"/>
          <w:sz w:val="24"/>
          <w:szCs w:val="24"/>
        </w:rPr>
        <w:t>erefore,</w:t>
      </w:r>
      <w:r w:rsidRPr="00B13CBE">
        <w:rPr>
          <w:rFonts w:ascii="Arial" w:hAnsi="Arial" w:cs="Arial"/>
          <w:color w:val="000000" w:themeColor="text1"/>
          <w:sz w:val="24"/>
          <w:szCs w:val="24"/>
        </w:rPr>
        <w:t xml:space="preserve"> extreme events have a higher </w:t>
      </w:r>
      <w:r w:rsidR="00693846" w:rsidRPr="00B13CBE">
        <w:rPr>
          <w:rFonts w:ascii="Arial" w:hAnsi="Arial" w:cs="Arial"/>
          <w:color w:val="000000" w:themeColor="text1"/>
          <w:sz w:val="24"/>
          <w:szCs w:val="24"/>
        </w:rPr>
        <w:t>probability</w:t>
      </w:r>
      <w:r w:rsidRPr="00B13CBE">
        <w:rPr>
          <w:rFonts w:ascii="Arial" w:hAnsi="Arial" w:cs="Arial"/>
          <w:color w:val="000000" w:themeColor="text1"/>
          <w:sz w:val="24"/>
          <w:szCs w:val="24"/>
        </w:rPr>
        <w:t xml:space="preserve"> of </w:t>
      </w:r>
      <w:r w:rsidR="00693846" w:rsidRPr="00B13CBE">
        <w:rPr>
          <w:rFonts w:ascii="Arial" w:hAnsi="Arial" w:cs="Arial"/>
          <w:color w:val="000000" w:themeColor="text1"/>
          <w:sz w:val="24"/>
          <w:szCs w:val="24"/>
        </w:rPr>
        <w:t xml:space="preserve">occurring </w:t>
      </w:r>
      <w:r w:rsidRPr="00B13CBE">
        <w:rPr>
          <w:rFonts w:ascii="Arial" w:hAnsi="Arial" w:cs="Arial"/>
          <w:color w:val="000000" w:themeColor="text1"/>
          <w:sz w:val="24"/>
          <w:szCs w:val="24"/>
        </w:rPr>
        <w:t xml:space="preserve">than implied by a normal distribution. </w:t>
      </w:r>
      <w:r w:rsidR="000E7533" w:rsidRPr="00B13CBE">
        <w:rPr>
          <w:rFonts w:ascii="Arial" w:hAnsi="Arial" w:cs="Arial"/>
          <w:color w:val="000000" w:themeColor="text1"/>
          <w:sz w:val="24"/>
          <w:szCs w:val="24"/>
        </w:rPr>
        <w:t>Consequently</w:t>
      </w:r>
      <w:r w:rsidRPr="00B13CBE">
        <w:rPr>
          <w:rFonts w:ascii="Arial" w:hAnsi="Arial" w:cs="Arial"/>
          <w:color w:val="000000" w:themeColor="text1"/>
          <w:sz w:val="24"/>
          <w:szCs w:val="24"/>
        </w:rPr>
        <w:t>, asset returns are typically modeled using thick-tailed distributions such as Pareto and Levy</w:t>
      </w:r>
      <w:r w:rsidR="000E7533" w:rsidRPr="00B13CBE">
        <w:rPr>
          <w:rFonts w:ascii="Arial" w:hAnsi="Arial" w:cs="Arial"/>
          <w:color w:val="000000" w:themeColor="text1"/>
          <w:sz w:val="24"/>
          <w:szCs w:val="24"/>
        </w:rPr>
        <w:t xml:space="preserve"> distribution</w:t>
      </w:r>
      <w:r w:rsidRPr="00B13CBE">
        <w:rPr>
          <w:rFonts w:ascii="Arial" w:hAnsi="Arial" w:cs="Arial"/>
          <w:color w:val="000000" w:themeColor="text1"/>
          <w:sz w:val="24"/>
          <w:szCs w:val="24"/>
        </w:rPr>
        <w:t>.</w:t>
      </w:r>
      <w:r w:rsidR="000E7533" w:rsidRPr="00B13CBE">
        <w:rPr>
          <w:rFonts w:ascii="Arial" w:hAnsi="Arial" w:cs="Arial"/>
          <w:color w:val="000000" w:themeColor="text1"/>
          <w:sz w:val="24"/>
          <w:szCs w:val="24"/>
        </w:rPr>
        <w:t xml:space="preserve"> If the excess kurtosis is small</w:t>
      </w:r>
      <w:r w:rsidRPr="00B13CBE">
        <w:rPr>
          <w:rFonts w:ascii="Arial" w:hAnsi="Arial" w:cs="Arial"/>
          <w:color w:val="000000" w:themeColor="text1"/>
          <w:sz w:val="24"/>
          <w:szCs w:val="24"/>
        </w:rPr>
        <w:t xml:space="preserve">, a student’s t distribution </w:t>
      </w:r>
      <w:r w:rsidR="000E7533" w:rsidRPr="00B13CBE">
        <w:rPr>
          <w:rFonts w:ascii="Arial" w:hAnsi="Arial" w:cs="Arial"/>
          <w:color w:val="000000" w:themeColor="text1"/>
          <w:sz w:val="24"/>
          <w:szCs w:val="24"/>
        </w:rPr>
        <w:t xml:space="preserve">which has </w:t>
      </w:r>
      <w:r w:rsidR="00693846" w:rsidRPr="00B13CBE">
        <w:rPr>
          <w:rFonts w:ascii="Arial" w:hAnsi="Arial" w:cs="Arial"/>
          <w:color w:val="000000" w:themeColor="text1"/>
          <w:sz w:val="24"/>
          <w:szCs w:val="24"/>
        </w:rPr>
        <w:t>slightly thicker tails than a normal distribution</w:t>
      </w:r>
      <w:r w:rsidR="000E7533" w:rsidRPr="00B13CBE">
        <w:rPr>
          <w:rFonts w:ascii="Arial" w:hAnsi="Arial" w:cs="Arial"/>
          <w:color w:val="000000" w:themeColor="text1"/>
          <w:sz w:val="24"/>
          <w:szCs w:val="24"/>
        </w:rPr>
        <w:t xml:space="preserve"> is used</w:t>
      </w:r>
      <w:r w:rsidR="00693846" w:rsidRPr="00B13CBE">
        <w:rPr>
          <w:rFonts w:ascii="Arial" w:hAnsi="Arial" w:cs="Arial"/>
          <w:color w:val="000000" w:themeColor="text1"/>
          <w:sz w:val="24"/>
          <w:szCs w:val="24"/>
        </w:rPr>
        <w:t xml:space="preserve">. </w:t>
      </w:r>
    </w:p>
    <w:p w14:paraId="3DA88026"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Volatility clustering</w:t>
      </w:r>
    </w:p>
    <w:p w14:paraId="0448FA1D"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t xml:space="preserve">Large </w:t>
      </w:r>
      <w:r w:rsidR="00693846" w:rsidRPr="00B13CBE">
        <w:rPr>
          <w:rFonts w:ascii="Arial" w:hAnsi="Arial" w:cs="Arial"/>
          <w:color w:val="000000" w:themeColor="text1"/>
          <w:sz w:val="24"/>
          <w:szCs w:val="24"/>
        </w:rPr>
        <w:t>variations</w:t>
      </w:r>
      <w:r w:rsidRPr="00B13CBE">
        <w:rPr>
          <w:rFonts w:ascii="Arial" w:hAnsi="Arial" w:cs="Arial"/>
          <w:color w:val="000000" w:themeColor="text1"/>
          <w:sz w:val="24"/>
          <w:szCs w:val="24"/>
        </w:rPr>
        <w:t xml:space="preserve"> in asset returns, </w:t>
      </w:r>
      <w:r w:rsidR="000E7533" w:rsidRPr="00B13CBE">
        <w:rPr>
          <w:rFonts w:ascii="Arial" w:hAnsi="Arial" w:cs="Arial"/>
          <w:color w:val="000000" w:themeColor="text1"/>
          <w:sz w:val="24"/>
          <w:szCs w:val="24"/>
        </w:rPr>
        <w:t xml:space="preserve">whether </w:t>
      </w:r>
      <w:r w:rsidRPr="00B13CBE">
        <w:rPr>
          <w:rFonts w:ascii="Arial" w:hAnsi="Arial" w:cs="Arial"/>
          <w:color w:val="000000" w:themeColor="text1"/>
          <w:sz w:val="24"/>
          <w:szCs w:val="24"/>
        </w:rPr>
        <w:t xml:space="preserve">positive or negative, are often accompanied by large </w:t>
      </w:r>
      <w:r w:rsidR="00693846" w:rsidRPr="00B13CBE">
        <w:rPr>
          <w:rFonts w:ascii="Arial" w:hAnsi="Arial" w:cs="Arial"/>
          <w:color w:val="000000" w:themeColor="text1"/>
          <w:sz w:val="24"/>
          <w:szCs w:val="24"/>
        </w:rPr>
        <w:t xml:space="preserve">variations </w:t>
      </w:r>
      <w:r w:rsidRPr="00B13CBE">
        <w:rPr>
          <w:rFonts w:ascii="Arial" w:hAnsi="Arial" w:cs="Arial"/>
          <w:color w:val="000000" w:themeColor="text1"/>
          <w:sz w:val="24"/>
          <w:szCs w:val="24"/>
        </w:rPr>
        <w:t>in either direction</w:t>
      </w:r>
      <w:r w:rsidR="00693846" w:rsidRPr="00B13CBE">
        <w:rPr>
          <w:rFonts w:ascii="Arial" w:hAnsi="Arial" w:cs="Arial"/>
          <w:color w:val="000000" w:themeColor="text1"/>
          <w:sz w:val="24"/>
          <w:szCs w:val="24"/>
        </w:rPr>
        <w:t xml:space="preserve"> </w:t>
      </w:r>
      <w:r w:rsidR="00693846" w:rsidRPr="00B13CBE">
        <w:rPr>
          <w:rFonts w:ascii="Arial" w:hAnsi="Arial" w:cs="Arial"/>
          <w:color w:val="000000" w:themeColor="text1"/>
          <w:sz w:val="24"/>
          <w:szCs w:val="24"/>
        </w:rPr>
        <w:fldChar w:fldCharType="begin"/>
      </w:r>
      <w:r w:rsidR="00693846" w:rsidRPr="00B13CBE">
        <w:rPr>
          <w:rFonts w:ascii="Arial" w:hAnsi="Arial" w:cs="Arial"/>
          <w:color w:val="000000" w:themeColor="text1"/>
          <w:sz w:val="24"/>
          <w:szCs w:val="24"/>
        </w:rPr>
        <w:instrText xml:space="preserve"> ADDIN ZOTERO_ITEM CSL_CITATION {"citationID":"Kcy3GRRB","properties":{"formattedCitation":"(Mandelbrot, 1963)","plainCitation":"(Mandelbrot, 1963)","noteIndex":0},"citationItems":[{"id":399,"uris":["http://zotero.org/users/local/XXne8Mwc/items/HZ34PTCH"],"uri":["http://zotero.org/users/local/XXne8Mwc/items/HZ34PTCH"],"itemData":{"id":399,"type":"chapter","abstract":"The classic model of the temporal variation of speculative prices (Bachelier 1900) assumes that successive changes of a price Z(t) are independent Gaussian random variables. But, even if Z(t) is replaced by log Z(t),this model is contradicted by facts in four ways, at least: (1) Large price changes are much more frequent than predicted by the Gaussian; this reflects the “excessively peaked” (“leptokurtic”) character of price relatives, which has been well-established since at least 1915. (2) Large practically instantaneous price changes occur often, contrary to prediction, and it seems that they must be explained by causal rather than stochastic models. (3) Successive price changes do not “look” independent, but rather exhibit a large number of recognizable patterns, which are, of course, the basis of the technical analysis of stocks. (4) Price records do not look stationary, and statistical expressions such as the sample variance take very different values at different times; this nonstationarity seems to put a precise statistical model of price change out of the question.","container-title":"Fractals and Scaling in Finance: Discontinuity, Concentration, Risk. Selecta Volume E","event-place":"New York, NY","ISBN":"978-1-4757-2763-0","language":"en","note":"DOI: 10.1007/978-1-4757-2763-0_14","page":"371-418","publisher":"Springer","publisher-place":"New York, NY","source":"Springer Link","title":"The variation of certain speculative prices","URL":"https://doi.org/10.1007/978-1-4757-2763-0_14","author":[{"family":"Mandelbrot","given":"Benoit B."}],"editor":[{"family":"Mandelbrot","given":"Benoit B."}],"accessed":{"date-parts":[["2021",7,29]]},"issued":{"date-parts":[["1963"]]}}}],"schema":"https://github.com/citation-style-language/schema/raw/master/csl-citation.json"} </w:instrText>
      </w:r>
      <w:r w:rsidR="00693846"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(Mandelbrot, 1963)</w:t>
      </w:r>
      <w:r w:rsidR="00693846"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This leads to periods of high volatility and low volatility clustered separately. According to </w:t>
      </w:r>
      <w:r w:rsidRPr="00B13CBE">
        <w:rPr>
          <w:rFonts w:ascii="Arial" w:hAnsi="Arial" w:cs="Arial"/>
          <w:color w:val="000000" w:themeColor="text1"/>
          <w:sz w:val="24"/>
          <w:szCs w:val="24"/>
        </w:rPr>
        <w:fldChar w:fldCharType="begin"/>
      </w:r>
      <w:r w:rsidR="003B0A11" w:rsidRPr="00B13CBE">
        <w:rPr>
          <w:rFonts w:ascii="Arial" w:hAnsi="Arial" w:cs="Arial"/>
          <w:color w:val="000000" w:themeColor="text1"/>
          <w:sz w:val="24"/>
          <w:szCs w:val="24"/>
        </w:rPr>
        <w:instrText xml:space="preserve"> ADDIN ZOTERO_ITEM CSL_CITATION {"citationID":"whLybWF8","properties":{"formattedCitation":"(Kalotychou &amp; Staikouras, 2009)","plainCitation":"(Kalotychou &amp; Staikouras, 2009)","dontUpdate":true,"noteIndex":0},"citationItems":[{"id":372,"uris":["http://zotero.org/users/local/XXne8Mwc/items/W7E55RDY"],"uri":["http://zotero.org/users/local/XXne8Mwc/items/W7E55RDY"],"itemData":{"id":372,"type":"chapter","abstract":"Volatility as a phenomenon as well as a concept remains central to \nmodern financial markets and academic research. The link between volatility and risk has been to some extent elusive, but stock market volatilityCONTENTS\n1.1 Introduction 3\n1.2 Speculation and Volatility 4\n1.3 Information, Liquidity, and Volatility 7\n1.4 Derivatives Trading and Volatility 10\n1.5 Stylized Facts of Volatility Modeling 13\n1.6 The Rival Volatility Forecasts 17\n1.7 Volatility Trading 18\n1.8 Conclusion 21\nReferences 22is not necessarily a bad thing. In fact, fundamentally justified volatility \ncan form the basis for efficient price discovery, while volatility dependence \nimplies predictability, which is welcomed by traders and medium-term \ninvestors.","container-title":"Stock Market Volatility","ISBN":"978-0-429-16611-2","note":"number-of-pages: 28","publisher":"Chapman and Hall/CRC","title":"■ An Overview of the Issues Surrounding Stock Market Volatility","author":[{"family":"Kalotychou","given":"Elena"},{"family":"Staikouras","given":"Sotiris"}],"issued":{"date-parts":[["2009"]]}}}],"schema":"https://github.com/citation-style-language/schema/raw/master/csl-citation.json"}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Kalotychou </w:t>
      </w:r>
      <w:r w:rsidR="004D3355"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Staikouras (2009)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volatility clustering is caused by </w:t>
      </w:r>
      <w:r w:rsidR="004D3355" w:rsidRPr="00B13CBE">
        <w:rPr>
          <w:rFonts w:ascii="Arial" w:hAnsi="Arial" w:cs="Arial"/>
          <w:color w:val="000000" w:themeColor="text1"/>
          <w:sz w:val="24"/>
          <w:szCs w:val="24"/>
        </w:rPr>
        <w:t xml:space="preserve">variation in the </w:t>
      </w:r>
      <w:r w:rsidRPr="00B13CBE">
        <w:rPr>
          <w:rFonts w:ascii="Arial" w:hAnsi="Arial" w:cs="Arial"/>
          <w:color w:val="000000" w:themeColor="text1"/>
          <w:sz w:val="24"/>
          <w:szCs w:val="24"/>
        </w:rPr>
        <w:t>quality a</w:t>
      </w:r>
      <w:r w:rsidR="004D3355" w:rsidRPr="00B13CBE">
        <w:rPr>
          <w:rFonts w:ascii="Arial" w:hAnsi="Arial" w:cs="Arial"/>
          <w:color w:val="000000" w:themeColor="text1"/>
          <w:sz w:val="24"/>
          <w:szCs w:val="24"/>
        </w:rPr>
        <w:t>nd</w:t>
      </w:r>
      <w:r w:rsidRPr="00B13CBE">
        <w:rPr>
          <w:rFonts w:ascii="Arial" w:hAnsi="Arial" w:cs="Arial"/>
          <w:color w:val="000000" w:themeColor="text1"/>
          <w:sz w:val="24"/>
          <w:szCs w:val="24"/>
        </w:rPr>
        <w:t xml:space="preserve"> rate of information arrival and processing.</w:t>
      </w:r>
      <w:r w:rsidR="00693846" w:rsidRPr="00B13CBE">
        <w:rPr>
          <w:rFonts w:ascii="Arial" w:hAnsi="Arial" w:cs="Arial"/>
          <w:color w:val="000000" w:themeColor="text1"/>
          <w:sz w:val="24"/>
          <w:szCs w:val="24"/>
        </w:rPr>
        <w:t xml:space="preserve"> Volatility clustering is evidence that volatility is nonconstant</w:t>
      </w:r>
      <w:r w:rsidR="0003779D" w:rsidRPr="00B13CBE">
        <w:rPr>
          <w:rFonts w:ascii="Arial" w:hAnsi="Arial" w:cs="Arial"/>
          <w:color w:val="000000" w:themeColor="text1"/>
          <w:sz w:val="24"/>
          <w:szCs w:val="24"/>
        </w:rPr>
        <w:t xml:space="preserve">, </w:t>
      </w:r>
      <w:r w:rsidR="00E567C7" w:rsidRPr="00B13CBE">
        <w:rPr>
          <w:rFonts w:ascii="Arial" w:hAnsi="Arial" w:cs="Arial"/>
          <w:color w:val="000000" w:themeColor="text1"/>
          <w:sz w:val="24"/>
          <w:szCs w:val="24"/>
        </w:rPr>
        <w:t>also called heteroscedasticity.</w:t>
      </w:r>
    </w:p>
    <w:p w14:paraId="7EAFE8DF"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Leverage effects</w:t>
      </w:r>
    </w:p>
    <w:p w14:paraId="3D85B803"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t xml:space="preserve">Large negative </w:t>
      </w:r>
      <w:r w:rsidR="00E567C7" w:rsidRPr="00B13CBE">
        <w:rPr>
          <w:rFonts w:ascii="Arial" w:hAnsi="Arial" w:cs="Arial"/>
          <w:color w:val="000000" w:themeColor="text1"/>
          <w:sz w:val="24"/>
          <w:szCs w:val="24"/>
        </w:rPr>
        <w:t xml:space="preserve">variations </w:t>
      </w:r>
      <w:r w:rsidRPr="00B13CBE">
        <w:rPr>
          <w:rFonts w:ascii="Arial" w:hAnsi="Arial" w:cs="Arial"/>
          <w:color w:val="000000" w:themeColor="text1"/>
          <w:sz w:val="24"/>
          <w:szCs w:val="24"/>
        </w:rPr>
        <w:t xml:space="preserve">in asset returns tend to be followed by large negative </w:t>
      </w:r>
      <w:r w:rsidR="00E567C7" w:rsidRPr="00B13CBE">
        <w:rPr>
          <w:rFonts w:ascii="Arial" w:hAnsi="Arial" w:cs="Arial"/>
          <w:color w:val="000000" w:themeColor="text1"/>
          <w:sz w:val="24"/>
          <w:szCs w:val="24"/>
        </w:rPr>
        <w:t>variation</w:t>
      </w:r>
      <w:r w:rsidRPr="00B13CBE">
        <w:rPr>
          <w:rFonts w:ascii="Arial" w:hAnsi="Arial" w:cs="Arial"/>
          <w:color w:val="000000" w:themeColor="text1"/>
          <w:sz w:val="24"/>
          <w:szCs w:val="24"/>
        </w:rPr>
        <w:t xml:space="preserve">s more than large positive </w:t>
      </w:r>
      <w:r w:rsidR="00E567C7" w:rsidRPr="00B13CBE">
        <w:rPr>
          <w:rFonts w:ascii="Arial" w:hAnsi="Arial" w:cs="Arial"/>
          <w:color w:val="000000" w:themeColor="text1"/>
          <w:sz w:val="24"/>
          <w:szCs w:val="24"/>
        </w:rPr>
        <w:t>variations</w:t>
      </w:r>
      <w:r w:rsidRPr="00B13CBE">
        <w:rPr>
          <w:rFonts w:ascii="Arial" w:hAnsi="Arial" w:cs="Arial"/>
          <w:color w:val="000000" w:themeColor="text1"/>
          <w:sz w:val="24"/>
          <w:szCs w:val="24"/>
        </w:rPr>
        <w:t xml:space="preserve"> in asset returns tend to be followed by large positive</w:t>
      </w:r>
      <w:r w:rsidR="00E567C7" w:rsidRPr="00B13CBE">
        <w:rPr>
          <w:rFonts w:ascii="Arial" w:hAnsi="Arial" w:cs="Arial"/>
          <w:color w:val="000000" w:themeColor="text1"/>
          <w:sz w:val="24"/>
          <w:szCs w:val="24"/>
        </w:rPr>
        <w:t xml:space="preserve"> variations</w:t>
      </w:r>
      <w:r w:rsidR="004D3355" w:rsidRPr="00B13CBE">
        <w:rPr>
          <w:rFonts w:ascii="Arial" w:hAnsi="Arial" w:cs="Arial"/>
          <w:color w:val="000000" w:themeColor="text1"/>
          <w:sz w:val="24"/>
          <w:szCs w:val="24"/>
        </w:rPr>
        <w:t xml:space="preserve"> </w:t>
      </w:r>
      <w:r w:rsidR="00E567C7" w:rsidRPr="00B13CBE">
        <w:rPr>
          <w:rFonts w:ascii="Arial" w:hAnsi="Arial" w:cs="Arial"/>
          <w:color w:val="000000" w:themeColor="text1"/>
          <w:sz w:val="24"/>
          <w:szCs w:val="24"/>
        </w:rPr>
        <w:fldChar w:fldCharType="begin"/>
      </w:r>
      <w:r w:rsidR="00E567C7" w:rsidRPr="00B13CBE">
        <w:rPr>
          <w:rFonts w:ascii="Arial" w:hAnsi="Arial" w:cs="Arial"/>
          <w:color w:val="000000" w:themeColor="text1"/>
          <w:sz w:val="24"/>
          <w:szCs w:val="24"/>
        </w:rPr>
        <w:instrText xml:space="preserve"> ADDIN ZOTERO_ITEM CSL_CITATION {"citationID":"YVYZghKM","properties":{"formattedCitation":"(Black, 1976)","plainCitation":"(Black, 1976)","noteIndex":0},"citationItems":[{"id":401,"uris":["http://zotero.org/users/local/XXne8Mwc/items/Z7ZPHBIH"],"uri":["http://zotero.org/users/local/XXne8Mwc/items/Z7ZPHBIH"],"itemData":{"id":401,"type":"article-journal","container-title":"1976 Proceedings of the American Statistical Association Bisiness and Economic Statistics Section","note":"publisher: American Statistical Association","source":"CiNii","title":"Studies of stock market volatility changes","URL":"https://ci.nii.ac.jp/naid/10018822970/","author":[{"family":"Black","given":"F."}],"accessed":{"date-parts":[["2021",7,29]]},"issued":{"date-parts":[["1976"]]}}}],"schema":"https://github.com/citation-style-language/schema/raw/master/csl-citation.json"} </w:instrText>
      </w:r>
      <w:r w:rsidR="00E567C7"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(Black, 1976)</w:t>
      </w:r>
      <w:r w:rsidR="00E567C7"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T</w:t>
      </w:r>
      <w:r w:rsidR="00E567C7" w:rsidRPr="00B13CBE">
        <w:rPr>
          <w:rFonts w:ascii="Arial" w:hAnsi="Arial" w:cs="Arial"/>
          <w:color w:val="000000" w:themeColor="text1"/>
          <w:sz w:val="24"/>
          <w:szCs w:val="24"/>
        </w:rPr>
        <w:t xml:space="preserve">his means that </w:t>
      </w:r>
      <w:r w:rsidRPr="00B13CBE">
        <w:rPr>
          <w:rFonts w:ascii="Arial" w:hAnsi="Arial" w:cs="Arial"/>
          <w:color w:val="000000" w:themeColor="text1"/>
          <w:sz w:val="24"/>
          <w:szCs w:val="24"/>
        </w:rPr>
        <w:t>price movements are negatively correlated with volatility</w:t>
      </w:r>
      <w:r w:rsidR="00E567C7" w:rsidRPr="00B13CBE">
        <w:rPr>
          <w:rFonts w:ascii="Arial" w:hAnsi="Arial" w:cs="Arial"/>
          <w:color w:val="000000" w:themeColor="text1"/>
          <w:sz w:val="24"/>
          <w:szCs w:val="24"/>
        </w:rPr>
        <w:t xml:space="preserve"> </w:t>
      </w:r>
      <w:r w:rsidR="000A7374" w:rsidRPr="00B13CBE">
        <w:rPr>
          <w:rFonts w:ascii="Arial" w:hAnsi="Arial" w:cs="Arial"/>
          <w:color w:val="000000" w:themeColor="text1"/>
          <w:sz w:val="24"/>
          <w:szCs w:val="24"/>
        </w:rPr>
        <w:t>implying</w:t>
      </w:r>
      <w:r w:rsidRPr="00B13CBE">
        <w:rPr>
          <w:rFonts w:ascii="Arial" w:hAnsi="Arial" w:cs="Arial"/>
          <w:color w:val="000000" w:themeColor="text1"/>
          <w:sz w:val="24"/>
          <w:szCs w:val="24"/>
        </w:rPr>
        <w:t xml:space="preserve"> that asset returns are asymmetric</w:t>
      </w:r>
      <w:r w:rsidR="00E567C7" w:rsidRPr="00B13CBE">
        <w:rPr>
          <w:rFonts w:ascii="Arial" w:hAnsi="Arial" w:cs="Arial"/>
          <w:color w:val="000000" w:themeColor="text1"/>
          <w:sz w:val="24"/>
          <w:szCs w:val="24"/>
        </w:rPr>
        <w:t>.</w:t>
      </w:r>
      <w:r w:rsidR="000A7374" w:rsidRPr="00B13CBE">
        <w:rPr>
          <w:rFonts w:ascii="Arial" w:hAnsi="Arial" w:cs="Arial"/>
          <w:color w:val="000000" w:themeColor="text1"/>
          <w:sz w:val="24"/>
          <w:szCs w:val="24"/>
        </w:rPr>
        <w:t xml:space="preserve"> This </w:t>
      </w:r>
      <w:r w:rsidR="004D3355" w:rsidRPr="00B13CBE">
        <w:rPr>
          <w:rFonts w:ascii="Arial" w:hAnsi="Arial" w:cs="Arial"/>
          <w:color w:val="000000" w:themeColor="text1"/>
          <w:sz w:val="24"/>
          <w:szCs w:val="24"/>
        </w:rPr>
        <w:t>makes</w:t>
      </w:r>
      <w:r w:rsidR="000A7374" w:rsidRPr="00B13CBE">
        <w:rPr>
          <w:rFonts w:ascii="Arial" w:hAnsi="Arial" w:cs="Arial"/>
          <w:color w:val="000000" w:themeColor="text1"/>
          <w:sz w:val="24"/>
          <w:szCs w:val="24"/>
        </w:rPr>
        <w:t xml:space="preserve"> </w:t>
      </w:r>
      <w:r w:rsidR="004D3355" w:rsidRPr="00B13CBE">
        <w:rPr>
          <w:rFonts w:ascii="Arial" w:hAnsi="Arial" w:cs="Arial"/>
          <w:color w:val="000000" w:themeColor="text1"/>
          <w:sz w:val="24"/>
          <w:szCs w:val="24"/>
        </w:rPr>
        <w:t xml:space="preserve">it inappropriate to </w:t>
      </w:r>
      <w:r w:rsidR="000A7374" w:rsidRPr="00B13CBE">
        <w:rPr>
          <w:rFonts w:ascii="Arial" w:hAnsi="Arial" w:cs="Arial"/>
          <w:color w:val="000000" w:themeColor="text1"/>
          <w:sz w:val="24"/>
          <w:szCs w:val="24"/>
        </w:rPr>
        <w:t xml:space="preserve">use </w:t>
      </w:r>
      <w:r w:rsidR="004D3355" w:rsidRPr="00B13CBE">
        <w:rPr>
          <w:rFonts w:ascii="Arial" w:hAnsi="Arial" w:cs="Arial"/>
          <w:color w:val="000000" w:themeColor="text1"/>
          <w:sz w:val="24"/>
          <w:szCs w:val="24"/>
        </w:rPr>
        <w:t>the</w:t>
      </w:r>
      <w:r w:rsidR="000A7374" w:rsidRPr="00B13CBE">
        <w:rPr>
          <w:rFonts w:ascii="Arial" w:hAnsi="Arial" w:cs="Arial"/>
          <w:color w:val="000000" w:themeColor="text1"/>
          <w:sz w:val="24"/>
          <w:szCs w:val="24"/>
        </w:rPr>
        <w:t xml:space="preserve"> normal distributio</w:t>
      </w:r>
      <w:r w:rsidR="00A20B5A" w:rsidRPr="00B13CBE">
        <w:rPr>
          <w:rFonts w:ascii="Arial" w:hAnsi="Arial" w:cs="Arial"/>
          <w:color w:val="000000" w:themeColor="text1"/>
          <w:sz w:val="24"/>
          <w:szCs w:val="24"/>
        </w:rPr>
        <w:t>n</w:t>
      </w:r>
      <w:r w:rsidR="000A7374" w:rsidRPr="00B13CBE">
        <w:rPr>
          <w:rFonts w:ascii="Arial" w:hAnsi="Arial" w:cs="Arial"/>
          <w:color w:val="000000" w:themeColor="text1"/>
          <w:sz w:val="24"/>
          <w:szCs w:val="24"/>
        </w:rPr>
        <w:t>, or any other symmetric distribution such as student’s t distribution, to model the distribution of asset returns.</w:t>
      </w:r>
      <w:r w:rsidR="004D3355" w:rsidRPr="00B13CBE">
        <w:rPr>
          <w:rFonts w:ascii="Arial" w:hAnsi="Arial" w:cs="Arial"/>
          <w:color w:val="000000" w:themeColor="text1"/>
          <w:sz w:val="24"/>
          <w:szCs w:val="24"/>
        </w:rPr>
        <w:t xml:space="preserve"> According to </w:t>
      </w:r>
      <w:r w:rsidR="004D3355"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{"citationID":"3FxSipqa","properties":{"formattedCitation":"(A\\uc0\\u239{}t-Sahalia, Fan and Li, 2013)","plainCitation":"(Aït-Sahalia, Fan and Li, 2013)","dontUpdate":true,"noteIndex":0},"citationItems":[{"id":405,"uris":["http://zotero.org/users/local/XXne8Mwc/items/LARS2745"],"uri":["http://zotero.org/users/local/XXne8Mwc/items/LARS2745"],"itemData":{"id":405,"type":"article-journal","abstract":"The leverage effect refers to the generally negative correlation between an asset return and its changes of volatility. A natural estimate consists in using the empirical correlation between the daily returns and the changes of daily volatility estimated from high frequency data. The puzzle lies in the fact that such an intuitively natural estimate yields nearly zero correlation for most assets tested, despite the many economic reasons for expecting the estimated correlation to be negative. To better understand the sources of the puzzle, we analyze the different asymptotic biases that are involved in high frequency estimation of the leverage effect, including biases due to discretization errors, to smoothing errors in estimating spot volatilities, to estimation error, and to market microstructure noise. This decomposition enables us to propose novel bias correction methods for estimating the leverage effect.","container-title":"Journal of Financial Economics","DOI":"10.1016/j.jfineco.2013.02.018","ISSN":"0304-405X","issue":"1","journalAbbreviation":"Journal of Financial Economics","language":"en","page":"224-249","source":"ScienceDirect","title":"The leverage effect puzzle: Disentangling sources of bias at high frequency","title-short":"The leverage effect puzzle","volume":"109","author":[{"family":"Aït-Sahalia","given":"Yacine"},{"family":"Fan","given":"Jianqing"},{"family":"Li","given":"Yingying"}],"issued":{"date-parts":[["2013",7,1]]}}}],"schema":"https://github.com/citation-style-language/schema/raw/master/csl-citation.json"} </w:instrText>
      </w:r>
      <w:r w:rsidR="004D3355" w:rsidRPr="00B13CBE">
        <w:rPr>
          <w:rFonts w:ascii="Arial" w:hAnsi="Arial" w:cs="Arial"/>
          <w:color w:val="000000" w:themeColor="text1"/>
          <w:sz w:val="24"/>
          <w:szCs w:val="24"/>
        </w:rPr>
        <w:fldChar w:fldCharType="separate"/>
      </w:r>
      <w:r w:rsidR="004D3355" w:rsidRPr="00B13CBE">
        <w:rPr>
          <w:rFonts w:ascii="Arial" w:hAnsi="Arial" w:cs="Arial"/>
          <w:color w:val="000000" w:themeColor="text1"/>
          <w:sz w:val="24"/>
          <w:szCs w:val="24"/>
        </w:rPr>
        <w:t>Aït-Sahalia, Fan</w:t>
      </w:r>
      <w:r w:rsidR="008846C7" w:rsidRPr="00B13CBE">
        <w:rPr>
          <w:rFonts w:ascii="Arial" w:hAnsi="Arial" w:cs="Arial"/>
          <w:color w:val="000000" w:themeColor="text1"/>
          <w:sz w:val="24"/>
          <w:szCs w:val="24"/>
        </w:rPr>
        <w:t>,</w:t>
      </w:r>
      <w:r w:rsidR="004D3355" w:rsidRPr="00B13CBE">
        <w:rPr>
          <w:rFonts w:ascii="Arial" w:hAnsi="Arial" w:cs="Arial"/>
          <w:color w:val="000000" w:themeColor="text1"/>
          <w:sz w:val="24"/>
          <w:szCs w:val="24"/>
        </w:rPr>
        <w:t xml:space="preserve"> and Li (2013)</w:t>
      </w:r>
      <w:r w:rsidR="004D3355"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 t</w:t>
      </w:r>
      <w:r w:rsidR="00183A0B" w:rsidRPr="00B13CBE">
        <w:rPr>
          <w:rFonts w:ascii="Arial" w:hAnsi="Arial" w:cs="Arial"/>
          <w:color w:val="000000" w:themeColor="text1"/>
          <w:sz w:val="24"/>
          <w:szCs w:val="24"/>
        </w:rPr>
        <w:t xml:space="preserve">he ‘leverage’ in the name </w:t>
      </w:r>
      <w:r w:rsidR="00183A0B" w:rsidRPr="00B13CBE">
        <w:rPr>
          <w:rFonts w:ascii="Arial" w:hAnsi="Arial" w:cs="Arial"/>
          <w:color w:val="000000" w:themeColor="text1"/>
          <w:sz w:val="24"/>
          <w:szCs w:val="24"/>
        </w:rPr>
        <w:lastRenderedPageBreak/>
        <w:t>of this phenomenon</w:t>
      </w:r>
      <w:r w:rsidR="004D3355" w:rsidRPr="00B13CBE">
        <w:rPr>
          <w:rFonts w:ascii="Arial" w:hAnsi="Arial" w:cs="Arial"/>
          <w:color w:val="000000" w:themeColor="text1"/>
          <w:sz w:val="24"/>
          <w:szCs w:val="24"/>
        </w:rPr>
        <w:t xml:space="preserve"> </w:t>
      </w:r>
      <w:r w:rsidR="00183A0B" w:rsidRPr="00B13CBE">
        <w:rPr>
          <w:rFonts w:ascii="Arial" w:hAnsi="Arial" w:cs="Arial"/>
          <w:color w:val="000000" w:themeColor="text1"/>
          <w:sz w:val="24"/>
          <w:szCs w:val="24"/>
        </w:rPr>
        <w:t xml:space="preserve">is based on one plausible explanation of its existence. As an asset’s price declines, the value of associated debt relative to equity increases making it more leveraged. </w:t>
      </w:r>
      <w:r w:rsidR="004D3355" w:rsidRPr="00B13CBE">
        <w:rPr>
          <w:rFonts w:ascii="Arial" w:hAnsi="Arial" w:cs="Arial"/>
          <w:color w:val="000000" w:themeColor="text1"/>
          <w:sz w:val="24"/>
          <w:szCs w:val="24"/>
        </w:rPr>
        <w:t>However</w:t>
      </w:r>
      <w:r w:rsidR="00183A0B" w:rsidRPr="00B13CBE">
        <w:rPr>
          <w:rFonts w:ascii="Arial" w:hAnsi="Arial" w:cs="Arial"/>
          <w:color w:val="000000" w:themeColor="text1"/>
          <w:sz w:val="24"/>
          <w:szCs w:val="24"/>
        </w:rPr>
        <w:t xml:space="preserve">, </w:t>
      </w:r>
      <w:r w:rsidR="004D3355" w:rsidRPr="00B13CBE">
        <w:rPr>
          <w:rFonts w:ascii="Arial" w:hAnsi="Arial" w:cs="Arial"/>
          <w:color w:val="000000" w:themeColor="text1"/>
          <w:sz w:val="24"/>
          <w:szCs w:val="24"/>
        </w:rPr>
        <w:t xml:space="preserve">this </w:t>
      </w:r>
      <w:r w:rsidR="00183A0B" w:rsidRPr="00B13CBE">
        <w:rPr>
          <w:rFonts w:ascii="Arial" w:hAnsi="Arial" w:cs="Arial"/>
          <w:color w:val="000000" w:themeColor="text1"/>
          <w:sz w:val="24"/>
          <w:szCs w:val="24"/>
        </w:rPr>
        <w:t xml:space="preserve">is not the only explanation </w:t>
      </w:r>
      <w:r w:rsidR="004D3355" w:rsidRPr="00B13CBE">
        <w:rPr>
          <w:rFonts w:ascii="Arial" w:hAnsi="Arial" w:cs="Arial"/>
          <w:color w:val="000000" w:themeColor="text1"/>
          <w:sz w:val="24"/>
          <w:szCs w:val="24"/>
        </w:rPr>
        <w:t>for</w:t>
      </w:r>
      <w:r w:rsidR="00183A0B" w:rsidRPr="00B13CBE">
        <w:rPr>
          <w:rFonts w:ascii="Arial" w:hAnsi="Arial" w:cs="Arial"/>
          <w:color w:val="000000" w:themeColor="text1"/>
          <w:sz w:val="24"/>
          <w:szCs w:val="24"/>
        </w:rPr>
        <w:t xml:space="preserve"> the</w:t>
      </w:r>
      <w:r w:rsidR="004D3355" w:rsidRPr="00B13CBE">
        <w:rPr>
          <w:rFonts w:ascii="Arial" w:hAnsi="Arial" w:cs="Arial"/>
          <w:color w:val="000000" w:themeColor="text1"/>
          <w:sz w:val="24"/>
          <w:szCs w:val="24"/>
        </w:rPr>
        <w:t xml:space="preserve"> leverage</w:t>
      </w:r>
      <w:r w:rsidR="00183A0B" w:rsidRPr="00B13CBE">
        <w:rPr>
          <w:rFonts w:ascii="Arial" w:hAnsi="Arial" w:cs="Arial"/>
          <w:color w:val="000000" w:themeColor="text1"/>
          <w:sz w:val="24"/>
          <w:szCs w:val="24"/>
        </w:rPr>
        <w:t xml:space="preserve"> effect</w:t>
      </w:r>
      <w:r w:rsidR="004D3355" w:rsidRPr="00B13CBE">
        <w:rPr>
          <w:rFonts w:ascii="Arial" w:hAnsi="Arial" w:cs="Arial"/>
          <w:color w:val="000000" w:themeColor="text1"/>
          <w:sz w:val="24"/>
          <w:szCs w:val="24"/>
        </w:rPr>
        <w:t xml:space="preserve"> </w:t>
      </w:r>
      <w:r w:rsidR="00680556"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{"citationID":"AMqWLZjM","properties":{"formattedCitation":"(A\\uc0\\u239{}t-Sahalia, Fan and Li, 2013)","plainCitation":"(Aït-Sahalia, Fan and Li, 2013)","dontUpdate":true,"noteIndex":0},"citationItems":[{"id":405,"uris":["http://zotero.org/users/local/XXne8Mwc/items/LARS2745"],"uri":["http://zotero.org/users/local/XXne8Mwc/items/LARS2745"],"itemData":{"id":405,"type":"article-journal","abstract":"The leverage effect refers to the generally negative correlation between an asset return and its changes of volatility. A natural estimate consists in using the empirical correlation between the daily returns and the changes of daily volatility estimated from high frequency data. The puzzle lies in the fact that such an intuitively natural estimate yields nearly zero correlation for most assets tested, despite the many economic reasons for expecting the estimated correlation to be negative. To better understand the sources of the puzzle, we analyze the different asymptotic biases that are involved in high frequency estimation of the leverage effect, including biases due to discretization errors, to smoothing errors in estimating spot volatilities, to estimation error, and to market microstructure noise. This decomposition enables us to propose novel bias correction methods for estimating the leverage effect.","container-title":"Journal of Financial Economics","DOI":"10.1016/j.jfineco.2013.02.018","ISSN":"0304-405X","issue":"1","journalAbbreviation":"Journal of Financial Economics","language":"en","page":"224-249","source":"ScienceDirect","title":"The leverage effect puzzle: Disentangling sources of bias at high frequency","title-short":"The leverage effect puzzle","volume":"109","author":[{"family":"Aït-Sahalia","given":"Yacine"},{"family":"Fan","given":"Jianqing"},{"family":"Li","given":"Yingying"}],"issued":{"date-parts":[["2013",7,1]]}}}],"schema":"https://github.com/citation-style-language/schema/raw/master/csl-citation.json"} </w:instrText>
      </w:r>
      <w:r w:rsidR="00680556"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(Aït-Sahalia, Fan</w:t>
      </w:r>
      <w:r w:rsidR="008846C7"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Li, 2013)</w:t>
      </w:r>
      <w:r w:rsidR="00680556" w:rsidRPr="00B13CBE">
        <w:rPr>
          <w:rFonts w:ascii="Arial" w:hAnsi="Arial" w:cs="Arial"/>
          <w:color w:val="000000" w:themeColor="text1"/>
          <w:sz w:val="24"/>
          <w:szCs w:val="24"/>
        </w:rPr>
        <w:fldChar w:fldCharType="end"/>
      </w:r>
      <w:r w:rsidR="004D3355" w:rsidRPr="00B13CBE">
        <w:rPr>
          <w:rFonts w:ascii="Arial" w:hAnsi="Arial" w:cs="Arial"/>
          <w:color w:val="000000" w:themeColor="text1"/>
          <w:sz w:val="24"/>
          <w:szCs w:val="24"/>
        </w:rPr>
        <w:t>.</w:t>
      </w:r>
    </w:p>
    <w:p w14:paraId="4DF10E73"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Long memory</w:t>
      </w:r>
    </w:p>
    <w:p w14:paraId="33C436EE"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t xml:space="preserve">Asset return volatility is highly persistent, especially in high-frequency data </w:t>
      </w:r>
      <w:r w:rsidR="00183A0B"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{"citationID":"aknHDDL4","properties":{"formattedCitation":"(Poterba and Summers, 1986)","plainCitation":"(Poterba and Summers, 1986)","noteIndex":0},"citationItems":[{"id":408,"uris":["http://zotero.org/users/local/XXne8Mwc/items/RUCISPJ7"],"uri":["http://zotero.org/users/local/XXne8Mwc/items/RUCISPJ7"],"itemData":{"id":408,"type":"article-journal","container-title":"The American Economic Review","ISSN":"0002-8282","issue":"5","note":"publisher: American Economic Association","page":"1142-1151","source":"JSTOR","title":"The Persistence of Volatility and Stock Market Fluctuations","volume":"76","author":[{"family":"Poterba","given":"James M."},{"family":"Summers","given":"Lawrence H."}],"issued":{"date-parts":[["1986"]]}}}],"schema":"https://github.com/citation-style-language/schema/raw/master/csl-citation.json"} </w:instrText>
      </w:r>
      <w:r w:rsidR="00183A0B"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(Poterba and Summers, 1986)</w:t>
      </w:r>
      <w:r w:rsidR="00183A0B" w:rsidRPr="00B13CBE">
        <w:rPr>
          <w:rFonts w:ascii="Arial" w:hAnsi="Arial" w:cs="Arial"/>
          <w:color w:val="000000" w:themeColor="text1"/>
          <w:sz w:val="24"/>
          <w:szCs w:val="24"/>
        </w:rPr>
        <w:fldChar w:fldCharType="end"/>
      </w:r>
      <w:r w:rsidR="00183A0B" w:rsidRPr="00B13CBE">
        <w:rPr>
          <w:rFonts w:ascii="Arial" w:hAnsi="Arial" w:cs="Arial"/>
          <w:color w:val="000000" w:themeColor="text1"/>
          <w:sz w:val="24"/>
          <w:szCs w:val="24"/>
        </w:rPr>
        <w:t xml:space="preserve">. The impact of a shock </w:t>
      </w:r>
      <w:r w:rsidR="00F161FA" w:rsidRPr="00B13CBE">
        <w:rPr>
          <w:rFonts w:ascii="Arial" w:hAnsi="Arial" w:cs="Arial"/>
          <w:color w:val="000000" w:themeColor="text1"/>
          <w:sz w:val="24"/>
          <w:szCs w:val="24"/>
        </w:rPr>
        <w:t>on the variation of</w:t>
      </w:r>
      <w:r w:rsidR="00680556" w:rsidRPr="00B13CBE">
        <w:rPr>
          <w:rFonts w:ascii="Arial" w:hAnsi="Arial" w:cs="Arial"/>
          <w:color w:val="000000" w:themeColor="text1"/>
          <w:sz w:val="24"/>
          <w:szCs w:val="24"/>
        </w:rPr>
        <w:t xml:space="preserve"> </w:t>
      </w:r>
      <w:r w:rsidR="00F161FA" w:rsidRPr="00B13CBE">
        <w:rPr>
          <w:rFonts w:ascii="Arial" w:hAnsi="Arial" w:cs="Arial"/>
          <w:color w:val="000000" w:themeColor="text1"/>
          <w:sz w:val="24"/>
          <w:szCs w:val="24"/>
        </w:rPr>
        <w:t>asset return dissipate</w:t>
      </w:r>
      <w:r w:rsidR="00680556" w:rsidRPr="00B13CBE">
        <w:rPr>
          <w:rFonts w:ascii="Arial" w:hAnsi="Arial" w:cs="Arial"/>
          <w:color w:val="000000" w:themeColor="text1"/>
          <w:sz w:val="24"/>
          <w:szCs w:val="24"/>
        </w:rPr>
        <w:t>s</w:t>
      </w:r>
      <w:r w:rsidR="00F161FA" w:rsidRPr="00B13CBE">
        <w:rPr>
          <w:rFonts w:ascii="Arial" w:hAnsi="Arial" w:cs="Arial"/>
          <w:color w:val="000000" w:themeColor="text1"/>
          <w:sz w:val="24"/>
          <w:szCs w:val="24"/>
        </w:rPr>
        <w:t xml:space="preserve"> slowly over time therefore current volatility is influence</w:t>
      </w:r>
      <w:r w:rsidR="00680556" w:rsidRPr="00B13CBE">
        <w:rPr>
          <w:rFonts w:ascii="Arial" w:hAnsi="Arial" w:cs="Arial"/>
          <w:color w:val="000000" w:themeColor="text1"/>
          <w:sz w:val="24"/>
          <w:szCs w:val="24"/>
        </w:rPr>
        <w:t>d</w:t>
      </w:r>
      <w:r w:rsidR="00F161FA" w:rsidRPr="00B13CBE">
        <w:rPr>
          <w:rFonts w:ascii="Arial" w:hAnsi="Arial" w:cs="Arial"/>
          <w:color w:val="000000" w:themeColor="text1"/>
          <w:sz w:val="24"/>
          <w:szCs w:val="24"/>
        </w:rPr>
        <w:t xml:space="preserve">, however minimally, by long gone shocks. </w:t>
      </w:r>
    </w:p>
    <w:p w14:paraId="097C2A8C"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Co-movements in volatility</w:t>
      </w:r>
    </w:p>
    <w:p w14:paraId="7B78E76A"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t>Empirical evidence shows that co-movements in volatility occur in assets with</w:t>
      </w:r>
      <w:r w:rsidR="00680556" w:rsidRPr="00B13CBE">
        <w:rPr>
          <w:rFonts w:ascii="Arial" w:hAnsi="Arial" w:cs="Arial"/>
          <w:color w:val="000000" w:themeColor="text1"/>
          <w:sz w:val="24"/>
          <w:szCs w:val="24"/>
        </w:rPr>
        <w:t>in</w:t>
      </w:r>
      <w:r w:rsidRPr="00B13CBE">
        <w:rPr>
          <w:rFonts w:ascii="Arial" w:hAnsi="Arial" w:cs="Arial"/>
          <w:color w:val="000000" w:themeColor="text1"/>
          <w:sz w:val="24"/>
          <w:szCs w:val="24"/>
        </w:rPr>
        <w:t xml:space="preserve"> a market as well as across different markets. </w:t>
      </w:r>
      <w:r w:rsidR="009B5AC1" w:rsidRPr="00B13CBE">
        <w:rPr>
          <w:rFonts w:ascii="Arial" w:hAnsi="Arial" w:cs="Arial"/>
          <w:color w:val="000000" w:themeColor="text1"/>
          <w:sz w:val="24"/>
          <w:szCs w:val="24"/>
        </w:rPr>
        <w:t>S</w:t>
      </w:r>
      <w:r w:rsidRPr="00B13CBE">
        <w:rPr>
          <w:rFonts w:ascii="Arial" w:hAnsi="Arial" w:cs="Arial"/>
          <w:color w:val="000000" w:themeColor="text1"/>
          <w:sz w:val="24"/>
          <w:szCs w:val="24"/>
        </w:rPr>
        <w:t>tudies show that there exist international linkages among stock markets across the world</w:t>
      </w:r>
      <w:r w:rsidR="005E0109"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{"citationID":"nI9ekphu","properties":{"formattedCitation":"(King and Wadhwani, 1990; Engle and Susmel, 1993; Susmel and Engle, 1994; Ramchand and Susmel, 1998)","plainCitation":"(King and Wadhwani, 1990; Engle and Susmel, 1993; Susmel and Engle, 1994; Ramchand and Susmel, 1998)","dontUpdate":true,"noteIndex":0},"citationItems":[{"id":380,"uris":["http://zotero.org/users/local/XXne8Mwc/items/XITRJCDP"],"uri":["http://zotero.org/users/local/XXne8Mwc/items/XITRJCDP"],"itemData":{"id":380,"type":"article-journal","abstract":"In this article, we take advantage of the time-varying structure of stock-returns variances to investigate whether two international stock markets share the same volatility process. We use a test recently developed by Engle and Kozicki. This test is also used to assess the validity of a one-factor autoregressive conditional heteroscedasticity model. We find that some international stock markets have the same time-varying volatility.","container-title":"Journal of Business &amp; Economic Statistics","DOI":"10.2307/1391368","ISSN":"0735-0015","issue":"2","note":"publisher: [American Statistical Association, Taylor &amp; Francis, Ltd.]","page":"167-176","source":"JSTOR","title":"Common Volatility in International Equity Markets","volume":"11","author":[{"family":"Engle","given":"Robert F."},{"family":"Susmel","given":"Raul"}],"issued":{"date-parts":[["1993"]]}}},{"id":113,"uris":["http://zotero.org/users/local/XXne8Mwc/items/M92QDX42"],"uri":["http://zotero.org/users/local/XXne8Mwc/items/M92QDX42"],"itemData":{"id":113,"type":"article-journal","abstract":"This article investigates why, in October 1987, almost all stock markets fell together despite widely differing economic circumstances. We construct a model in which \"contagion\" between markets occurs as a result of attempts by rational agents to infer information from price changes in other markets. This provides a channel through which a \"mistake\" in one market can be transmitted to other markets. We offer supporting evidence for contagion effects using two different sources of data.","container-title":"The Review of Financial Studies","ISSN":"0893-9454","issue":"1","note":"publisher: [Oxford University Press, Society for Financial Studies]","page":"5-33","source":"JSTOR","title":"Transmission of Volatility between Stock Markets","volume":"3","author":[{"family":"King","given":"Mervyn A."},{"family":"Wadhwani","given":"Sushil"}],"issued":{"date-parts":[["1990"]]}}},{"id":369,"uris":["http://zotero.org/users/local/XXne8Mwc/items/LETNV6TF"],"uri":["http://zotero.org/users/local/XXne8Mwc/items/LETNV6TF"],"itemData":{"id":369,"type":"article-journal","abstract":"Several papers have documented the fact that correlations across major stock markets are higher when markets are more volatile—this is done by comparing unconditional correlations over sub-periods or by using conditional correlations that are time varying. In this paper we examine the relation between correlation and variance in a conditional time and state varying framework. We use a switching ARCH (SWARCH) technique that does two things. One, it enables us to model variance as state varying. Two, a bivariate SWARCH model allows us to go from conditional variance to state varying covariances and correlations and hence test for differences in correlations across variance regimes. We find that the correlations between the U.S. and other world markets are on average 2 to 3.5 times higher when the U.S. market is in a high variance state as compared to a low variance regime. We also find that, compared to a GARCH framework, the portfolio choices resulting from our SWARCH model lead to higher Sharpe ratios.","container-title":"Journal of Empirical Finance","DOI":"10.1016/S0927-5398(98)00003-6","ISSN":"0927-5398","issue":"4","journalAbbreviation":"Journal of Empirical Finance","language":"en","page":"397-416","source":"ScienceDirect","title":"Volatility and cross correlation across major stock markets","volume":"5","author":[{"family":"Ramchand","given":"Latha"},{"family":"Susmel","given":"Raul"}],"issued":{"date-parts":[["1998",10,1]]}}},{"id":379,"uris":["http://zotero.org/users/local/XXne8Mwc/items/4YI2ZIYT"],"uri":["http://zotero.org/users/local/XXne8Mwc/items/4YI2ZIYT"],"itemData":{"id":379,"type":"article-journal","abstract":"This paper examines the timing of mean and volatility spillovers between New York and London equity markets. Using an ARCH model it is found that the evidence of volatility spillovers between these markets is minimal and have a duration which lasts only an hour or so. The most significant effects surround the movement of share prices around the New York opening, but these results are not strong. Several new ARCH models are estimated including an asymmetric or ‘leverage’ model and a non-linear model which allows big shocks to have a different impact from small shocks.","container-title":"Journal of International Money and Finance","DOI":"10.1016/0261-5606(94)90021-3","ISSN":"0261-5606","issue":"1","journalAbbreviation":"Journal of International Money and Finance","language":"en","page":"3-25","source":"ScienceDirect","title":"Hourly volatility spillovers between international equity markets","volume":"13","author":[{"family":"Susmel","given":"Raul"},{"family":"Engle","given":"Robert F."}],"issued":{"date-parts":[["1994",2,1]]}}}],"schema":"https://github.com/citation-style-language/schema/raw/master/csl-citation.json"}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w:t>
      </w:r>
      <w:r w:rsidR="00383C0A" w:rsidRPr="00B13CBE">
        <w:rPr>
          <w:rFonts w:ascii="Arial" w:hAnsi="Arial" w:cs="Arial"/>
          <w:color w:val="000000" w:themeColor="text1"/>
          <w:sz w:val="24"/>
          <w:szCs w:val="24"/>
        </w:rPr>
        <w:t xml:space="preserve">Engle and Susmel, 1993; </w:t>
      </w:r>
      <w:r w:rsidR="00305050" w:rsidRPr="00B13CBE">
        <w:rPr>
          <w:rFonts w:ascii="Arial" w:hAnsi="Arial" w:cs="Arial"/>
          <w:color w:val="000000" w:themeColor="text1"/>
          <w:sz w:val="24"/>
          <w:szCs w:val="24"/>
        </w:rPr>
        <w:t>King and Wadhwani, 1990;</w:t>
      </w:r>
      <w:r w:rsidR="00383C0A" w:rsidRPr="00B13CBE">
        <w:rPr>
          <w:rFonts w:ascii="Arial" w:hAnsi="Arial" w:cs="Arial"/>
          <w:color w:val="000000" w:themeColor="text1"/>
          <w:sz w:val="24"/>
          <w:szCs w:val="24"/>
        </w:rPr>
        <w:t xml:space="preserve"> Ramchand and Susmel, 1998;</w:t>
      </w:r>
      <w:r w:rsidR="00305050" w:rsidRPr="00B13CBE">
        <w:rPr>
          <w:rFonts w:ascii="Arial" w:hAnsi="Arial" w:cs="Arial"/>
          <w:color w:val="000000" w:themeColor="text1"/>
          <w:sz w:val="24"/>
          <w:szCs w:val="24"/>
        </w:rPr>
        <w:t xml:space="preserve"> Susmel and Engle, 1994)</w:t>
      </w:r>
      <w:r w:rsidRPr="00B13CBE">
        <w:rPr>
          <w:rFonts w:ascii="Arial" w:hAnsi="Arial" w:cs="Arial"/>
          <w:color w:val="000000" w:themeColor="text1"/>
          <w:sz w:val="24"/>
          <w:szCs w:val="24"/>
        </w:rPr>
        <w:fldChar w:fldCharType="end"/>
      </w:r>
      <w:r w:rsidR="005E0109" w:rsidRPr="00B13CBE">
        <w:rPr>
          <w:rFonts w:ascii="Arial" w:hAnsi="Arial" w:cs="Arial"/>
          <w:color w:val="000000" w:themeColor="text1"/>
          <w:sz w:val="24"/>
          <w:szCs w:val="24"/>
        </w:rPr>
        <w:t>.</w:t>
      </w:r>
    </w:p>
    <w:p w14:paraId="6852D44D"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Macroeconomic variables and volatility</w:t>
      </w:r>
    </w:p>
    <w:p w14:paraId="4CA7857C"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t xml:space="preserve">Stock market volatility has been observed to rise sharply during recessions and financial crises and drop during periods of expansion. Despite this, </w:t>
      </w:r>
      <w:r w:rsidR="009B5AC1" w:rsidRPr="00B13CBE">
        <w:rPr>
          <w:rFonts w:ascii="Arial" w:hAnsi="Arial" w:cs="Arial"/>
          <w:color w:val="000000" w:themeColor="text1"/>
          <w:sz w:val="24"/>
          <w:szCs w:val="24"/>
        </w:rPr>
        <w:t xml:space="preserve">evidence suggests </w:t>
      </w:r>
      <w:r w:rsidRPr="00B13CBE">
        <w:rPr>
          <w:rFonts w:ascii="Arial" w:hAnsi="Arial" w:cs="Arial"/>
          <w:color w:val="000000" w:themeColor="text1"/>
          <w:sz w:val="24"/>
          <w:szCs w:val="24"/>
        </w:rPr>
        <w:t xml:space="preserve">that asset return volatility has a low correlation with macroeconomic variables </w:t>
      </w:r>
      <w:r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{"citationID":"sfIlYrtN","properties":{"formattedCitation":"(Schwert and Seguin, 1990)","plainCitation":"(Schwert and Seguin, 1990)","noteIndex":0},"citationItems":[{"id":382,"uris":["http://zotero.org/users/local/XXne8Mwc/items/96PLWN7I"],"uri":["http://zotero.org/users/local/XXne8Mwc/items/96PLWN7I"],"itemData":{"id":382,"type":"article-journal","abstract":"We use predictions of aggregate stock return variances from daily data to estimate time-varying monthly variances for size-ranked portfolios. We propose and estimate a single factor model of heteroskedasticity for portfolio returns. This model implies time-varying betas. Implications of heteroskedasticity and time-varying betas for tests of the capital asset pricing model (CAPM) are then documented. Accounting for heteroskedasticity increases the evidence that risk-adjusted returns are related to firm size. We also estimate a constant correlation model. Portfolio volatilities predicted by this model are similar to those predicted by more complex multivariate generalized-autoregressive-conditional-heteroskedasticity (GARCH) procedures.","container-title":"The Journal of Finance","DOI":"10.1111/j.1540-6261.1990.tb02430.x","ISSN":"1540-6261","issue":"4","language":"en","note":"_eprint: https://onlinelibrary.wiley.com/doi/pdf/10.1111/j.1540-6261.1990.tb02430.x","page":"1129-1155","source":"Wiley Online Library","title":"Heteroskedasticity in Stock Returns","volume":"45","author":[{"family":"Schwert","given":"G. William"},{"family":"Seguin","given":"Paul J."}],"issued":{"date-parts":[["1990"]]}}}],"schema":"https://github.com/citation-style-language/schema/raw/master/csl-citation.json"}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(Schwert and Seguin, 1990)</w:t>
      </w:r>
      <w:r w:rsidRPr="00B13CBE">
        <w:rPr>
          <w:rFonts w:ascii="Arial" w:hAnsi="Arial" w:cs="Arial"/>
          <w:color w:val="000000" w:themeColor="text1"/>
          <w:sz w:val="24"/>
          <w:szCs w:val="24"/>
        </w:rPr>
        <w:fldChar w:fldCharType="end"/>
      </w:r>
      <w:r w:rsidR="005E0109" w:rsidRPr="00B13CBE">
        <w:rPr>
          <w:rFonts w:ascii="Arial" w:hAnsi="Arial" w:cs="Arial"/>
          <w:color w:val="000000" w:themeColor="text1"/>
          <w:sz w:val="24"/>
          <w:szCs w:val="24"/>
        </w:rPr>
        <w:t>.</w:t>
      </w:r>
    </w:p>
    <w:p w14:paraId="51B8B505" w14:textId="77777777" w:rsidR="00E130DF" w:rsidRPr="00B13CBE" w:rsidRDefault="00C4772C" w:rsidP="00781A3B">
      <w:pPr>
        <w:pStyle w:val="ListParagraph"/>
        <w:numPr>
          <w:ilvl w:val="0"/>
          <w:numId w:val="19"/>
        </w:num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LeBaron effect</w:t>
      </w:r>
    </w:p>
    <w:p w14:paraId="36056BE4" w14:textId="77777777" w:rsidR="00E130DF" w:rsidRPr="00B13CBE" w:rsidRDefault="00C4772C" w:rsidP="00781A3B">
      <w:pPr>
        <w:pStyle w:val="ListParagraph"/>
        <w:spacing w:line="360" w:lineRule="auto"/>
        <w:ind w:left="1080"/>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3B0A11" w:rsidRPr="00B13CBE">
        <w:rPr>
          <w:rFonts w:ascii="Arial" w:hAnsi="Arial" w:cs="Arial"/>
          <w:color w:val="000000" w:themeColor="text1"/>
          <w:sz w:val="24"/>
          <w:szCs w:val="24"/>
        </w:rPr>
        <w:instrText xml:space="preserve"> ADDIN ZOTERO_ITEM CSL_CITATION {"citationID":"d7ir9I5G","properties":{"formattedCitation":"(LeBaron, 1992)","plainCitation":"(LeBaron, 1992)","dontUpdate":true,"noteIndex":0},"citationItems":[{"id":385,"uris":["http://zotero.org/users/local/XXne8Mwc/items/FQC45D95"],"uri":["http://zotero.org/users/local/XXne8Mwc/items/FQC45D95"],"itemData":{"id":385,"type":"article-journal","abstract":"This article explores the relation between serial correlation and volatility for several different stock return series at daily and weekly frequencies. It is found that serial correlations are changing over time and are related to stock return volatility. An extension to the GARCH model is proposed and estimated, revealing parameters consistent with other findings in this article.","container-title":"The Journal of Business","ISSN":"0021-9398","issue":"2","note":"publisher: University of Chicago Press","page":"199-219","source":"JSTOR","title":"Some Relations Between Volatility and Serial Correlations in Stock Market Returns","volume":"65","author":[{"family":"LeBaron","given":"Blake"}],"issued":{"date-parts":[["1992"]]}}}],"schema":"https://github.com/citation-style-language/schema/raw/master/csl-citation.json"}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LeBaron (1992)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was the first to show that there exists an inverse relationship between volatility and serial correlations. </w:t>
      </w:r>
      <w:r w:rsidR="00F161FA" w:rsidRPr="00B13CBE">
        <w:rPr>
          <w:rFonts w:ascii="Arial" w:hAnsi="Arial" w:cs="Arial"/>
          <w:color w:val="000000" w:themeColor="text1"/>
          <w:sz w:val="24"/>
          <w:szCs w:val="24"/>
        </w:rPr>
        <w:t xml:space="preserve">The Efficient </w:t>
      </w:r>
      <w:r w:rsidR="00F161FA" w:rsidRPr="00B13CBE">
        <w:rPr>
          <w:rFonts w:ascii="Arial" w:hAnsi="Arial" w:cs="Arial"/>
          <w:color w:val="000000" w:themeColor="text1"/>
          <w:sz w:val="24"/>
          <w:szCs w:val="24"/>
        </w:rPr>
        <w:lastRenderedPageBreak/>
        <w:t xml:space="preserve">Market Hypothesis (EMH) states that asset prices, at any given time, </w:t>
      </w:r>
      <w:r w:rsidR="009B5AC1" w:rsidRPr="00B13CBE">
        <w:rPr>
          <w:rFonts w:ascii="Arial" w:hAnsi="Arial" w:cs="Arial"/>
          <w:color w:val="000000" w:themeColor="text1"/>
          <w:sz w:val="24"/>
          <w:szCs w:val="24"/>
        </w:rPr>
        <w:t>reflect</w:t>
      </w:r>
      <w:r w:rsidR="00F161FA" w:rsidRPr="00B13CBE">
        <w:rPr>
          <w:rFonts w:ascii="Arial" w:hAnsi="Arial" w:cs="Arial"/>
          <w:color w:val="000000" w:themeColor="text1"/>
          <w:sz w:val="24"/>
          <w:szCs w:val="24"/>
        </w:rPr>
        <w:t xml:space="preserve"> all available information. The existence of serial correlation disproves EMH because it </w:t>
      </w:r>
      <w:r w:rsidR="009B5AC1" w:rsidRPr="00B13CBE">
        <w:rPr>
          <w:rFonts w:ascii="Arial" w:hAnsi="Arial" w:cs="Arial"/>
          <w:color w:val="000000" w:themeColor="text1"/>
          <w:sz w:val="24"/>
          <w:szCs w:val="24"/>
        </w:rPr>
        <w:t>gives</w:t>
      </w:r>
      <w:r w:rsidR="00F161FA" w:rsidRPr="00B13CBE">
        <w:rPr>
          <w:rFonts w:ascii="Arial" w:hAnsi="Arial" w:cs="Arial"/>
          <w:color w:val="000000" w:themeColor="text1"/>
          <w:sz w:val="24"/>
          <w:szCs w:val="24"/>
        </w:rPr>
        <w:t xml:space="preserve"> evidence that past information affects </w:t>
      </w:r>
      <w:r w:rsidR="00E53343" w:rsidRPr="00B13CBE">
        <w:rPr>
          <w:rFonts w:ascii="Arial" w:hAnsi="Arial" w:cs="Arial"/>
          <w:color w:val="000000" w:themeColor="text1"/>
          <w:sz w:val="24"/>
          <w:szCs w:val="24"/>
        </w:rPr>
        <w:t>current asset prices.</w:t>
      </w:r>
      <w:r w:rsidR="009B5AC1" w:rsidRPr="00B13CBE">
        <w:rPr>
          <w:rFonts w:ascii="Arial" w:hAnsi="Arial" w:cs="Arial"/>
          <w:color w:val="000000" w:themeColor="text1"/>
          <w:sz w:val="24"/>
          <w:szCs w:val="24"/>
        </w:rPr>
        <w:t xml:space="preserve"> T</w:t>
      </w:r>
      <w:r w:rsidR="00E53343" w:rsidRPr="00B13CBE">
        <w:rPr>
          <w:rFonts w:ascii="Arial" w:hAnsi="Arial" w:cs="Arial"/>
          <w:color w:val="000000" w:themeColor="text1"/>
          <w:sz w:val="24"/>
          <w:szCs w:val="24"/>
        </w:rPr>
        <w:t>he LeBaron effect shows</w:t>
      </w:r>
      <w:r w:rsidR="009B5AC1" w:rsidRPr="00B13CBE">
        <w:rPr>
          <w:rFonts w:ascii="Arial" w:hAnsi="Arial" w:cs="Arial"/>
          <w:color w:val="000000" w:themeColor="text1"/>
          <w:sz w:val="24"/>
          <w:szCs w:val="24"/>
        </w:rPr>
        <w:t xml:space="preserve"> </w:t>
      </w:r>
      <w:r w:rsidR="00E53343" w:rsidRPr="00B13CBE">
        <w:rPr>
          <w:rFonts w:ascii="Arial" w:hAnsi="Arial" w:cs="Arial"/>
          <w:color w:val="000000" w:themeColor="text1"/>
          <w:sz w:val="24"/>
          <w:szCs w:val="24"/>
        </w:rPr>
        <w:t>that when volatility is high, past information has less of an effect on current asset prices and when volatility is low, past information has more of an effect on current asset prices.</w:t>
      </w:r>
    </w:p>
    <w:p w14:paraId="0908D2F6" w14:textId="77777777" w:rsidR="00E130DF"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The existence of</w:t>
      </w:r>
      <w:r w:rsidR="00C32DCA" w:rsidRPr="00B13CBE">
        <w:rPr>
          <w:rFonts w:ascii="Arial" w:hAnsi="Arial" w:cs="Arial"/>
          <w:color w:val="000000" w:themeColor="text1"/>
          <w:sz w:val="24"/>
          <w:szCs w:val="24"/>
        </w:rPr>
        <w:t xml:space="preserve"> these stylized facts </w:t>
      </w:r>
      <w:r w:rsidRPr="00B13CBE">
        <w:rPr>
          <w:rFonts w:ascii="Arial" w:hAnsi="Arial" w:cs="Arial"/>
          <w:color w:val="000000" w:themeColor="text1"/>
          <w:sz w:val="24"/>
          <w:szCs w:val="24"/>
        </w:rPr>
        <w:t xml:space="preserve">created the </w:t>
      </w:r>
      <w:r w:rsidR="00C32DCA" w:rsidRPr="00B13CBE">
        <w:rPr>
          <w:rFonts w:ascii="Arial" w:hAnsi="Arial" w:cs="Arial"/>
          <w:color w:val="000000" w:themeColor="text1"/>
          <w:sz w:val="24"/>
          <w:szCs w:val="24"/>
        </w:rPr>
        <w:t xml:space="preserve">need for volatility models that </w:t>
      </w:r>
      <w:r w:rsidRPr="00B13CBE">
        <w:rPr>
          <w:rFonts w:ascii="Arial" w:hAnsi="Arial" w:cs="Arial"/>
          <w:color w:val="000000" w:themeColor="text1"/>
          <w:sz w:val="24"/>
          <w:szCs w:val="24"/>
        </w:rPr>
        <w:t>are more appropriate for modeling volatility by recognizing one or more of these characteristics of asset returns</w:t>
      </w:r>
      <w:r w:rsidR="0003779D" w:rsidRPr="00B13CBE">
        <w:rPr>
          <w:rFonts w:ascii="Arial" w:hAnsi="Arial" w:cs="Arial"/>
          <w:color w:val="000000" w:themeColor="text1"/>
          <w:sz w:val="24"/>
          <w:szCs w:val="24"/>
        </w:rPr>
        <w:t>.</w:t>
      </w:r>
      <w:r w:rsidR="00C32DCA" w:rsidRPr="00B13CBE">
        <w:rPr>
          <w:rFonts w:ascii="Arial" w:hAnsi="Arial" w:cs="Arial"/>
          <w:color w:val="000000" w:themeColor="text1"/>
          <w:sz w:val="24"/>
          <w:szCs w:val="24"/>
        </w:rPr>
        <w:t xml:space="preserve"> The Generalized Autoregressive Heteroscedasticity (GARCH) family of models</w:t>
      </w:r>
      <w:r w:rsidR="0003779D" w:rsidRPr="00B13CBE">
        <w:rPr>
          <w:rFonts w:ascii="Arial" w:hAnsi="Arial" w:cs="Arial"/>
          <w:color w:val="000000" w:themeColor="text1"/>
          <w:sz w:val="24"/>
          <w:szCs w:val="24"/>
        </w:rPr>
        <w:t xml:space="preserve"> w</w:t>
      </w:r>
      <w:r w:rsidR="00C32DCA" w:rsidRPr="00B13CBE">
        <w:rPr>
          <w:rFonts w:ascii="Arial" w:hAnsi="Arial" w:cs="Arial"/>
          <w:color w:val="000000" w:themeColor="text1"/>
          <w:sz w:val="24"/>
          <w:szCs w:val="24"/>
        </w:rPr>
        <w:t xml:space="preserve">as developed to model nonconstant variances (conditional heteroscedasticity) </w:t>
      </w:r>
      <w:r w:rsidRPr="00B13CBE">
        <w:rPr>
          <w:rFonts w:ascii="Arial" w:hAnsi="Arial" w:cs="Arial"/>
          <w:color w:val="000000" w:themeColor="text1"/>
          <w:sz w:val="24"/>
          <w:szCs w:val="24"/>
        </w:rPr>
        <w:t>in the form of</w:t>
      </w:r>
      <w:r w:rsidR="00C32DCA" w:rsidRPr="00B13CBE">
        <w:rPr>
          <w:rFonts w:ascii="Arial" w:hAnsi="Arial" w:cs="Arial"/>
          <w:color w:val="000000" w:themeColor="text1"/>
          <w:sz w:val="24"/>
          <w:szCs w:val="24"/>
        </w:rPr>
        <w:t xml:space="preserve"> volatility clustering in addition to one or more stylized facts. For example, to model volatility co-movements or spillovers, one needs a multivariate model for the variance-covariance structure of asset returns such as Multivariate GARCH models (MVGARCH) models.</w:t>
      </w:r>
    </w:p>
    <w:p w14:paraId="3291E5A2" w14:textId="77777777" w:rsidR="00383C0A" w:rsidRPr="00B13CBE" w:rsidRDefault="00C4772C" w:rsidP="00781A3B">
      <w:pPr>
        <w:pStyle w:val="Heading2"/>
      </w:pPr>
      <w:bookmarkStart w:id="9" w:name="_Toc82603353"/>
      <w:r w:rsidRPr="00B13CBE">
        <w:t>Asset</w:t>
      </w:r>
      <w:r w:rsidR="00BE0B98" w:rsidRPr="00B13CBE">
        <w:t xml:space="preserve"> A</w:t>
      </w:r>
      <w:r w:rsidRPr="00B13CBE">
        <w:t>llocation</w:t>
      </w:r>
      <w:r w:rsidR="00BE0B98" w:rsidRPr="00B13CBE">
        <w:t xml:space="preserve"> </w:t>
      </w:r>
      <w:r w:rsidR="008E428F" w:rsidRPr="00B13CBE">
        <w:t xml:space="preserve">and </w:t>
      </w:r>
      <w:r w:rsidR="00BE0B98" w:rsidRPr="00B13CBE">
        <w:t>R</w:t>
      </w:r>
      <w:r w:rsidRPr="00B13CBE">
        <w:t>isk</w:t>
      </w:r>
      <w:r w:rsidR="00BE0B98" w:rsidRPr="00B13CBE">
        <w:t xml:space="preserve"> M</w:t>
      </w:r>
      <w:r w:rsidRPr="00B13CBE">
        <w:t>anagement</w:t>
      </w:r>
      <w:r w:rsidR="00BE0B98" w:rsidRPr="00B13CBE">
        <w:t xml:space="preserve"> F</w:t>
      </w:r>
      <w:r w:rsidRPr="00B13CBE">
        <w:t>rameworks</w:t>
      </w:r>
      <w:bookmarkEnd w:id="9"/>
    </w:p>
    <w:p w14:paraId="22234F85" w14:textId="77777777" w:rsidR="001A1D48"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This section describes the frameworks under which portfolio managers and investors construct their investment portfolios and manage the portfolio’s risk. The goal is to give the theoretical underpinnings that</w:t>
      </w:r>
      <w:r w:rsidR="005E0109"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explain the ne</w:t>
      </w:r>
      <w:r w:rsidR="009B5AC1" w:rsidRPr="00B13CBE">
        <w:rPr>
          <w:rFonts w:ascii="Arial" w:hAnsi="Arial" w:cs="Arial"/>
          <w:color w:val="000000" w:themeColor="text1"/>
          <w:sz w:val="24"/>
          <w:szCs w:val="24"/>
        </w:rPr>
        <w:t>ed for</w:t>
      </w:r>
      <w:r w:rsidRPr="00B13CBE">
        <w:rPr>
          <w:rFonts w:ascii="Arial" w:hAnsi="Arial" w:cs="Arial"/>
          <w:color w:val="000000" w:themeColor="text1"/>
          <w:sz w:val="24"/>
          <w:szCs w:val="24"/>
        </w:rPr>
        <w:t xml:space="preserve"> portfolio diversification and why diversification is best achieved by choosing assets with low correlation</w:t>
      </w:r>
      <w:r w:rsidR="009B5AC1" w:rsidRPr="00B13CBE">
        <w:rPr>
          <w:rFonts w:ascii="Arial" w:hAnsi="Arial" w:cs="Arial"/>
          <w:color w:val="000000" w:themeColor="text1"/>
          <w:sz w:val="24"/>
          <w:szCs w:val="24"/>
        </w:rPr>
        <w:t>.</w:t>
      </w:r>
    </w:p>
    <w:p w14:paraId="3FAE68B9" w14:textId="77777777" w:rsidR="001A1D48"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Modeling volatility is </w:t>
      </w:r>
      <w:r w:rsidR="0003779D" w:rsidRPr="00B13CBE">
        <w:rPr>
          <w:rFonts w:ascii="Arial" w:hAnsi="Arial" w:cs="Arial"/>
          <w:color w:val="000000" w:themeColor="text1"/>
          <w:sz w:val="24"/>
          <w:szCs w:val="24"/>
        </w:rPr>
        <w:t>e</w:t>
      </w:r>
      <w:r w:rsidRPr="00B13CBE">
        <w:rPr>
          <w:rFonts w:ascii="Arial" w:hAnsi="Arial" w:cs="Arial"/>
          <w:color w:val="000000" w:themeColor="text1"/>
          <w:sz w:val="24"/>
          <w:szCs w:val="24"/>
        </w:rPr>
        <w:t xml:space="preserve">ssential in asset allocation and risk management. Asset allocation, according to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{"citationID":"BaUuyEKg","properties":{"formattedCitation":"(Sharpe, 1992)","plainCitation":"(Sharpe, 1992)","dontUpdate":true,"noteIndex":0},"citationItems":[{"id":413,"uris":["http://zotero.org/users/local/XXne8Mwc/items/2ZJ332XU"],"uri":["http://zotero.org/users/local/XXne8Mwc/items/2ZJ332XU"],"itemData":{"id":413,"type":"article","abstract":"It is widely agreed that asset allocation accounts for a large part of the variability in the return on a typical investor's portfolio. This is especially true if the overall portfolio is invested in multiple funds, each including a number of securities. Asset allocation is generally defined as the allocation of an investor's portfolio among a number of \"major \" asset classes. Clearly such a generalization cannot be made operational without defining such classes. Once a set of asset classes has been defined, it is important to determine the exposures of each component of an investor's overall portfolio to movements in their returns. Such information can be aggregated to determine the investor's overall effective asset mix. If it does not conform to the desired mix, appropriate alterations can then be made. Once a procedure for measuring exposures to variations in returns of major asset classes is in place, it is possible to determine how effectively individual fund managers have performed their functions and the extent (if any) to which value has been added through active management. Finally, the effectiveness of the investor's overall asset allocation can be compared with that of one or more benchmark asset mixes. An effective way to accomplish all these tasks is to use an asset class factor model. After describing the characteristics of such a model, we illustrate applications of a model with twelve asset classes to analyze the performance of a set of open-end mutual funds between 1985 and 1989. ASSET CLASS FACTOR MODELS Factor models are common in investment analysis. Equation (1) is a generic representation:","source":"CiteSeer","title":"7/9/2002 Asset Allocation: Management Style and Performance Measurement","title-short":"7/9/2002 Asset Allocation","author":[{"family":"Sharpe","given":"William F."}],"issued":{"date-parts":[["1992"]]}}}],"schema":"https://github.com/citation-style-language/schema/raw/master/csl-citation.json"}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Sharpe (1992)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is the allocation of several 'major' asset classes to an investor's portfolio. Once a set of asset classes has been identified, an investor must determine how much exposure to each asset their portfolio will have at any given moment during the investment horizon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{"citationID":"eKtmC01g","properties":{"formattedCitation":"(Sharpe, 1992)","plainCitation":"(Sharpe, 1992)","noteIndex":0},"citationItems":[{"id":413,"uris":["http://zotero.org/users/local/XXne8Mwc/items/2ZJ332XU"],"uri":["http://zotero.org/users/local/XXne8Mwc/items/2ZJ332XU"],"itemData":{"id":413,"type":"article","abstract":"It is widely agreed that asset allocation accounts for a large part of the variability in the return on a typical investor's portfolio. This is especially true if the overall portfolio is invested in multiple funds, each including a number of securities. Asset allocation is generally defined as the allocation of an investor's portfolio among a number of \"major \" asset classes. Clearly such a generalization cannot be made operational without defining such classes. Once a set of asset classes has been defined, it is important to determine the exposures of each component of an investor's overall portfolio to movements in their returns. Such information can be aggregated to determine the investor's overall effective asset mix. If it does not conform to the desired mix, appropriate alterations can then be made. Once a procedure for measuring exposures to variations in returns of major asset classes is in place, it is possible to determine how effectively individual fund managers have performed their functions and the extent (if any) to which value has been added through active management. Finally, the effectiveness of the investor's overall asset allocation can be compared with that of one or more benchmark asset mixes. An effective way to accomplish all these tasks is to use an asset class factor model. After describing the characteristics of such a model, we illustrate applications of a model with twelve asset classes to analyze the performance of a set of open-end mutual funds between 1985 and 1989. ASSET CLASS FACTOR MODELS Factor models are common in investment analysis. Equation (1) is a generic representation:","source":"CiteSeer","title":"7/9/2002 Asset Allocation: Management Style and Performance Measurement","title-short":"7/9/2002 Asset Allocation","author":[{"family":"Sharpe","given":"William F."}],"issued":{"date-parts":[["1992"]]}}}],"schema":"https://github.com/citation-style-language/schema/raw/master/csl-citation.json"}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(Sharpe, 1992)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This is called financial risk management and is done to maximize portfolio returns or minimize the portfolio's market risk, or </w:t>
      </w:r>
      <w:r w:rsidR="0042246E" w:rsidRPr="00B13CBE">
        <w:rPr>
          <w:rFonts w:ascii="Arial" w:hAnsi="Arial" w:cs="Arial"/>
          <w:color w:val="000000" w:themeColor="text1"/>
          <w:sz w:val="24"/>
          <w:szCs w:val="24"/>
        </w:rPr>
        <w:t xml:space="preserve">doing </w:t>
      </w:r>
      <w:r w:rsidRPr="00B13CBE">
        <w:rPr>
          <w:rFonts w:ascii="Arial" w:hAnsi="Arial" w:cs="Arial"/>
          <w:color w:val="000000" w:themeColor="text1"/>
          <w:sz w:val="24"/>
          <w:szCs w:val="24"/>
        </w:rPr>
        <w:t>both simultaneously</w:t>
      </w:r>
      <w:r w:rsidR="000E7533" w:rsidRPr="00B13CBE">
        <w:rPr>
          <w:rFonts w:ascii="Arial" w:hAnsi="Arial" w:cs="Arial"/>
          <w:color w:val="000000" w:themeColor="text1"/>
          <w:sz w:val="24"/>
          <w:szCs w:val="24"/>
        </w:rPr>
        <w:t xml:space="preserve"> which is what</w:t>
      </w:r>
      <w:r w:rsidRPr="00B13CBE">
        <w:rPr>
          <w:rFonts w:ascii="Arial" w:hAnsi="Arial" w:cs="Arial"/>
          <w:color w:val="000000" w:themeColor="text1"/>
          <w:sz w:val="24"/>
          <w:szCs w:val="24"/>
        </w:rPr>
        <w:t xml:space="preserve"> Modern Portfolio Theory (MPT)</w:t>
      </w:r>
      <w:r w:rsidR="000E7533" w:rsidRPr="00B13CBE">
        <w:rPr>
          <w:rFonts w:ascii="Arial" w:hAnsi="Arial" w:cs="Arial"/>
          <w:color w:val="000000" w:themeColor="text1"/>
          <w:sz w:val="24"/>
          <w:szCs w:val="24"/>
        </w:rPr>
        <w:t xml:space="preserve"> proposes</w:t>
      </w:r>
      <w:r w:rsidRPr="00B13CBE">
        <w:rPr>
          <w:rFonts w:ascii="Arial" w:hAnsi="Arial" w:cs="Arial"/>
          <w:color w:val="000000" w:themeColor="text1"/>
          <w:sz w:val="24"/>
          <w:szCs w:val="24"/>
        </w:rPr>
        <w:t>. Variances, covariances, and correlations among assets are some of the measures of financial risk used to determine what assets are considered for inclusion (or exclusion) in a portfolio as well as the proportions of the included (or excluded) assets</w:t>
      </w:r>
      <w:r w:rsidR="0003779D" w:rsidRPr="00B13CBE">
        <w:rPr>
          <w:rFonts w:ascii="Arial" w:hAnsi="Arial" w:cs="Arial"/>
          <w:color w:val="000000" w:themeColor="text1"/>
          <w:sz w:val="24"/>
          <w:szCs w:val="24"/>
        </w:rPr>
        <w:t xml:space="preserve"> </w:t>
      </w:r>
      <w:r w:rsidR="0003779D" w:rsidRPr="00B13CBE">
        <w:rPr>
          <w:rFonts w:ascii="Arial" w:hAnsi="Arial" w:cs="Arial"/>
          <w:color w:val="000000" w:themeColor="text1"/>
          <w:sz w:val="24"/>
          <w:szCs w:val="24"/>
        </w:rPr>
        <w:fldChar w:fldCharType="begin"/>
      </w:r>
      <w:r w:rsidR="0003779D" w:rsidRPr="00B13CBE">
        <w:rPr>
          <w:rFonts w:ascii="Arial" w:hAnsi="Arial" w:cs="Arial"/>
          <w:color w:val="000000" w:themeColor="text1"/>
          <w:sz w:val="24"/>
          <w:szCs w:val="24"/>
        </w:rPr>
        <w:instrText xml:space="preserve"> ADDIN ZOTERO_ITEM CSL_CITATION {"citationID":"cFmDu7B9","properties":{"formattedCitation":"(Alexander, 2008)","plainCitation":"(Alexander, 2008)","noteIndex":0},"citationItems":[{"id":109,"uris":["http://zotero.org/users/local/XXne8Mwc/items/NTHXETVI"],"uri":["http://zotero.org/users/local/XXne8Mwc/items/NTHXETVI"],"itemData":{"id":109,"type":"book","abstract":"Written by leading market risk academic, Professor Carol Alexander, Practical Financial Econometrics forms part two of the Market Risk Analysis four volume set. It introduces the econometric techniques that are commonly applied to finance with a critical and selective exposition, emphasising the areas of econometrics, such as GARCH, cointegration and copulas that are required for resolving problems in market risk analysis. The book covers material for a one-semester graduate course in applied financial econometrics in a very pedagogical fashion as each time a concept is introduced an empirical example is given, and whenever possible this is illustrated with an Excel spreadsheet. All together, the Market Risk Analysis four volume set illustrates virtually every concept or formula with a practical, numerical example or a longer, empirical case study. Across all four volumes there are approximately 300 numerical and empirical examples, 400 graphs and figures and 30 case studies many of which are contained in interactive Excel spreadsheets available from the the accompanying CD-ROM . Empirical examples and case studies specific to this volume include:   Factor analysis with orthogonal regressions and using principal component factors;   Estimation of symmetric and asymmetric, normal and Student t GARCH and E-GARCH parameters;   Normal, Student t, Gumbel, Clayton, normal mixture copula densities, and simulations from these copulas with application to VaR and portfolio optimization;   Principal component analysis of yield curves with applications to portfolio immunization and asset/liability management;   Simulation of normal mixture and Markov switching GARCH returns;   Cointegration based index tracking and pairs trading, with error correction and impulse response modelling;   Markov switching regression models (Eviews code);   GARCH term structure forecasting with volatility targeting;   Non-linear quantile regressions with applications to hedging.","ISBN":"978-0-470-77103-7","language":"en","note":"Google-Books-ID: D8WXrqfFWt4C","number-of-pages":"431","publisher":"John Wiley &amp; Sons","source":"Google Books","title":"Market Risk Analysis, Practical Financial Econometrics","author":[{"family":"Alexander","given":"Carol"}],"issued":{"date-parts":[["2008",4,30]]}}}],"schema":"https://github.com/citation-style-language/schema/raw/master/csl-citation.json"} </w:instrText>
      </w:r>
      <w:r w:rsidR="0003779D" w:rsidRPr="00B13CBE">
        <w:rPr>
          <w:rFonts w:ascii="Arial" w:hAnsi="Arial" w:cs="Arial"/>
          <w:color w:val="000000" w:themeColor="text1"/>
          <w:sz w:val="24"/>
          <w:szCs w:val="24"/>
        </w:rPr>
        <w:fldChar w:fldCharType="separate"/>
      </w:r>
      <w:r w:rsidR="0003779D" w:rsidRPr="00B13CBE">
        <w:rPr>
          <w:rFonts w:ascii="Arial" w:hAnsi="Arial" w:cs="Arial"/>
          <w:color w:val="000000" w:themeColor="text1"/>
          <w:sz w:val="24"/>
          <w:szCs w:val="24"/>
        </w:rPr>
        <w:t>(Alexander, 2008)</w:t>
      </w:r>
      <w:r w:rsidR="0003779D" w:rsidRPr="00B13CBE">
        <w:rPr>
          <w:rFonts w:ascii="Arial" w:hAnsi="Arial" w:cs="Arial"/>
          <w:color w:val="000000" w:themeColor="text1"/>
          <w:sz w:val="24"/>
          <w:szCs w:val="24"/>
        </w:rPr>
        <w:fldChar w:fldCharType="end"/>
      </w:r>
      <w:r w:rsidR="0003779D" w:rsidRPr="00B13CBE">
        <w:rPr>
          <w:rFonts w:ascii="Arial" w:hAnsi="Arial" w:cs="Arial"/>
          <w:color w:val="000000" w:themeColor="text1"/>
          <w:sz w:val="24"/>
          <w:szCs w:val="24"/>
        </w:rPr>
        <w:t>.</w:t>
      </w:r>
      <w:r w:rsidR="008978A3" w:rsidRPr="00B13CBE">
        <w:rPr>
          <w:rFonts w:ascii="Arial" w:hAnsi="Arial" w:cs="Arial"/>
          <w:color w:val="000000" w:themeColor="text1"/>
          <w:sz w:val="24"/>
          <w:szCs w:val="24"/>
        </w:rPr>
        <w:t xml:space="preserve"> Therefore, good estimates and forecasts of variances, covariances, and correlations are crucial elements in portfolio construction and management. Identifying the </w:t>
      </w:r>
      <w:r w:rsidR="00E22373" w:rsidRPr="00B13CBE">
        <w:rPr>
          <w:rFonts w:ascii="Arial" w:hAnsi="Arial" w:cs="Arial"/>
          <w:color w:val="000000" w:themeColor="text1"/>
          <w:sz w:val="24"/>
          <w:szCs w:val="24"/>
        </w:rPr>
        <w:t xml:space="preserve">most accurate methods of estimating their values </w:t>
      </w:r>
      <w:r w:rsidR="008978A3" w:rsidRPr="00B13CBE">
        <w:rPr>
          <w:rFonts w:ascii="Arial" w:hAnsi="Arial" w:cs="Arial"/>
          <w:color w:val="000000" w:themeColor="text1"/>
          <w:sz w:val="24"/>
          <w:szCs w:val="24"/>
        </w:rPr>
        <w:t xml:space="preserve">is </w:t>
      </w:r>
      <w:r w:rsidR="00E22373" w:rsidRPr="00B13CBE">
        <w:rPr>
          <w:rFonts w:ascii="Arial" w:hAnsi="Arial" w:cs="Arial"/>
          <w:color w:val="000000" w:themeColor="text1"/>
          <w:sz w:val="24"/>
          <w:szCs w:val="24"/>
        </w:rPr>
        <w:t>essential</w:t>
      </w:r>
      <w:r w:rsidR="008978A3" w:rsidRPr="00B13CBE">
        <w:rPr>
          <w:rFonts w:ascii="Arial" w:hAnsi="Arial" w:cs="Arial"/>
          <w:color w:val="000000" w:themeColor="text1"/>
          <w:sz w:val="24"/>
          <w:szCs w:val="24"/>
        </w:rPr>
        <w:t xml:space="preserve"> </w:t>
      </w:r>
      <w:r w:rsidR="00E22373" w:rsidRPr="00B13CBE">
        <w:rPr>
          <w:rFonts w:ascii="Arial" w:hAnsi="Arial" w:cs="Arial"/>
          <w:color w:val="000000" w:themeColor="text1"/>
          <w:sz w:val="24"/>
          <w:szCs w:val="24"/>
        </w:rPr>
        <w:t>in</w:t>
      </w:r>
      <w:r w:rsidR="008978A3" w:rsidRPr="00B13CBE">
        <w:rPr>
          <w:rFonts w:ascii="Arial" w:hAnsi="Arial" w:cs="Arial"/>
          <w:color w:val="000000" w:themeColor="text1"/>
          <w:sz w:val="24"/>
          <w:szCs w:val="24"/>
        </w:rPr>
        <w:t xml:space="preserve"> asset allocation and risk management.</w:t>
      </w:r>
    </w:p>
    <w:p w14:paraId="20F45F05" w14:textId="77777777" w:rsidR="00383C0A" w:rsidRPr="00B13CBE" w:rsidRDefault="00C4772C" w:rsidP="00781A3B">
      <w:pPr>
        <w:pStyle w:val="Heading3"/>
        <w:numPr>
          <w:ilvl w:val="2"/>
          <w:numId w:val="18"/>
        </w:numPr>
        <w:spacing w:line="360" w:lineRule="auto"/>
        <w:jc w:val="both"/>
        <w:rPr>
          <w:rFonts w:ascii="Arial" w:hAnsi="Arial" w:cs="Arial"/>
          <w:b/>
          <w:bCs/>
          <w:color w:val="000000" w:themeColor="text1"/>
        </w:rPr>
      </w:pPr>
      <w:bookmarkStart w:id="10" w:name="_Toc82603354"/>
      <w:r w:rsidRPr="00B13CBE">
        <w:rPr>
          <w:rFonts w:ascii="Arial" w:hAnsi="Arial" w:cs="Arial"/>
          <w:b/>
          <w:bCs/>
          <w:color w:val="000000" w:themeColor="text1"/>
        </w:rPr>
        <w:t>Modern</w:t>
      </w:r>
      <w:r w:rsidR="00BE0B98" w:rsidRPr="00B13CBE">
        <w:rPr>
          <w:rFonts w:ascii="Arial" w:hAnsi="Arial" w:cs="Arial"/>
          <w:b/>
          <w:bCs/>
          <w:color w:val="000000" w:themeColor="text1"/>
        </w:rPr>
        <w:t xml:space="preserve"> P</w:t>
      </w:r>
      <w:r w:rsidRPr="00B13CBE">
        <w:rPr>
          <w:rFonts w:ascii="Arial" w:hAnsi="Arial" w:cs="Arial"/>
          <w:b/>
          <w:bCs/>
          <w:color w:val="000000" w:themeColor="text1"/>
        </w:rPr>
        <w:t>ortfolio</w:t>
      </w:r>
      <w:r w:rsidR="00BE0B98" w:rsidRPr="00B13CBE">
        <w:rPr>
          <w:rFonts w:ascii="Arial" w:hAnsi="Arial" w:cs="Arial"/>
          <w:b/>
          <w:bCs/>
          <w:color w:val="000000" w:themeColor="text1"/>
        </w:rPr>
        <w:t xml:space="preserve"> T</w:t>
      </w:r>
      <w:r w:rsidRPr="00B13CBE">
        <w:rPr>
          <w:rFonts w:ascii="Arial" w:hAnsi="Arial" w:cs="Arial"/>
          <w:b/>
          <w:bCs/>
          <w:color w:val="000000" w:themeColor="text1"/>
        </w:rPr>
        <w:t>heory</w:t>
      </w:r>
      <w:bookmarkEnd w:id="10"/>
    </w:p>
    <w:p w14:paraId="1B6FD181" w14:textId="0228C9E3" w:rsidR="00DD4939"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In his seminal work on portfolio selection,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{"citationID":"gZkwZ4yl","properties":{"formattedCitation":"(Markowitz,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Markowitz (1959)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argued that investors should</w:t>
      </w:r>
      <w:r w:rsidR="0042246E"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consider both risks and return when constructing portfolios. Under his framework, an investor consider</w:t>
      </w:r>
      <w:r w:rsidR="0042246E"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past asset returns and construct</w:t>
      </w:r>
      <w:r w:rsidR="0042246E"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w:t>
      </w:r>
      <w:r w:rsidRPr="00B13CBE">
        <w:rPr>
          <w:rFonts w:ascii="Arial" w:hAnsi="Arial" w:cs="Arial"/>
          <w:i/>
          <w:iCs/>
          <w:color w:val="000000" w:themeColor="text1"/>
          <w:sz w:val="24"/>
          <w:szCs w:val="24"/>
        </w:rPr>
        <w:t xml:space="preserve">ex-ante </w:t>
      </w:r>
      <w:r w:rsidRPr="00B13CBE">
        <w:rPr>
          <w:rFonts w:ascii="Arial" w:hAnsi="Arial" w:cs="Arial"/>
          <w:color w:val="000000" w:themeColor="text1"/>
          <w:sz w:val="24"/>
          <w:szCs w:val="24"/>
        </w:rPr>
        <w:t>expected returns and expected risk</w:t>
      </w:r>
      <w:r w:rsidR="005E0109" w:rsidRPr="00B13CBE">
        <w:rPr>
          <w:rFonts w:ascii="Arial" w:hAnsi="Arial" w:cs="Arial"/>
          <w:color w:val="000000" w:themeColor="text1"/>
          <w:sz w:val="24"/>
          <w:szCs w:val="24"/>
        </w:rPr>
        <w:t xml:space="preserve"> </w:t>
      </w:r>
      <w:r w:rsidR="0042246E" w:rsidRPr="00B13CBE">
        <w:rPr>
          <w:rFonts w:ascii="Arial" w:hAnsi="Arial" w:cs="Arial"/>
          <w:color w:val="000000" w:themeColor="text1"/>
          <w:sz w:val="24"/>
          <w:szCs w:val="24"/>
        </w:rPr>
        <w:t>(</w:t>
      </w:r>
      <w:r w:rsidRPr="00B13CBE">
        <w:rPr>
          <w:rFonts w:ascii="Arial" w:hAnsi="Arial" w:cs="Arial"/>
          <w:color w:val="000000" w:themeColor="text1"/>
          <w:sz w:val="24"/>
          <w:szCs w:val="24"/>
        </w:rPr>
        <w:t>measured by variance</w:t>
      </w:r>
      <w:r w:rsidR="0042246E"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{"citationID":"XWJqTHCD","properties":{"formattedCitation":"(Markowitz,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Markowitz, </w:t>
      </w:r>
      <w:r w:rsidR="005E0109"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1959)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DD4939" w:rsidRPr="00B13CBE">
        <w:rPr>
          <w:rFonts w:ascii="Arial" w:hAnsi="Arial" w:cs="Arial"/>
          <w:color w:val="000000" w:themeColor="text1"/>
          <w:sz w:val="24"/>
          <w:szCs w:val="24"/>
        </w:rPr>
        <w:t>defined</w:t>
      </w:r>
      <w:r w:rsidRPr="00B13CBE">
        <w:rPr>
          <w:rFonts w:ascii="Arial" w:hAnsi="Arial" w:cs="Arial"/>
          <w:color w:val="000000" w:themeColor="text1"/>
          <w:sz w:val="24"/>
          <w:szCs w:val="24"/>
        </w:rPr>
        <w:t xml:space="preserve"> the</w:t>
      </w:r>
      <w:r w:rsidR="0042246E" w:rsidRPr="00B13CBE">
        <w:rPr>
          <w:rFonts w:ascii="Arial" w:hAnsi="Arial" w:cs="Arial"/>
          <w:color w:val="000000" w:themeColor="text1"/>
          <w:sz w:val="24"/>
          <w:szCs w:val="24"/>
        </w:rPr>
        <w:t xml:space="preserve"> expected</w:t>
      </w:r>
      <w:r w:rsidRPr="00B13CBE">
        <w:rPr>
          <w:rFonts w:ascii="Arial" w:hAnsi="Arial" w:cs="Arial"/>
          <w:color w:val="000000" w:themeColor="text1"/>
          <w:sz w:val="24"/>
          <w:szCs w:val="24"/>
        </w:rPr>
        <w:t xml:space="preserve"> returns and risk </w:t>
      </w:r>
      <w:r w:rsidR="0042246E" w:rsidRPr="00B13CBE">
        <w:rPr>
          <w:rFonts w:ascii="Arial" w:hAnsi="Arial" w:cs="Arial"/>
          <w:color w:val="000000" w:themeColor="text1"/>
          <w:sz w:val="24"/>
          <w:szCs w:val="24"/>
        </w:rPr>
        <w:t xml:space="preserve">of a portfolio </w:t>
      </w:r>
      <w:r w:rsidRPr="00B13CBE">
        <w:rPr>
          <w:rFonts w:ascii="Arial" w:hAnsi="Arial" w:cs="Arial"/>
          <w:color w:val="000000" w:themeColor="text1"/>
          <w:sz w:val="24"/>
          <w:szCs w:val="24"/>
        </w:rPr>
        <w:t>as follows,</w:t>
      </w:r>
      <w:r w:rsidR="0042246E"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described by </w:t>
      </w:r>
      <w:r w:rsidRPr="00B13CBE">
        <w:rPr>
          <w:rFonts w:ascii="Arial" w:hAnsi="Arial" w:cs="Arial"/>
          <w:color w:val="000000" w:themeColor="text1"/>
          <w:sz w:val="24"/>
          <w:szCs w:val="24"/>
        </w:rPr>
        <w:fldChar w:fldCharType="begin"/>
      </w:r>
      <w:r w:rsidR="007357E9" w:rsidRPr="00B13CBE">
        <w:rPr>
          <w:rFonts w:ascii="Arial" w:hAnsi="Arial" w:cs="Arial"/>
          <w:color w:val="000000" w:themeColor="text1"/>
          <w:sz w:val="24"/>
          <w:szCs w:val="24"/>
        </w:rPr>
        <w:instrText xml:space="preserve"> ADDIN ZOTERO_ITEM CSL_CITATION {"citationID":"43cw92Pa","properties":{"formattedCitation":"(Gu\\uc0\\u233{}gan and Hassani, 2019)","plainCitation":"(Guégan and Hassani, 2019)","dontUpdate":true,"noteIndex":0},"citationItems":[{"id":419,"uris":["http://zotero.org/users/local/XXne8Mwc/items/5E5MKTYV"],"uri":["http://zotero.org/users/local/XXne8Mwc/items/5E5MKTYV"],"itemData":{"id":419,"type":"webpage","title":"Risk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Guégan and Hassani </w:t>
      </w:r>
      <w:r w:rsidR="00FF0ED9"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2019)</w:t>
      </w:r>
      <w:r w:rsidRPr="00B13CBE">
        <w:rPr>
          <w:rFonts w:ascii="Arial" w:hAnsi="Arial" w:cs="Arial"/>
          <w:color w:val="000000" w:themeColor="text1"/>
          <w:sz w:val="24"/>
          <w:szCs w:val="24"/>
        </w:rPr>
        <w:fldChar w:fldCharType="end"/>
      </w:r>
      <w:r w:rsidR="00DD4939" w:rsidRPr="00B13CBE">
        <w:rPr>
          <w:rFonts w:ascii="Arial" w:hAnsi="Arial" w:cs="Arial"/>
          <w:color w:val="000000" w:themeColor="text1"/>
          <w:sz w:val="24"/>
          <w:szCs w:val="24"/>
        </w:rPr>
        <w:t>.</w:t>
      </w:r>
    </w:p>
    <w:p w14:paraId="2BC4FD95" w14:textId="77777777" w:rsidR="00DD4939" w:rsidRPr="00B13CBE" w:rsidRDefault="00C4772C" w:rsidP="00781A3B">
      <w:pPr>
        <w:pStyle w:val="Heading4"/>
        <w:spacing w:before="0"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lastRenderedPageBreak/>
        <w:t xml:space="preserve">Definition 2.2.1.1: Expected Return of a Portfolio </w:t>
      </w:r>
    </w:p>
    <w:p w14:paraId="3F410E0D" w14:textId="35AADEA6" w:rsidR="001A1D48"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Consider a portfolio </w:t>
      </w:r>
      <m:oMath>
        <m:r>
          <m:rPr>
            <m:sty m:val="p"/>
          </m:rPr>
          <w:rPr>
            <w:rFonts w:ascii="Cambria Math" w:hAnsi="Cambria Math" w:cs="Arial"/>
            <w:color w:val="000000" w:themeColor="text1"/>
          </w:rPr>
          <m:t>P</m:t>
        </m:r>
      </m:oMath>
      <w:r w:rsidR="0042246E" w:rsidRPr="00B13CBE">
        <w:rPr>
          <w:rFonts w:ascii="Arial" w:eastAsiaTheme="minorEastAsia" w:hAnsi="Arial" w:cs="Arial"/>
          <w:color w:val="000000" w:themeColor="text1"/>
        </w:rPr>
        <w:t>,</w:t>
      </w:r>
      <w:r w:rsidRPr="00B13CBE">
        <w:rPr>
          <w:rFonts w:ascii="Arial" w:hAnsi="Arial" w:cs="Arial"/>
          <w:color w:val="000000" w:themeColor="text1"/>
        </w:rPr>
        <w:t xml:space="preserve"> made up of several assets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i</m:t>
            </m:r>
          </m:sub>
        </m:sSub>
      </m:oMath>
      <w:r w:rsidRPr="00B13CBE">
        <w:rPr>
          <w:rFonts w:ascii="Arial" w:hAnsi="Arial" w:cs="Arial"/>
          <w:color w:val="000000" w:themeColor="text1"/>
        </w:rPr>
        <w:t xml:space="preserve"> </w:t>
      </w:r>
      <w:r w:rsidR="0042246E" w:rsidRPr="00B13CBE">
        <w:rPr>
          <w:rFonts w:ascii="Arial" w:hAnsi="Arial" w:cs="Arial"/>
          <w:color w:val="000000" w:themeColor="text1"/>
        </w:rPr>
        <w:t>,</w:t>
      </w:r>
      <w:r w:rsidRPr="00B13CBE">
        <w:rPr>
          <w:rFonts w:ascii="Arial" w:hAnsi="Arial" w:cs="Arial"/>
          <w:color w:val="000000" w:themeColor="text1"/>
        </w:rPr>
        <w:t xml:space="preserve">where </w:t>
      </w:r>
      <m:oMath>
        <m:r>
          <m:rPr>
            <m:sty m:val="p"/>
          </m:rPr>
          <w:rPr>
            <w:rFonts w:ascii="Cambria Math" w:hAnsi="Cambria Math" w:cs="Arial"/>
            <w:color w:val="000000" w:themeColor="text1"/>
          </w:rPr>
          <m:t>i=1,…,N</m:t>
        </m:r>
      </m:oMath>
      <w:r w:rsidRPr="00B13CBE">
        <w:rPr>
          <w:rFonts w:ascii="Arial" w:hAnsi="Arial" w:cs="Arial"/>
          <w:color w:val="000000" w:themeColor="text1"/>
        </w:rPr>
        <w:t xml:space="preserve"> is the number of assets in the portfolio. The returns of the portfolio are simply the weighted sum of individual asset returns</w:t>
      </w:r>
      <w:r w:rsidR="0042246E" w:rsidRPr="00B13CBE">
        <w:rPr>
          <w:rFonts w:ascii="Arial" w:hAnsi="Arial" w:cs="Arial"/>
          <w:color w:val="000000" w:themeColor="text1"/>
        </w:rPr>
        <w:t xml:space="preserve">, </w:t>
      </w:r>
      <w:r w:rsidRPr="00B13CBE">
        <w:rPr>
          <w:rFonts w:ascii="Arial" w:hAnsi="Arial" w:cs="Arial"/>
          <w:color w:val="000000" w:themeColor="text1"/>
        </w:rPr>
        <w:t xml:space="preserve">where the weight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w</m:t>
            </m:r>
          </m:e>
          <m:sub>
            <m:r>
              <m:rPr>
                <m:sty m:val="p"/>
              </m:rPr>
              <w:rPr>
                <w:rFonts w:ascii="Cambria Math" w:hAnsi="Cambria Math" w:cs="Arial"/>
                <w:color w:val="000000" w:themeColor="text1"/>
              </w:rPr>
              <m:t>i</m:t>
            </m:r>
          </m:sub>
        </m:sSub>
      </m:oMath>
      <w:r w:rsidRPr="00B13CBE">
        <w:rPr>
          <w:rFonts w:ascii="Arial" w:hAnsi="Arial" w:cs="Arial"/>
          <w:color w:val="000000" w:themeColor="text1"/>
        </w:rPr>
        <w:t xml:space="preserve"> of asset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i</m:t>
            </m:r>
          </m:sub>
        </m:sSub>
      </m:oMath>
      <w:r w:rsidRPr="00B13CBE">
        <w:rPr>
          <w:rFonts w:ascii="Arial" w:hAnsi="Arial" w:cs="Arial"/>
          <w:color w:val="000000" w:themeColor="text1"/>
        </w:rPr>
        <w:t xml:space="preserve"> is the proportion of the total risk capital invested in asset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i</m:t>
            </m:r>
          </m:sub>
        </m:sSub>
      </m:oMath>
      <w:r w:rsidRPr="00B13CBE">
        <w:rPr>
          <w:rFonts w:ascii="Arial" w:hAnsi="Arial" w:cs="Arial"/>
          <w:color w:val="000000" w:themeColor="text1"/>
        </w:rPr>
        <w:t>. The expected return of the portfolio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7F5DCA" w:rsidRPr="00B13CBE" w14:paraId="0B43E37F" w14:textId="77777777" w:rsidTr="007F5DCA">
        <w:tc>
          <w:tcPr>
            <w:tcW w:w="805" w:type="dxa"/>
            <w:vAlign w:val="center"/>
          </w:tcPr>
          <w:p w14:paraId="10D89628" w14:textId="77777777" w:rsidR="007F5DCA" w:rsidRPr="00B13CBE" w:rsidRDefault="007F5DCA" w:rsidP="00FC6236">
            <w:pPr>
              <w:pStyle w:val="BodyText"/>
              <w:jc w:val="center"/>
              <w:rPr>
                <w:rFonts w:ascii="Arial" w:hAnsi="Arial" w:cs="Arial"/>
              </w:rPr>
            </w:pPr>
          </w:p>
        </w:tc>
        <w:tc>
          <w:tcPr>
            <w:tcW w:w="6840" w:type="dxa"/>
            <w:vAlign w:val="center"/>
          </w:tcPr>
          <w:p w14:paraId="60053207" w14:textId="21A8E2C0" w:rsidR="007F5DCA" w:rsidRPr="00B13CBE" w:rsidRDefault="007F5DCA" w:rsidP="007F5DCA">
            <w:pPr>
              <w:pStyle w:val="BodyText"/>
              <w:spacing w:line="360" w:lineRule="auto"/>
              <w:jc w:val="both"/>
              <w:rPr>
                <w:rFonts w:ascii="Arial" w:eastAsiaTheme="minorEastAsia" w:hAnsi="Arial" w:cs="Arial"/>
                <w:color w:val="000000" w:themeColor="text1"/>
              </w:rPr>
            </w:pPr>
            <m:oMathPara>
              <m:oMath>
                <m:r>
                  <m:rPr>
                    <m:sty m:val="p"/>
                  </m:rP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p</m:t>
                        </m:r>
                      </m:sub>
                    </m:sSub>
                  </m:e>
                </m:d>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m:rPr>
                        <m:sty m:val="p"/>
                      </m:rPr>
                      <w:rPr>
                        <w:rFonts w:ascii="Cambria Math" w:hAnsi="Cambria Math" w:cs="Arial"/>
                        <w:color w:val="000000" w:themeColor="text1"/>
                      </w:rPr>
                      <m:t>i=1</m:t>
                    </m:r>
                  </m:sub>
                  <m:sup>
                    <m:r>
                      <m:rPr>
                        <m:sty m:val="p"/>
                      </m:rPr>
                      <w:rPr>
                        <w:rFonts w:ascii="Cambria Math" w:hAnsi="Cambria Math" w:cs="Arial"/>
                        <w:color w:val="000000" w:themeColor="text1"/>
                      </w:rPr>
                      <m:t>N</m:t>
                    </m:r>
                  </m:sup>
                  <m:e>
                    <m:sSub>
                      <m:sSubPr>
                        <m:ctrlPr>
                          <w:rPr>
                            <w:rFonts w:ascii="Cambria Math" w:hAnsi="Cambria Math" w:cs="Arial"/>
                            <w:color w:val="000000" w:themeColor="text1"/>
                          </w:rPr>
                        </m:ctrlPr>
                      </m:sSubPr>
                      <m:e>
                        <m:r>
                          <m:rPr>
                            <m:sty m:val="p"/>
                          </m:rPr>
                          <w:rPr>
                            <w:rFonts w:ascii="Cambria Math" w:hAnsi="Cambria Math" w:cs="Arial"/>
                            <w:color w:val="000000" w:themeColor="text1"/>
                          </w:rPr>
                          <m:t>w</m:t>
                        </m:r>
                      </m:e>
                      <m:sub>
                        <m:r>
                          <m:rPr>
                            <m:sty m:val="p"/>
                          </m:rPr>
                          <w:rPr>
                            <w:rFonts w:ascii="Cambria Math" w:hAnsi="Cambria Math" w:cs="Arial"/>
                            <w:color w:val="000000" w:themeColor="text1"/>
                          </w:rPr>
                          <m:t>i</m:t>
                        </m:r>
                      </m:sub>
                    </m:sSub>
                  </m:e>
                </m:nary>
                <m:r>
                  <m:rPr>
                    <m:sty m:val="p"/>
                  </m:rPr>
                  <w:rPr>
                    <w:rFonts w:ascii="Cambria Math" w:hAnsi="Cambria Math" w:cs="Arial"/>
                    <w:color w:val="000000" w:themeColor="text1"/>
                  </w:rPr>
                  <m:t>E</m:t>
                </m:r>
                <m:d>
                  <m:dPr>
                    <m:ctrlPr>
                      <w:rPr>
                        <w:rFonts w:ascii="Cambria Math" w:hAnsi="Cambria Math" w:cs="Arial"/>
                        <w:color w:val="000000" w:themeColor="text1"/>
                      </w:rPr>
                    </m:ctrlPr>
                  </m:dPr>
                  <m:e>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i</m:t>
                        </m:r>
                      </m:sub>
                    </m:sSub>
                  </m:e>
                </m:d>
              </m:oMath>
            </m:oMathPara>
          </w:p>
        </w:tc>
        <w:tc>
          <w:tcPr>
            <w:tcW w:w="985" w:type="dxa"/>
            <w:vAlign w:val="center"/>
          </w:tcPr>
          <w:p w14:paraId="425D2AE8" w14:textId="30F36030" w:rsidR="007F5DCA" w:rsidRPr="00B13CBE" w:rsidRDefault="007F5DCA"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w:t>
            </w:r>
            <w:r w:rsidR="00FC6236" w:rsidRPr="00B13CBE">
              <w:rPr>
                <w:rFonts w:ascii="Arial" w:hAnsi="Arial" w:cs="Arial"/>
                <w:noProof/>
              </w:rPr>
              <w:fldChar w:fldCharType="end"/>
            </w:r>
            <w:r w:rsidRPr="00B13CBE">
              <w:rPr>
                <w:rFonts w:ascii="Arial" w:hAnsi="Arial" w:cs="Arial"/>
              </w:rPr>
              <w:t>)</w:t>
            </w:r>
          </w:p>
        </w:tc>
      </w:tr>
    </w:tbl>
    <w:p w14:paraId="4631749B" w14:textId="77777777" w:rsidR="00DD4939" w:rsidRPr="00B13CBE" w:rsidRDefault="00C4772C" w:rsidP="00781A3B">
      <w:pPr>
        <w:pStyle w:val="BodyText"/>
        <w:spacing w:before="0" w:after="0" w:line="360" w:lineRule="auto"/>
        <w:jc w:val="both"/>
        <w:rPr>
          <w:rFonts w:ascii="Arial" w:eastAsiaTheme="minorEastAsia" w:hAnsi="Arial" w:cs="Arial"/>
          <w:color w:val="000000" w:themeColor="text1"/>
        </w:rPr>
      </w:pPr>
      <w:r w:rsidRPr="00B13CBE">
        <w:rPr>
          <w:rFonts w:ascii="Arial" w:eastAsiaTheme="minorEastAsia" w:hAnsi="Arial" w:cs="Arial"/>
          <w:color w:val="000000" w:themeColor="text1"/>
        </w:rPr>
        <w:fldChar w:fldCharType="begin"/>
      </w:r>
      <w:r w:rsidRPr="00B13CBE">
        <w:rPr>
          <w:rFonts w:ascii="Arial" w:eastAsiaTheme="minorEastAsia" w:hAnsi="Arial" w:cs="Arial"/>
          <w:color w:val="000000" w:themeColor="text1"/>
        </w:rPr>
        <w:instrText xml:space="preserve"> ADDIN ZOTERO_ITEM CSL_CITATION {"citationID":"K2N0Zwme","properties":{"formattedCitation":"(Gu\\uc0\\u233{}gan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eastAsiaTheme="minorEastAsia" w:hAnsi="Arial" w:cs="Arial"/>
          <w:color w:val="000000" w:themeColor="text1"/>
        </w:rPr>
        <w:fldChar w:fldCharType="separate"/>
      </w:r>
      <w:r w:rsidRPr="00B13CBE">
        <w:rPr>
          <w:rFonts w:ascii="Arial" w:hAnsi="Arial" w:cs="Arial"/>
          <w:color w:val="000000" w:themeColor="text1"/>
        </w:rPr>
        <w:t>(Guégan and Hassani, 2019)</w:t>
      </w:r>
      <w:r w:rsidRPr="00B13CBE">
        <w:rPr>
          <w:rFonts w:ascii="Arial" w:eastAsiaTheme="minorEastAsia" w:hAnsi="Arial" w:cs="Arial"/>
          <w:color w:val="000000" w:themeColor="text1"/>
        </w:rPr>
        <w:fldChar w:fldCharType="end"/>
      </w:r>
      <w:r w:rsidRPr="00B13CBE">
        <w:rPr>
          <w:rFonts w:ascii="Arial" w:eastAsiaTheme="minorEastAsia" w:hAnsi="Arial" w:cs="Arial"/>
          <w:color w:val="000000" w:themeColor="text1"/>
        </w:rPr>
        <w:t>.</w:t>
      </w:r>
    </w:p>
    <w:p w14:paraId="72532650" w14:textId="77777777" w:rsidR="00DD4939" w:rsidRPr="00B13CBE" w:rsidRDefault="00C4772C" w:rsidP="00781A3B">
      <w:pPr>
        <w:pStyle w:val="Heading4"/>
        <w:spacing w:before="0"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t>Definition 2.2.1.2 Variance of a portfolio</w:t>
      </w:r>
    </w:p>
    <w:p w14:paraId="7AF1BA41" w14:textId="670F99AB" w:rsidR="001A1D48"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The portfolio variance</w:t>
      </w:r>
      <w:r w:rsidR="0042246E" w:rsidRPr="00B13CBE">
        <w:rPr>
          <w:rFonts w:ascii="Arial" w:hAnsi="Arial" w:cs="Arial"/>
          <w:color w:val="000000" w:themeColor="text1"/>
        </w:rPr>
        <w:t xml:space="preserve"> (</w:t>
      </w:r>
      <w:r w:rsidRPr="00B13CBE">
        <w:rPr>
          <w:rFonts w:ascii="Arial" w:hAnsi="Arial" w:cs="Arial"/>
          <w:color w:val="000000" w:themeColor="text1"/>
        </w:rPr>
        <w:t>it</w:t>
      </w:r>
      <w:r w:rsidR="00173054" w:rsidRPr="00B13CBE">
        <w:rPr>
          <w:rFonts w:ascii="Arial" w:hAnsi="Arial" w:cs="Arial"/>
          <w:color w:val="000000" w:themeColor="text1"/>
        </w:rPr>
        <w:t>s</w:t>
      </w:r>
      <w:r w:rsidRPr="00B13CBE">
        <w:rPr>
          <w:rFonts w:ascii="Arial" w:hAnsi="Arial" w:cs="Arial"/>
          <w:color w:val="000000" w:themeColor="text1"/>
        </w:rPr>
        <w:t xml:space="preserve"> risk</w:t>
      </w:r>
      <w:r w:rsidR="0042246E" w:rsidRPr="00B13CBE">
        <w:rPr>
          <w:rFonts w:ascii="Arial" w:hAnsi="Arial" w:cs="Arial"/>
          <w:color w:val="000000" w:themeColor="text1"/>
        </w:rPr>
        <w:t>)</w:t>
      </w:r>
      <w:r w:rsidRPr="00B13CBE">
        <w:rPr>
          <w:rFonts w:ascii="Arial" w:hAnsi="Arial" w:cs="Arial"/>
          <w:color w:val="000000" w:themeColor="text1"/>
        </w:rPr>
        <w:t xml:space="preserve">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7F5DCA" w:rsidRPr="00B13CBE" w14:paraId="54AC53A7" w14:textId="77777777" w:rsidTr="007F5DCA">
        <w:tc>
          <w:tcPr>
            <w:tcW w:w="805" w:type="dxa"/>
            <w:vAlign w:val="center"/>
          </w:tcPr>
          <w:p w14:paraId="46AE8A03" w14:textId="77777777" w:rsidR="007F5DCA" w:rsidRPr="00B13CBE" w:rsidRDefault="007F5DCA" w:rsidP="00FC6236">
            <w:pPr>
              <w:pStyle w:val="BodyText"/>
              <w:jc w:val="center"/>
              <w:rPr>
                <w:rFonts w:ascii="Arial" w:hAnsi="Arial" w:cs="Arial"/>
              </w:rPr>
            </w:pPr>
          </w:p>
        </w:tc>
        <w:tc>
          <w:tcPr>
            <w:tcW w:w="6840" w:type="dxa"/>
            <w:vAlign w:val="center"/>
          </w:tcPr>
          <w:p w14:paraId="30F15D2C" w14:textId="4D0A53E5" w:rsidR="007F5DCA" w:rsidRPr="00B13CBE" w:rsidRDefault="00FC49CE" w:rsidP="007F5DCA">
            <w:pPr>
              <w:pStyle w:val="BodyText"/>
              <w:spacing w:line="360" w:lineRule="auto"/>
              <w:jc w:val="both"/>
              <w:rPr>
                <w:rFonts w:ascii="Arial" w:eastAsiaTheme="minorEastAsia" w:hAnsi="Arial" w:cs="Arial"/>
                <w:color w:val="000000" w:themeColor="text1"/>
              </w:rPr>
            </w:pPr>
            <m:oMathPara>
              <m:oMath>
                <m:sSubSup>
                  <m:sSubSupPr>
                    <m:ctrlPr>
                      <w:rPr>
                        <w:rFonts w:ascii="Cambria Math" w:hAnsi="Cambria Math" w:cs="Arial"/>
                        <w:color w:val="000000" w:themeColor="text1"/>
                      </w:rPr>
                    </m:ctrlPr>
                  </m:sSubSupPr>
                  <m:e>
                    <m:r>
                      <m:rPr>
                        <m:sty m:val="p"/>
                      </m:rPr>
                      <w:rPr>
                        <w:rFonts w:ascii="Cambria Math" w:hAnsi="Cambria Math" w:cs="Arial"/>
                        <w:color w:val="000000" w:themeColor="text1"/>
                      </w:rPr>
                      <m:t>σ</m:t>
                    </m:r>
                  </m:e>
                  <m:sub>
                    <m:r>
                      <m:rPr>
                        <m:sty m:val="p"/>
                      </m:rPr>
                      <w:rPr>
                        <w:rFonts w:ascii="Cambria Math" w:hAnsi="Cambria Math" w:cs="Arial"/>
                        <w:color w:val="000000" w:themeColor="text1"/>
                      </w:rPr>
                      <m:t>p</m:t>
                    </m:r>
                  </m:sub>
                  <m:sup>
                    <m:r>
                      <m:rPr>
                        <m:sty m:val="p"/>
                      </m:rPr>
                      <w:rPr>
                        <w:rFonts w:ascii="Cambria Math" w:hAnsi="Cambria Math" w:cs="Arial"/>
                        <w:color w:val="000000" w:themeColor="text1"/>
                      </w:rPr>
                      <m:t>2</m:t>
                    </m:r>
                  </m:sup>
                </m:sSubSup>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m:rPr>
                        <m:sty m:val="p"/>
                      </m:rPr>
                      <w:rPr>
                        <w:rFonts w:ascii="Cambria Math" w:hAnsi="Cambria Math" w:cs="Arial"/>
                        <w:color w:val="000000" w:themeColor="text1"/>
                      </w:rPr>
                      <m:t>i=1</m:t>
                    </m:r>
                  </m:sub>
                  <m:sup>
                    <m:r>
                      <m:rPr>
                        <m:sty m:val="p"/>
                      </m:rPr>
                      <w:rPr>
                        <w:rFonts w:ascii="Cambria Math" w:hAnsi="Cambria Math" w:cs="Arial"/>
                        <w:color w:val="000000" w:themeColor="text1"/>
                      </w:rPr>
                      <m:t>N</m:t>
                    </m:r>
                  </m:sup>
                  <m:e>
                    <m:sSubSup>
                      <m:sSubSupPr>
                        <m:ctrlPr>
                          <w:rPr>
                            <w:rFonts w:ascii="Cambria Math" w:hAnsi="Cambria Math" w:cs="Arial"/>
                            <w:color w:val="000000" w:themeColor="text1"/>
                          </w:rPr>
                        </m:ctrlPr>
                      </m:sSubSupPr>
                      <m:e>
                        <m:r>
                          <m:rPr>
                            <m:sty m:val="p"/>
                          </m:rPr>
                          <w:rPr>
                            <w:rFonts w:ascii="Cambria Math" w:hAnsi="Cambria Math" w:cs="Arial"/>
                            <w:color w:val="000000" w:themeColor="text1"/>
                          </w:rPr>
                          <m:t>w</m:t>
                        </m:r>
                      </m:e>
                      <m:sub>
                        <m:r>
                          <m:rPr>
                            <m:sty m:val="p"/>
                          </m:rPr>
                          <w:rPr>
                            <w:rFonts w:ascii="Cambria Math" w:hAnsi="Cambria Math" w:cs="Arial"/>
                            <w:color w:val="000000" w:themeColor="text1"/>
                          </w:rPr>
                          <m:t>i</m:t>
                        </m:r>
                      </m:sub>
                      <m:sup>
                        <m:r>
                          <m:rPr>
                            <m:sty m:val="p"/>
                          </m:rPr>
                          <w:rPr>
                            <w:rFonts w:ascii="Cambria Math" w:hAnsi="Cambria Math" w:cs="Arial"/>
                            <w:color w:val="000000" w:themeColor="text1"/>
                          </w:rPr>
                          <m:t>2</m:t>
                        </m:r>
                      </m:sup>
                    </m:sSubSup>
                  </m:e>
                </m:nary>
                <m:sSubSup>
                  <m:sSubSupPr>
                    <m:ctrlPr>
                      <w:rPr>
                        <w:rFonts w:ascii="Cambria Math" w:hAnsi="Cambria Math" w:cs="Arial"/>
                        <w:color w:val="000000" w:themeColor="text1"/>
                      </w:rPr>
                    </m:ctrlPr>
                  </m:sSubSupPr>
                  <m:e>
                    <m:r>
                      <m:rPr>
                        <m:sty m:val="p"/>
                      </m:rPr>
                      <w:rPr>
                        <w:rFonts w:ascii="Cambria Math" w:hAnsi="Cambria Math" w:cs="Arial"/>
                        <w:color w:val="000000" w:themeColor="text1"/>
                      </w:rPr>
                      <m:t>σ</m:t>
                    </m:r>
                  </m:e>
                  <m:sub>
                    <m:r>
                      <m:rPr>
                        <m:sty m:val="p"/>
                      </m:rPr>
                      <w:rPr>
                        <w:rFonts w:ascii="Cambria Math" w:hAnsi="Cambria Math" w:cs="Arial"/>
                        <w:color w:val="000000" w:themeColor="text1"/>
                      </w:rPr>
                      <m:t>i</m:t>
                    </m:r>
                  </m:sub>
                  <m:sup>
                    <m:r>
                      <m:rPr>
                        <m:sty m:val="p"/>
                      </m:rPr>
                      <w:rPr>
                        <w:rFonts w:ascii="Cambria Math" w:hAnsi="Cambria Math" w:cs="Arial"/>
                        <w:color w:val="000000" w:themeColor="text1"/>
                      </w:rPr>
                      <m:t>2</m:t>
                    </m:r>
                  </m:sup>
                </m:sSubSup>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m:rPr>
                        <m:sty m:val="p"/>
                      </m:rPr>
                      <w:rPr>
                        <w:rFonts w:ascii="Cambria Math" w:hAnsi="Cambria Math" w:cs="Arial"/>
                        <w:color w:val="000000" w:themeColor="text1"/>
                      </w:rPr>
                      <m:t>i=1</m:t>
                    </m:r>
                  </m:sub>
                  <m:sup>
                    <m:r>
                      <m:rPr>
                        <m:sty m:val="p"/>
                      </m:rPr>
                      <w:rPr>
                        <w:rFonts w:ascii="Cambria Math" w:hAnsi="Cambria Math" w:cs="Arial"/>
                        <w:color w:val="000000" w:themeColor="text1"/>
                      </w:rPr>
                      <m:t>N</m:t>
                    </m:r>
                  </m:sup>
                  <m:e>
                    <m:nary>
                      <m:naryPr>
                        <m:chr m:val="∑"/>
                        <m:limLoc m:val="undOvr"/>
                        <m:supHide m:val="1"/>
                        <m:ctrlPr>
                          <w:rPr>
                            <w:rFonts w:ascii="Cambria Math" w:hAnsi="Cambria Math" w:cs="Arial"/>
                            <w:color w:val="000000" w:themeColor="text1"/>
                          </w:rPr>
                        </m:ctrlPr>
                      </m:naryPr>
                      <m:sub>
                        <m:r>
                          <m:rPr>
                            <m:sty m:val="p"/>
                          </m:rPr>
                          <w:rPr>
                            <w:rFonts w:ascii="Cambria Math" w:hAnsi="Cambria Math" w:cs="Arial"/>
                            <w:color w:val="000000" w:themeColor="text1"/>
                          </w:rPr>
                          <m:t>j≠i</m:t>
                        </m:r>
                      </m:sub>
                      <m:sup>
                        <m:r>
                          <m:rPr>
                            <m:sty m:val="p"/>
                          </m:rPr>
                          <w:rPr>
                            <w:rFonts w:ascii="Cambria Math" w:hAnsi="Cambria Math" w:cs="Arial"/>
                            <w:color w:val="000000" w:themeColor="text1"/>
                          </w:rPr>
                          <m:t>​</m:t>
                        </m:r>
                      </m:sup>
                      <m:e>
                        <m:sSub>
                          <m:sSubPr>
                            <m:ctrlPr>
                              <w:rPr>
                                <w:rFonts w:ascii="Cambria Math" w:hAnsi="Cambria Math" w:cs="Arial"/>
                                <w:color w:val="000000" w:themeColor="text1"/>
                              </w:rPr>
                            </m:ctrlPr>
                          </m:sSubPr>
                          <m:e>
                            <m:r>
                              <m:rPr>
                                <m:sty m:val="p"/>
                              </m:rPr>
                              <w:rPr>
                                <w:rFonts w:ascii="Cambria Math" w:hAnsi="Cambria Math" w:cs="Arial"/>
                                <w:color w:val="000000" w:themeColor="text1"/>
                              </w:rPr>
                              <m:t>w</m:t>
                            </m:r>
                          </m:e>
                          <m:sub>
                            <m:r>
                              <m:rPr>
                                <m:sty m:val="p"/>
                              </m:rPr>
                              <w:rPr>
                                <w:rFonts w:ascii="Cambria Math" w:hAnsi="Cambria Math" w:cs="Arial"/>
                                <w:color w:val="000000" w:themeColor="text1"/>
                              </w:rPr>
                              <m:t>j</m:t>
                            </m:r>
                          </m:sub>
                        </m:sSub>
                      </m:e>
                    </m:nary>
                  </m:e>
                </m:nary>
                <m:sSub>
                  <m:sSubPr>
                    <m:ctrlPr>
                      <w:rPr>
                        <w:rFonts w:ascii="Cambria Math" w:hAnsi="Cambria Math" w:cs="Arial"/>
                        <w:color w:val="000000" w:themeColor="text1"/>
                      </w:rPr>
                    </m:ctrlPr>
                  </m:sSubPr>
                  <m:e>
                    <m:r>
                      <m:rPr>
                        <m:sty m:val="p"/>
                      </m:rPr>
                      <w:rPr>
                        <w:rFonts w:ascii="Cambria Math" w:hAnsi="Cambria Math" w:cs="Arial"/>
                        <w:color w:val="000000" w:themeColor="text1"/>
                      </w:rPr>
                      <m:t>w</m:t>
                    </m:r>
                  </m:e>
                  <m:sub>
                    <m:r>
                      <m:rPr>
                        <m:sty m:val="p"/>
                      </m:rPr>
                      <w:rPr>
                        <w:rFonts w:ascii="Cambria Math" w:hAnsi="Cambria Math" w:cs="Arial"/>
                        <w:color w:val="000000" w:themeColor="text1"/>
                      </w:rPr>
                      <m:t>j</m:t>
                    </m:r>
                  </m:sub>
                </m:sSub>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i</m:t>
                    </m:r>
                  </m:sub>
                </m:sSub>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j</m:t>
                    </m:r>
                  </m:sub>
                </m:sSub>
                <m:sSub>
                  <m:sSubPr>
                    <m:ctrlPr>
                      <w:rPr>
                        <w:rFonts w:ascii="Cambria Math" w:hAnsi="Cambria Math" w:cs="Arial"/>
                        <w:color w:val="000000" w:themeColor="text1"/>
                      </w:rPr>
                    </m:ctrlPr>
                  </m:sSubPr>
                  <m:e>
                    <m:r>
                      <m:rPr>
                        <m:sty m:val="p"/>
                      </m:rPr>
                      <w:rPr>
                        <w:rFonts w:ascii="Cambria Math" w:hAnsi="Cambria Math" w:cs="Arial"/>
                        <w:color w:val="000000" w:themeColor="text1"/>
                      </w:rPr>
                      <m:t>ρ</m:t>
                    </m:r>
                  </m:e>
                  <m:sub>
                    <m:r>
                      <m:rPr>
                        <m:sty m:val="p"/>
                      </m:rPr>
                      <w:rPr>
                        <w:rFonts w:ascii="Cambria Math" w:hAnsi="Cambria Math" w:cs="Arial"/>
                        <w:color w:val="000000" w:themeColor="text1"/>
                      </w:rPr>
                      <m:t>ij</m:t>
                    </m:r>
                  </m:sub>
                </m:sSub>
              </m:oMath>
            </m:oMathPara>
          </w:p>
        </w:tc>
        <w:tc>
          <w:tcPr>
            <w:tcW w:w="985" w:type="dxa"/>
            <w:vAlign w:val="center"/>
          </w:tcPr>
          <w:p w14:paraId="369030C9" w14:textId="3D6110D3" w:rsidR="007F5DCA" w:rsidRPr="00B13CBE" w:rsidRDefault="007F5DCA"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2</w:t>
            </w:r>
            <w:r w:rsidR="00FC6236" w:rsidRPr="00B13CBE">
              <w:rPr>
                <w:rFonts w:ascii="Arial" w:hAnsi="Arial" w:cs="Arial"/>
                <w:noProof/>
              </w:rPr>
              <w:fldChar w:fldCharType="end"/>
            </w:r>
            <w:r w:rsidRPr="00B13CBE">
              <w:rPr>
                <w:rFonts w:ascii="Arial" w:hAnsi="Arial" w:cs="Arial"/>
              </w:rPr>
              <w:t>)</w:t>
            </w:r>
          </w:p>
        </w:tc>
      </w:tr>
    </w:tbl>
    <w:p w14:paraId="140A7429" w14:textId="77777777" w:rsidR="00E22373"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where </w:t>
      </w:r>
      <m:oMath>
        <m:sSubSup>
          <m:sSubSupPr>
            <m:ctrlPr>
              <w:rPr>
                <w:rFonts w:ascii="Cambria Math" w:hAnsi="Cambria Math" w:cs="Arial"/>
                <w:color w:val="000000" w:themeColor="text1"/>
              </w:rPr>
            </m:ctrlPr>
          </m:sSubSupPr>
          <m:e>
            <m:r>
              <m:rPr>
                <m:sty m:val="p"/>
              </m:rPr>
              <w:rPr>
                <w:rFonts w:ascii="Cambria Math" w:hAnsi="Cambria Math" w:cs="Arial"/>
                <w:color w:val="000000" w:themeColor="text1"/>
              </w:rPr>
              <m:t>σ</m:t>
            </m:r>
          </m:e>
          <m:sub>
            <m:r>
              <m:rPr>
                <m:sty m:val="p"/>
              </m:rPr>
              <w:rPr>
                <w:rFonts w:ascii="Cambria Math" w:hAnsi="Cambria Math" w:cs="Arial"/>
                <w:color w:val="000000" w:themeColor="text1"/>
              </w:rPr>
              <m:t>i</m:t>
            </m:r>
          </m:sub>
          <m:sup>
            <m:r>
              <m:rPr>
                <m:sty m:val="p"/>
              </m:rPr>
              <w:rPr>
                <w:rFonts w:ascii="Cambria Math" w:hAnsi="Cambria Math" w:cs="Arial"/>
                <w:color w:val="000000" w:themeColor="text1"/>
              </w:rPr>
              <m:t>2</m:t>
            </m:r>
          </m:sup>
        </m:sSubSup>
      </m:oMath>
      <w:r w:rsidRPr="00B13CBE">
        <w:rPr>
          <w:rFonts w:ascii="Arial" w:hAnsi="Arial" w:cs="Arial"/>
          <w:color w:val="000000" w:themeColor="text1"/>
        </w:rPr>
        <w:t xml:space="preserve"> is the volatility of asset </w:t>
      </w:r>
      <m:oMath>
        <m:r>
          <m:rPr>
            <m:sty m:val="p"/>
          </m:rPr>
          <w:rPr>
            <w:rFonts w:ascii="Cambria Math" w:hAnsi="Cambria Math" w:cs="Arial"/>
            <w:color w:val="000000" w:themeColor="text1"/>
          </w:rPr>
          <m:t>i</m:t>
        </m:r>
      </m:oMath>
      <w:r w:rsidRPr="00B13CBE">
        <w:rPr>
          <w:rFonts w:ascii="Arial" w:hAnsi="Arial" w:cs="Arial"/>
          <w:color w:val="000000" w:themeColor="text1"/>
        </w:rPr>
        <w:t xml:space="preserve"> , </w:t>
      </w:r>
      <m:oMath>
        <m:sSubSup>
          <m:sSubSupPr>
            <m:ctrlPr>
              <w:rPr>
                <w:rFonts w:ascii="Cambria Math" w:hAnsi="Cambria Math" w:cs="Arial"/>
                <w:color w:val="000000" w:themeColor="text1"/>
              </w:rPr>
            </m:ctrlPr>
          </m:sSubSupPr>
          <m:e>
            <m:r>
              <m:rPr>
                <m:sty m:val="p"/>
              </m:rPr>
              <w:rPr>
                <w:rFonts w:ascii="Cambria Math" w:hAnsi="Cambria Math" w:cs="Arial"/>
                <w:color w:val="000000" w:themeColor="text1"/>
              </w:rPr>
              <m:t>σ</m:t>
            </m:r>
          </m:e>
          <m:sub>
            <m:r>
              <m:rPr>
                <m:sty m:val="p"/>
              </m:rPr>
              <w:rPr>
                <w:rFonts w:ascii="Cambria Math" w:hAnsi="Cambria Math" w:cs="Arial"/>
                <w:color w:val="000000" w:themeColor="text1"/>
              </w:rPr>
              <m:t>p</m:t>
            </m:r>
          </m:sub>
          <m:sup>
            <m:r>
              <m:rPr>
                <m:sty m:val="p"/>
              </m:rPr>
              <w:rPr>
                <w:rFonts w:ascii="Cambria Math" w:hAnsi="Cambria Math" w:cs="Arial"/>
                <w:color w:val="000000" w:themeColor="text1"/>
              </w:rPr>
              <m:t>2</m:t>
            </m:r>
          </m:sup>
        </m:sSubSup>
      </m:oMath>
      <w:r w:rsidRPr="00B13CBE">
        <w:rPr>
          <w:rFonts w:ascii="Arial" w:eastAsiaTheme="minorEastAsia" w:hAnsi="Arial" w:cs="Arial"/>
          <w:color w:val="000000" w:themeColor="text1"/>
        </w:rPr>
        <w:t xml:space="preserve"> is the volatility of the portfolio</w:t>
      </w:r>
      <w:r w:rsidR="00CF6174" w:rsidRPr="00B13CBE">
        <w:rPr>
          <w:rFonts w:ascii="Arial" w:eastAsiaTheme="minorEastAsia" w:hAnsi="Arial" w:cs="Arial"/>
          <w:color w:val="000000" w:themeColor="text1"/>
        </w:rPr>
        <w:t xml:space="preserve">, </w:t>
      </w:r>
      <w:r w:rsidRPr="00B13CBE">
        <w:rPr>
          <w:rFonts w:ascii="Arial" w:hAnsi="Arial" w:cs="Arial"/>
          <w:color w:val="000000" w:themeColor="text1"/>
        </w:rPr>
        <w:t xml:space="preserve">and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ρ</m:t>
            </m:r>
          </m:e>
          <m:sub>
            <m:r>
              <m:rPr>
                <m:sty m:val="p"/>
              </m:rPr>
              <w:rPr>
                <w:rFonts w:ascii="Cambria Math" w:hAnsi="Cambria Math" w:cs="Arial"/>
                <w:color w:val="000000" w:themeColor="text1"/>
              </w:rPr>
              <m:t>ij</m:t>
            </m:r>
          </m:sub>
        </m:sSub>
      </m:oMath>
      <w:r w:rsidRPr="00B13CBE">
        <w:rPr>
          <w:rFonts w:ascii="Arial" w:hAnsi="Arial" w:cs="Arial"/>
          <w:color w:val="000000" w:themeColor="text1"/>
        </w:rPr>
        <w:t xml:space="preserve"> is the correlation between asset </w:t>
      </w:r>
      <m:oMath>
        <m:r>
          <m:rPr>
            <m:sty m:val="p"/>
          </m:rPr>
          <w:rPr>
            <w:rFonts w:ascii="Cambria Math" w:hAnsi="Cambria Math" w:cs="Arial"/>
            <w:color w:val="000000" w:themeColor="text1"/>
          </w:rPr>
          <m:t>i</m:t>
        </m:r>
      </m:oMath>
      <w:r w:rsidRPr="00B13CBE">
        <w:rPr>
          <w:rFonts w:ascii="Arial" w:hAnsi="Arial" w:cs="Arial"/>
          <w:color w:val="000000" w:themeColor="text1"/>
        </w:rPr>
        <w:t xml:space="preserve"> and asset </w:t>
      </w:r>
      <m:oMath>
        <m:r>
          <m:rPr>
            <m:sty m:val="p"/>
          </m:rPr>
          <w:rPr>
            <w:rFonts w:ascii="Cambria Math" w:hAnsi="Cambria Math" w:cs="Arial"/>
            <w:color w:val="000000" w:themeColor="text1"/>
          </w:rPr>
          <m:t>j</m:t>
        </m:r>
      </m:oMath>
      <w:r w:rsidR="00DD4939" w:rsidRPr="00B13CBE">
        <w:rPr>
          <w:rFonts w:ascii="Arial" w:eastAsiaTheme="minorEastAsia" w:hAnsi="Arial" w:cs="Arial"/>
          <w:color w:val="000000" w:themeColor="text1"/>
        </w:rPr>
        <w:t xml:space="preserve"> </w:t>
      </w:r>
      <w:r w:rsidR="00DD4939" w:rsidRPr="00B13CBE">
        <w:rPr>
          <w:rFonts w:ascii="Arial" w:eastAsiaTheme="minorEastAsia" w:hAnsi="Arial" w:cs="Arial"/>
          <w:color w:val="000000" w:themeColor="text1"/>
        </w:rPr>
        <w:fldChar w:fldCharType="begin"/>
      </w:r>
      <w:r w:rsidR="00DD4939" w:rsidRPr="00B13CBE">
        <w:rPr>
          <w:rFonts w:ascii="Arial" w:eastAsiaTheme="minorEastAsia" w:hAnsi="Arial" w:cs="Arial"/>
          <w:color w:val="000000" w:themeColor="text1"/>
        </w:rPr>
        <w:instrText xml:space="preserve"> ADDIN ZOTERO_ITEM CSL_CITATION {"citationID":"j5zpRYDc","properties":{"formattedCitation":"(Gu\\uc0\\u233{}gan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00DD4939" w:rsidRPr="00B13CBE">
        <w:rPr>
          <w:rFonts w:ascii="Arial" w:eastAsiaTheme="minorEastAsia" w:hAnsi="Arial" w:cs="Arial"/>
          <w:color w:val="000000" w:themeColor="text1"/>
        </w:rPr>
        <w:fldChar w:fldCharType="separate"/>
      </w:r>
      <w:r w:rsidR="00DD4939" w:rsidRPr="00B13CBE">
        <w:rPr>
          <w:rFonts w:ascii="Arial" w:hAnsi="Arial" w:cs="Arial"/>
          <w:color w:val="000000" w:themeColor="text1"/>
        </w:rPr>
        <w:t>(Guégan and Hassani, 2019)</w:t>
      </w:r>
      <w:r w:rsidR="00DD4939" w:rsidRPr="00B13CBE">
        <w:rPr>
          <w:rFonts w:ascii="Arial" w:eastAsiaTheme="minorEastAsia" w:hAnsi="Arial" w:cs="Arial"/>
          <w:color w:val="000000" w:themeColor="text1"/>
        </w:rPr>
        <w:fldChar w:fldCharType="end"/>
      </w:r>
      <w:r w:rsidRPr="00B13CBE">
        <w:rPr>
          <w:rFonts w:ascii="Arial" w:hAnsi="Arial" w:cs="Arial"/>
          <w:color w:val="000000" w:themeColor="text1"/>
        </w:rPr>
        <w:t xml:space="preserve">. </w:t>
      </w:r>
    </w:p>
    <w:p w14:paraId="701715C5" w14:textId="77777777" w:rsidR="001A1D48"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fldChar w:fldCharType="begin"/>
      </w:r>
      <w:r w:rsidR="00FA45AF" w:rsidRPr="00B13CBE">
        <w:rPr>
          <w:rFonts w:ascii="Arial" w:hAnsi="Arial" w:cs="Arial"/>
          <w:color w:val="000000" w:themeColor="text1"/>
        </w:rPr>
        <w:instrText xml:space="preserve"> ADDIN ZOTERO_ITEM CSL_CITATION {"citationID":"IkuiIdw0","properties":{"formattedCitation":"(Markowitz,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rPr>
        <w:fldChar w:fldCharType="separate"/>
      </w:r>
      <w:r w:rsidRPr="00B13CBE">
        <w:rPr>
          <w:rFonts w:ascii="Arial" w:hAnsi="Arial" w:cs="Arial"/>
          <w:color w:val="000000" w:themeColor="text1"/>
        </w:rPr>
        <w:t>Markowitz (1959)</w:t>
      </w:r>
      <w:r w:rsidRPr="00B13CBE">
        <w:rPr>
          <w:rFonts w:ascii="Arial" w:hAnsi="Arial" w:cs="Arial"/>
          <w:color w:val="000000" w:themeColor="text1"/>
        </w:rPr>
        <w:fldChar w:fldCharType="end"/>
      </w:r>
      <w:r w:rsidRPr="00B13CBE">
        <w:rPr>
          <w:rFonts w:ascii="Arial" w:hAnsi="Arial" w:cs="Arial"/>
          <w:color w:val="000000" w:themeColor="text1"/>
        </w:rPr>
        <w:t xml:space="preserve"> used this definition of portfolio risk to show that an increase in the correlation between pairs of assets in a portfolio increase</w:t>
      </w:r>
      <w:r w:rsidR="0042246E" w:rsidRPr="00B13CBE">
        <w:rPr>
          <w:rFonts w:ascii="Arial" w:hAnsi="Arial" w:cs="Arial"/>
          <w:color w:val="000000" w:themeColor="text1"/>
        </w:rPr>
        <w:t>s</w:t>
      </w:r>
      <w:r w:rsidRPr="00B13CBE">
        <w:rPr>
          <w:rFonts w:ascii="Arial" w:hAnsi="Arial" w:cs="Arial"/>
          <w:color w:val="000000" w:themeColor="text1"/>
        </w:rPr>
        <w:t xml:space="preserve"> the portfolio's risk.</w:t>
      </w:r>
      <w:r w:rsidR="0042246E" w:rsidRPr="00B13CBE">
        <w:rPr>
          <w:rFonts w:ascii="Arial" w:hAnsi="Arial" w:cs="Arial"/>
          <w:color w:val="000000" w:themeColor="text1"/>
        </w:rPr>
        <w:t xml:space="preserve"> Thus,</w:t>
      </w:r>
      <w:r w:rsidRPr="00B13CBE">
        <w:rPr>
          <w:rFonts w:ascii="Arial" w:hAnsi="Arial" w:cs="Arial"/>
          <w:color w:val="000000" w:themeColor="text1"/>
        </w:rPr>
        <w:t xml:space="preserve"> </w:t>
      </w:r>
      <w:r w:rsidR="0042246E" w:rsidRPr="00B13CBE">
        <w:rPr>
          <w:rFonts w:ascii="Arial" w:hAnsi="Arial" w:cs="Arial"/>
          <w:color w:val="000000" w:themeColor="text1"/>
        </w:rPr>
        <w:t>p</w:t>
      </w:r>
      <w:r w:rsidRPr="00B13CBE">
        <w:rPr>
          <w:rFonts w:ascii="Arial" w:hAnsi="Arial" w:cs="Arial"/>
          <w:color w:val="000000" w:themeColor="text1"/>
        </w:rPr>
        <w:t xml:space="preserve">ortfolio construction </w:t>
      </w:r>
      <w:r w:rsidR="0042246E" w:rsidRPr="00B13CBE">
        <w:rPr>
          <w:rFonts w:ascii="Arial" w:hAnsi="Arial" w:cs="Arial"/>
          <w:color w:val="000000" w:themeColor="text1"/>
        </w:rPr>
        <w:t>under this framework</w:t>
      </w:r>
      <w:r w:rsidRPr="00B13CBE">
        <w:rPr>
          <w:rFonts w:ascii="Arial" w:hAnsi="Arial" w:cs="Arial"/>
          <w:color w:val="000000" w:themeColor="text1"/>
        </w:rPr>
        <w:t xml:space="preserve"> involve</w:t>
      </w:r>
      <w:r w:rsidR="005E0109" w:rsidRPr="00B13CBE">
        <w:rPr>
          <w:rFonts w:ascii="Arial" w:hAnsi="Arial" w:cs="Arial"/>
          <w:color w:val="000000" w:themeColor="text1"/>
        </w:rPr>
        <w:t>s</w:t>
      </w:r>
      <w:r w:rsidRPr="00B13CBE">
        <w:rPr>
          <w:rFonts w:ascii="Arial" w:hAnsi="Arial" w:cs="Arial"/>
          <w:color w:val="000000" w:themeColor="text1"/>
        </w:rPr>
        <w:t xml:space="preserve"> picking the combination of risk-return that sui</w:t>
      </w:r>
      <w:r w:rsidR="005E0109" w:rsidRPr="00B13CBE">
        <w:rPr>
          <w:rFonts w:ascii="Arial" w:hAnsi="Arial" w:cs="Arial"/>
          <w:color w:val="000000" w:themeColor="text1"/>
        </w:rPr>
        <w:t>ts</w:t>
      </w:r>
      <w:r w:rsidRPr="00B13CBE">
        <w:rPr>
          <w:rFonts w:ascii="Arial" w:hAnsi="Arial" w:cs="Arial"/>
          <w:color w:val="000000" w:themeColor="text1"/>
        </w:rPr>
        <w:t xml:space="preserve"> the investor’s risk appetite. This framework came to be known as the Mean-Variance framework. </w:t>
      </w:r>
    </w:p>
    <w:p w14:paraId="40AB0E58" w14:textId="77777777" w:rsidR="001A1D48"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According to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{"citationID":"mp6STVRT","properties":{"formattedCitation":"(Harlow, 1991)","plainCitation":"(Harlow, 1991)","dontUpdate":true,"noteIndex":0},"citationItems":[{"id":426,"uris":["http://zotero.org/users/local/XXne8Mwc/items/FGUFC4KC"],"uri":["http://zotero.org/users/local/XXne8Mwc/items/FGUFC4KC"],"itemData":{"id":426,"type":"article-journal","container-title":"Financial Analysts Journal","DOI":"10.2469/faj.v47.n5.28","ISSN":"0015-198X","issue":"5","note":"publisher: Routledge\n_eprint: https://doi.org/10.2469/faj.v47.n5.28","page":"28-40","source":"Taylor and Francis+NEJM","title":"Asset Allocation in a Downside-Risk Framework","volume":"47","author":[{"family":"Harlow","given":"W. V."}],"issued":{"date-parts":[["1991",9,1]]}}}],"schema":"https://github.com/citation-style-language/schema/raw/master/csl-citation.json"}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Harlow</w:t>
      </w:r>
      <w:r w:rsidR="005E0109" w:rsidRPr="00B13CBE">
        <w:rPr>
          <w:rFonts w:ascii="Arial" w:hAnsi="Arial" w:cs="Arial"/>
          <w:color w:val="000000" w:themeColor="text1"/>
          <w:sz w:val="24"/>
          <w:szCs w:val="24"/>
        </w:rPr>
        <w:t xml:space="preserve"> </w:t>
      </w:r>
      <w:r w:rsidR="0042246E" w:rsidRPr="00B13CBE">
        <w:rPr>
          <w:rFonts w:ascii="Arial" w:hAnsi="Arial" w:cs="Arial"/>
          <w:color w:val="000000" w:themeColor="text1"/>
          <w:sz w:val="24"/>
          <w:szCs w:val="24"/>
        </w:rPr>
        <w:t>(</w:t>
      </w:r>
      <w:r w:rsidRPr="00B13CBE">
        <w:rPr>
          <w:rFonts w:ascii="Arial" w:hAnsi="Arial" w:cs="Arial"/>
          <w:color w:val="000000" w:themeColor="text1"/>
          <w:sz w:val="24"/>
          <w:szCs w:val="24"/>
        </w:rPr>
        <w:t>1991)</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even though </w:t>
      </w:r>
      <w:r w:rsidR="005E0109" w:rsidRPr="00B13CBE">
        <w:rPr>
          <w:rFonts w:ascii="Arial" w:hAnsi="Arial" w:cs="Arial"/>
          <w:color w:val="000000" w:themeColor="text1"/>
          <w:sz w:val="24"/>
          <w:szCs w:val="24"/>
        </w:rPr>
        <w:t>portfolio construction</w:t>
      </w:r>
      <w:r w:rsidRPr="00B13CBE">
        <w:rPr>
          <w:rFonts w:ascii="Arial" w:hAnsi="Arial" w:cs="Arial"/>
          <w:color w:val="000000" w:themeColor="text1"/>
          <w:sz w:val="24"/>
          <w:szCs w:val="24"/>
        </w:rPr>
        <w:t xml:space="preserve"> under the Mean-Variance framewor</w:t>
      </w:r>
      <w:r w:rsidR="005E0109" w:rsidRPr="00B13CBE">
        <w:rPr>
          <w:rFonts w:ascii="Arial" w:hAnsi="Arial" w:cs="Arial"/>
          <w:color w:val="000000" w:themeColor="text1"/>
          <w:sz w:val="24"/>
          <w:szCs w:val="24"/>
        </w:rPr>
        <w:t>k</w:t>
      </w:r>
      <w:r w:rsidR="00FA0906"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based on</w:t>
      </w:r>
      <w:r w:rsidR="005E0109" w:rsidRPr="00B13CBE">
        <w:rPr>
          <w:rFonts w:ascii="Arial" w:hAnsi="Arial" w:cs="Arial"/>
          <w:color w:val="000000" w:themeColor="text1"/>
          <w:sz w:val="24"/>
          <w:szCs w:val="24"/>
        </w:rPr>
        <w:t xml:space="preserve"> the </w:t>
      </w:r>
      <w:r w:rsidRPr="00B13CBE">
        <w:rPr>
          <w:rFonts w:ascii="Arial" w:hAnsi="Arial" w:cs="Arial"/>
          <w:color w:val="000000" w:themeColor="text1"/>
          <w:sz w:val="24"/>
          <w:szCs w:val="24"/>
        </w:rPr>
        <w:t>risk and return characteristics</w:t>
      </w:r>
      <w:r w:rsidR="00FA0906" w:rsidRPr="00B13CBE">
        <w:rPr>
          <w:rFonts w:ascii="Arial" w:hAnsi="Arial" w:cs="Arial"/>
          <w:color w:val="000000" w:themeColor="text1"/>
          <w:sz w:val="24"/>
          <w:szCs w:val="24"/>
        </w:rPr>
        <w:t>)</w:t>
      </w:r>
      <w:r w:rsidR="005E0109"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made intuitive sense, the definition of risk was ambiguous. The Mean-Variance framework assumed that all investors were risk-averse and</w:t>
      </w:r>
      <w:r w:rsidR="00E237CE" w:rsidRPr="00B13CBE">
        <w:rPr>
          <w:rFonts w:ascii="Arial" w:hAnsi="Arial" w:cs="Arial"/>
          <w:color w:val="000000" w:themeColor="text1"/>
          <w:sz w:val="24"/>
          <w:szCs w:val="24"/>
        </w:rPr>
        <w:t xml:space="preserve"> would choose the less risky of</w:t>
      </w:r>
      <w:r w:rsidRPr="00B13CBE">
        <w:rPr>
          <w:rFonts w:ascii="Arial" w:hAnsi="Arial" w:cs="Arial"/>
          <w:color w:val="000000" w:themeColor="text1"/>
          <w:sz w:val="24"/>
          <w:szCs w:val="24"/>
        </w:rPr>
        <w:t xml:space="preserve"> two portfolios with the same expected return. Additionally, the Mean-Variance framework of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{"citationID":"gLA9l6mm","properties":{"formattedCitation":"(Markowitz,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Markowitz (1959)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assumed that assets were normally distributed. Standard normality tests</w:t>
      </w:r>
      <w:r w:rsidR="00173054"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such as the Jarque-Bera test</w:t>
      </w:r>
      <w:r w:rsidR="00173054"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show that asset returns are not normally distributed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{"citationID":"5qqpLyvp","properties":{"formattedCitation":"(Dowd, 2002)","plainCitation":"(Dowd, 2002)","noteIndex":0},"citationItems":[{"id":421,"uris":["http://zotero.org/users/local/XXne8Mwc/items/B8KISCL3"],"uri":["http://zotero.org/users/local/XXne8Mwc/items/B8KISCL3"],"itemData":{"id":421,"type":"article","source":"CiteSeer","title":"An Introduction to Market Risk Measurement","author":[{"family":"Dowd","given":"Kevin"}],"issued":{"date-parts":[["2002"]]}}}],"schema":"https://github.com/citation-style-language/schema/raw/master/csl-citation.json"}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(Dowd, 2002)</w:t>
      </w:r>
      <w:r w:rsidRPr="00B13CBE">
        <w:rPr>
          <w:rFonts w:ascii="Arial" w:hAnsi="Arial" w:cs="Arial"/>
          <w:color w:val="000000" w:themeColor="text1"/>
          <w:sz w:val="24"/>
          <w:szCs w:val="24"/>
        </w:rPr>
        <w:fldChar w:fldCharType="end"/>
      </w:r>
      <w:r w:rsidR="00FA0906"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Furthermore,</w:t>
      </w:r>
      <w:r w:rsidR="00FA0906" w:rsidRPr="00B13CBE">
        <w:rPr>
          <w:rFonts w:ascii="Arial" w:hAnsi="Arial" w:cs="Arial"/>
          <w:color w:val="000000" w:themeColor="text1"/>
          <w:sz w:val="24"/>
          <w:szCs w:val="24"/>
        </w:rPr>
        <w:t xml:space="preserve"> variance was a poor measure of risk </w:t>
      </w:r>
      <w:r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{"citationID":"s0wdpiov","properties":{"formattedCitation":"(Gu\\uc0\\u233{}gan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(Guégan and Hassani, 2019)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Variance gives equal weight to upside and downside risk, even though upside risk is a positive outcome. As discussed in Section 2.1, variation in asset returns is asymmetric.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{"citationID":"z6Z2pmbb","properties":{"formattedCitation":"(Markowitz,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Markowitz (1959)</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suggested that the left tail of an asset’s distribution be used as the </w:t>
      </w:r>
      <w:r w:rsidRPr="00B13CBE">
        <w:rPr>
          <w:rFonts w:ascii="Arial" w:hAnsi="Arial" w:cs="Arial"/>
          <w:i/>
          <w:iCs/>
          <w:color w:val="000000" w:themeColor="text1"/>
          <w:sz w:val="24"/>
          <w:szCs w:val="24"/>
        </w:rPr>
        <w:t>de facto</w:t>
      </w:r>
      <w:r w:rsidRPr="00B13CBE">
        <w:rPr>
          <w:rFonts w:ascii="Arial" w:hAnsi="Arial" w:cs="Arial"/>
          <w:color w:val="000000" w:themeColor="text1"/>
          <w:sz w:val="24"/>
          <w:szCs w:val="24"/>
        </w:rPr>
        <w:t xml:space="preserve"> measure of risk</w:t>
      </w:r>
      <w:r w:rsidR="00FA0906" w:rsidRPr="00B13CBE">
        <w:rPr>
          <w:rFonts w:ascii="Arial" w:hAnsi="Arial" w:cs="Arial"/>
          <w:color w:val="000000" w:themeColor="text1"/>
          <w:sz w:val="24"/>
          <w:szCs w:val="24"/>
        </w:rPr>
        <w:t xml:space="preserve"> instead of variance</w:t>
      </w:r>
      <w:r w:rsidRPr="00B13CBE">
        <w:rPr>
          <w:rFonts w:ascii="Arial" w:hAnsi="Arial" w:cs="Arial"/>
          <w:color w:val="000000" w:themeColor="text1"/>
          <w:sz w:val="24"/>
          <w:szCs w:val="24"/>
        </w:rPr>
        <w:t xml:space="preserve"> in the Mean-Variance framework. This</w:t>
      </w:r>
      <w:r w:rsidR="0042246E"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risk measure </w:t>
      </w:r>
      <w:r w:rsidR="0042246E" w:rsidRPr="00B13CBE">
        <w:rPr>
          <w:rFonts w:ascii="Arial" w:hAnsi="Arial" w:cs="Arial"/>
          <w:color w:val="000000" w:themeColor="text1"/>
          <w:sz w:val="24"/>
          <w:szCs w:val="24"/>
        </w:rPr>
        <w:t xml:space="preserve">is </w:t>
      </w:r>
      <w:r w:rsidRPr="00B13CBE">
        <w:rPr>
          <w:rFonts w:ascii="Arial" w:hAnsi="Arial" w:cs="Arial"/>
          <w:color w:val="000000" w:themeColor="text1"/>
          <w:sz w:val="24"/>
          <w:szCs w:val="24"/>
        </w:rPr>
        <w:t>called ‘semivariance</w:t>
      </w:r>
      <w:r w:rsidR="00CF6174"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w:t>
      </w:r>
      <w:r w:rsidR="0042246E" w:rsidRPr="00B13CBE">
        <w:rPr>
          <w:rFonts w:ascii="Arial" w:hAnsi="Arial" w:cs="Arial"/>
          <w:color w:val="000000" w:themeColor="text1"/>
          <w:sz w:val="24"/>
          <w:szCs w:val="24"/>
        </w:rPr>
        <w:t xml:space="preserve">It </w:t>
      </w:r>
      <w:r w:rsidRPr="00B13CBE">
        <w:rPr>
          <w:rFonts w:ascii="Arial" w:hAnsi="Arial" w:cs="Arial"/>
          <w:color w:val="000000" w:themeColor="text1"/>
          <w:sz w:val="24"/>
          <w:szCs w:val="24"/>
        </w:rPr>
        <w:t>was found to be insufficient</w:t>
      </w:r>
      <w:r w:rsidR="0042246E" w:rsidRPr="00B13CBE">
        <w:rPr>
          <w:rFonts w:ascii="Arial" w:hAnsi="Arial" w:cs="Arial"/>
          <w:color w:val="000000" w:themeColor="text1"/>
          <w:sz w:val="24"/>
          <w:szCs w:val="24"/>
        </w:rPr>
        <w:t xml:space="preserve"> since it</w:t>
      </w:r>
      <w:r w:rsidRPr="00B13CBE">
        <w:rPr>
          <w:rFonts w:ascii="Arial" w:hAnsi="Arial" w:cs="Arial"/>
          <w:color w:val="000000" w:themeColor="text1"/>
          <w:sz w:val="24"/>
          <w:szCs w:val="24"/>
        </w:rPr>
        <w:t xml:space="preserve"> assumed that all investors defined risk as the downside deviation from zero</w:t>
      </w:r>
      <w:r w:rsidR="00FA0906" w:rsidRPr="00B13CBE">
        <w:rPr>
          <w:rFonts w:ascii="Arial" w:hAnsi="Arial" w:cs="Arial"/>
          <w:color w:val="000000" w:themeColor="text1"/>
          <w:sz w:val="24"/>
          <w:szCs w:val="24"/>
        </w:rPr>
        <w:t xml:space="preserve"> </w:t>
      </w:r>
      <w:r w:rsidR="0042246E" w:rsidRPr="00B13CBE">
        <w:rPr>
          <w:rFonts w:ascii="Arial" w:hAnsi="Arial" w:cs="Arial"/>
          <w:color w:val="000000" w:themeColor="text1"/>
          <w:sz w:val="24"/>
          <w:szCs w:val="24"/>
        </w:rPr>
        <w:fldChar w:fldCharType="begin"/>
      </w:r>
      <w:r w:rsidR="0042246E" w:rsidRPr="00B13CBE">
        <w:rPr>
          <w:rFonts w:ascii="Arial" w:hAnsi="Arial" w:cs="Arial"/>
          <w:color w:val="000000" w:themeColor="text1"/>
          <w:sz w:val="24"/>
          <w:szCs w:val="24"/>
        </w:rPr>
        <w:instrText xml:space="preserve"> ADDIN ZOTERO_ITEM CSL_CITATION {"citationID":"MPilXRpp","properties":{"formattedCitation":"(Harlow, 1991)","plainCitation":"(Harlow, 1991)","noteIndex":0},"citationItems":[{"id":426,"uris":["http://zotero.org/users/local/XXne8Mwc/items/FGUFC4KC"],"uri":["http://zotero.org/users/local/XXne8Mwc/items/FGUFC4KC"],"itemData":{"id":426,"type":"article-journal","container-title":"Financial Analysts Journal","DOI":"10.2469/faj.v47.n5.28","ISSN":"0015-198X","issue":"5","note":"publisher: Routledge\n_eprint: https://doi.org/10.2469/faj.v47.n5.28","page":"28-40","source":"Taylor and Francis+NEJM","title":"Asset Allocation in a Downside-Risk Framework","volume":"47","author":[{"family":"Harlow","given":"W. V."}],"issued":{"date-parts":[["1991",9,1]]}}}],"schema":"https://github.com/citation-style-language/schema/raw/master/csl-citation.json"} </w:instrText>
      </w:r>
      <w:r w:rsidR="0042246E"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(Harlow, 1991)</w:t>
      </w:r>
      <w:r w:rsidR="0042246E" w:rsidRPr="00B13CBE">
        <w:rPr>
          <w:rFonts w:ascii="Arial" w:hAnsi="Arial" w:cs="Arial"/>
          <w:color w:val="000000" w:themeColor="text1"/>
          <w:sz w:val="24"/>
          <w:szCs w:val="24"/>
        </w:rPr>
        <w:fldChar w:fldCharType="end"/>
      </w:r>
      <w:r w:rsidR="00FA0906"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In practice, portfolio managers and investors have profit targets to meet and</w:t>
      </w:r>
      <w:r w:rsidR="0042246E" w:rsidRPr="00B13CBE">
        <w:rPr>
          <w:rFonts w:ascii="Arial" w:hAnsi="Arial" w:cs="Arial"/>
          <w:color w:val="000000" w:themeColor="text1"/>
          <w:sz w:val="24"/>
          <w:szCs w:val="24"/>
        </w:rPr>
        <w:t xml:space="preserve"> their performance is</w:t>
      </w:r>
      <w:r w:rsidRPr="00B13CBE">
        <w:rPr>
          <w:rFonts w:ascii="Arial" w:hAnsi="Arial" w:cs="Arial"/>
          <w:color w:val="000000" w:themeColor="text1"/>
          <w:sz w:val="24"/>
          <w:szCs w:val="24"/>
        </w:rPr>
        <w:t xml:space="preserve"> often judged by the degree to which they outperform the market portfolio or the risk-free rate. This led to the development of benchmark</w:t>
      </w:r>
      <w:r w:rsidR="0042246E" w:rsidRPr="00B13CBE">
        <w:rPr>
          <w:rFonts w:ascii="Arial" w:hAnsi="Arial" w:cs="Arial"/>
          <w:color w:val="000000" w:themeColor="text1"/>
          <w:sz w:val="24"/>
          <w:szCs w:val="24"/>
        </w:rPr>
        <w:t>-based</w:t>
      </w:r>
      <w:r w:rsidRPr="00B13CBE">
        <w:rPr>
          <w:rFonts w:ascii="Arial" w:hAnsi="Arial" w:cs="Arial"/>
          <w:color w:val="000000" w:themeColor="text1"/>
          <w:sz w:val="24"/>
          <w:szCs w:val="24"/>
        </w:rPr>
        <w:t xml:space="preserve"> risk measures such as Fishburn measures also known as "lower partial moments"</w:t>
      </w:r>
      <w:r w:rsidR="00FA0906" w:rsidRPr="00B13CBE">
        <w:rPr>
          <w:rFonts w:ascii="Arial" w:hAnsi="Arial" w:cs="Arial"/>
          <w:color w:val="000000" w:themeColor="text1"/>
          <w:sz w:val="24"/>
          <w:szCs w:val="24"/>
        </w:rPr>
        <w:t xml:space="preserve"> (LPM)</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ZOTERO_ITEM CSL_CITATION {"citationID":"UiDgBVzo","properties":{"formattedCitation":"(Fishburn, 1977)","plainCitation":"(Fishburn, 1977)","noteIndex":0},"citationItems":[{"id":428,"uris":["http://zotero.org/users/local/XXne8Mwc/items/AZK7SMK6"],"uri":["http://zotero.org/users/local/XXne8Mwc/items/AZK7SMK6"],"itemData":{"id":428,"type":"article-journal","container-title":"The American Economic Review","ISSN":"0002-8282","issue":"2","note":"publisher: American Economic Association","page":"116-126","source":"JSTOR","title":"Mean-Risk Analysis with Risk Associated with Below-Target Returns","volume":"67","author":[{"family":"Fishburn","given":"Peter C."}],"issued":{"date-parts":[["1977"]]}}}],"schema":"https://github.com/citation-style-language/schema/raw/master/csl-citation.json"}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(Fishburn, 1977)</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These </w:t>
      </w:r>
      <w:r w:rsidR="008B0B5D" w:rsidRPr="00B13CBE">
        <w:rPr>
          <w:rFonts w:ascii="Arial" w:hAnsi="Arial" w:cs="Arial"/>
          <w:color w:val="000000" w:themeColor="text1"/>
          <w:sz w:val="24"/>
          <w:szCs w:val="24"/>
        </w:rPr>
        <w:t xml:space="preserve">risk </w:t>
      </w:r>
      <w:r w:rsidRPr="00B13CBE">
        <w:rPr>
          <w:rFonts w:ascii="Arial" w:hAnsi="Arial" w:cs="Arial"/>
          <w:color w:val="000000" w:themeColor="text1"/>
          <w:sz w:val="24"/>
          <w:szCs w:val="24"/>
        </w:rPr>
        <w:t xml:space="preserve">measures </w:t>
      </w:r>
      <w:r w:rsidR="008B0B5D" w:rsidRPr="00B13CBE">
        <w:rPr>
          <w:rFonts w:ascii="Arial" w:hAnsi="Arial" w:cs="Arial"/>
          <w:color w:val="000000" w:themeColor="text1"/>
          <w:sz w:val="24"/>
          <w:szCs w:val="24"/>
        </w:rPr>
        <w:t xml:space="preserve">define </w:t>
      </w:r>
      <w:r w:rsidRPr="00B13CBE">
        <w:rPr>
          <w:rFonts w:ascii="Arial" w:hAnsi="Arial" w:cs="Arial"/>
          <w:color w:val="000000" w:themeColor="text1"/>
          <w:sz w:val="24"/>
          <w:szCs w:val="24"/>
        </w:rPr>
        <w:t>moments the distribution of asset returns below a specific threshold and w</w:t>
      </w:r>
      <w:r w:rsidR="008B0B5D" w:rsidRPr="00B13CBE">
        <w:rPr>
          <w:rFonts w:ascii="Arial" w:hAnsi="Arial" w:cs="Arial"/>
          <w:color w:val="000000" w:themeColor="text1"/>
          <w:sz w:val="24"/>
          <w:szCs w:val="24"/>
        </w:rPr>
        <w:t>ere</w:t>
      </w:r>
      <w:r w:rsidRPr="00B13CBE">
        <w:rPr>
          <w:rFonts w:ascii="Arial" w:hAnsi="Arial" w:cs="Arial"/>
          <w:color w:val="000000" w:themeColor="text1"/>
          <w:sz w:val="24"/>
          <w:szCs w:val="24"/>
        </w:rPr>
        <w:t xml:space="preserve"> the first in a post-modern portfolio selection framework called the Mean-Risk framework.</w:t>
      </w:r>
    </w:p>
    <w:p w14:paraId="7D520F78" w14:textId="77777777" w:rsidR="001A1D48"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Similar to the Mean-Variance framework, the Mean-Risk framework enables investors to choose </w:t>
      </w:r>
      <w:r w:rsidR="008B0B5D" w:rsidRPr="00B13CBE">
        <w:rPr>
          <w:rFonts w:ascii="Arial" w:hAnsi="Arial" w:cs="Arial"/>
          <w:color w:val="000000" w:themeColor="text1"/>
          <w:sz w:val="24"/>
          <w:szCs w:val="24"/>
        </w:rPr>
        <w:t xml:space="preserve">a </w:t>
      </w:r>
      <w:r w:rsidRPr="00B13CBE">
        <w:rPr>
          <w:rFonts w:ascii="Arial" w:hAnsi="Arial" w:cs="Arial"/>
          <w:color w:val="000000" w:themeColor="text1"/>
          <w:sz w:val="24"/>
          <w:szCs w:val="24"/>
        </w:rPr>
        <w:t>portfolio based on its risk</w:t>
      </w:r>
      <w:r w:rsidR="008B0B5D"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return characteristics. However, </w:t>
      </w:r>
      <w:r w:rsidRPr="00B13CBE">
        <w:rPr>
          <w:rFonts w:ascii="Arial" w:hAnsi="Arial" w:cs="Arial"/>
          <w:color w:val="000000" w:themeColor="text1"/>
          <w:sz w:val="24"/>
          <w:szCs w:val="24"/>
        </w:rPr>
        <w:lastRenderedPageBreak/>
        <w:t xml:space="preserve">the Mean-Risk framework allows </w:t>
      </w:r>
      <w:r w:rsidR="008B0B5D" w:rsidRPr="00B13CBE">
        <w:rPr>
          <w:rFonts w:ascii="Arial" w:hAnsi="Arial" w:cs="Arial"/>
          <w:color w:val="000000" w:themeColor="text1"/>
          <w:sz w:val="24"/>
          <w:szCs w:val="24"/>
        </w:rPr>
        <w:t xml:space="preserve">an </w:t>
      </w:r>
      <w:r w:rsidRPr="00B13CBE">
        <w:rPr>
          <w:rFonts w:ascii="Arial" w:hAnsi="Arial" w:cs="Arial"/>
          <w:color w:val="000000" w:themeColor="text1"/>
          <w:sz w:val="24"/>
          <w:szCs w:val="24"/>
        </w:rPr>
        <w:t xml:space="preserve">investor to construct </w:t>
      </w:r>
      <w:r w:rsidR="008B0B5D" w:rsidRPr="00B13CBE">
        <w:rPr>
          <w:rFonts w:ascii="Arial" w:hAnsi="Arial" w:cs="Arial"/>
          <w:color w:val="000000" w:themeColor="text1"/>
          <w:sz w:val="24"/>
          <w:szCs w:val="24"/>
        </w:rPr>
        <w:t xml:space="preserve">a </w:t>
      </w:r>
      <w:r w:rsidRPr="00B13CBE">
        <w:rPr>
          <w:rFonts w:ascii="Arial" w:hAnsi="Arial" w:cs="Arial"/>
          <w:color w:val="000000" w:themeColor="text1"/>
          <w:sz w:val="24"/>
          <w:szCs w:val="24"/>
        </w:rPr>
        <w:t xml:space="preserve">portfolio based on </w:t>
      </w:r>
      <w:r w:rsidR="00FA0906" w:rsidRPr="00B13CBE">
        <w:rPr>
          <w:rFonts w:ascii="Arial" w:hAnsi="Arial" w:cs="Arial"/>
          <w:color w:val="000000" w:themeColor="text1"/>
          <w:sz w:val="24"/>
          <w:szCs w:val="24"/>
        </w:rPr>
        <w:t>their</w:t>
      </w:r>
      <w:r w:rsidRPr="00B13CBE">
        <w:rPr>
          <w:rFonts w:ascii="Arial" w:hAnsi="Arial" w:cs="Arial"/>
          <w:color w:val="000000" w:themeColor="text1"/>
          <w:sz w:val="24"/>
          <w:szCs w:val="24"/>
        </w:rPr>
        <w:t xml:space="preserve"> perception and definition of risk. For example,</w:t>
      </w:r>
      <w:r w:rsidR="00FA0906"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an investor</w:t>
      </w:r>
      <w:r w:rsidR="00FA0906" w:rsidRPr="00B13CBE">
        <w:rPr>
          <w:rFonts w:ascii="Arial" w:hAnsi="Arial" w:cs="Arial"/>
          <w:color w:val="000000" w:themeColor="text1"/>
          <w:sz w:val="24"/>
          <w:szCs w:val="24"/>
        </w:rPr>
        <w:t xml:space="preserve"> with</w:t>
      </w:r>
      <w:r w:rsidRPr="00B13CBE">
        <w:rPr>
          <w:rFonts w:ascii="Arial" w:hAnsi="Arial" w:cs="Arial"/>
          <w:color w:val="000000" w:themeColor="text1"/>
          <w:sz w:val="24"/>
          <w:szCs w:val="24"/>
        </w:rPr>
        <w:t xml:space="preserve"> infinite risk aversion </w:t>
      </w:r>
      <w:r w:rsidR="008B0B5D" w:rsidRPr="00B13CBE">
        <w:rPr>
          <w:rFonts w:ascii="Arial" w:hAnsi="Arial" w:cs="Arial"/>
          <w:color w:val="000000" w:themeColor="text1"/>
          <w:sz w:val="24"/>
          <w:szCs w:val="24"/>
        </w:rPr>
        <w:t xml:space="preserve">would </w:t>
      </w:r>
      <w:r w:rsidRPr="00B13CBE">
        <w:rPr>
          <w:rFonts w:ascii="Arial" w:hAnsi="Arial" w:cs="Arial"/>
          <w:color w:val="000000" w:themeColor="text1"/>
          <w:sz w:val="24"/>
          <w:szCs w:val="24"/>
        </w:rPr>
        <w:t xml:space="preserve">ignore expected returns and simply construct </w:t>
      </w:r>
      <w:r w:rsidR="008B0B5D" w:rsidRPr="00B13CBE">
        <w:rPr>
          <w:rFonts w:ascii="Arial" w:hAnsi="Arial" w:cs="Arial"/>
          <w:color w:val="000000" w:themeColor="text1"/>
          <w:sz w:val="24"/>
          <w:szCs w:val="24"/>
        </w:rPr>
        <w:t xml:space="preserve">a </w:t>
      </w:r>
      <w:r w:rsidRPr="00B13CBE">
        <w:rPr>
          <w:rFonts w:ascii="Arial" w:hAnsi="Arial" w:cs="Arial"/>
          <w:color w:val="000000" w:themeColor="text1"/>
          <w:sz w:val="24"/>
          <w:szCs w:val="24"/>
        </w:rPr>
        <w:t>portfolio that minimize</w:t>
      </w:r>
      <w:r w:rsidR="008B0B5D"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risk </w:t>
      </w:r>
      <w:r w:rsidR="008B0B5D" w:rsidRPr="00B13CBE">
        <w:rPr>
          <w:rFonts w:ascii="Arial" w:hAnsi="Arial" w:cs="Arial"/>
          <w:color w:val="000000" w:themeColor="text1"/>
          <w:sz w:val="24"/>
          <w:szCs w:val="24"/>
        </w:rPr>
        <w:t xml:space="preserve">based on a </w:t>
      </w:r>
      <w:r w:rsidRPr="00B13CBE">
        <w:rPr>
          <w:rFonts w:ascii="Arial" w:hAnsi="Arial" w:cs="Arial"/>
          <w:color w:val="000000" w:themeColor="text1"/>
          <w:sz w:val="24"/>
          <w:szCs w:val="24"/>
        </w:rPr>
        <w:t>definition of risk</w:t>
      </w:r>
      <w:r w:rsidR="008B0B5D" w:rsidRPr="00B13CBE">
        <w:rPr>
          <w:rFonts w:ascii="Arial" w:hAnsi="Arial" w:cs="Arial"/>
          <w:color w:val="000000" w:themeColor="text1"/>
          <w:sz w:val="24"/>
          <w:szCs w:val="24"/>
        </w:rPr>
        <w:t xml:space="preserve"> chosen by the investor</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{"citationID":"5WjU2mLe","properties":{"formattedCitation":"(Sukcharoen &amp; Leatham, 2017)","plainCitation":"(Sukcharoen &amp; Leatham, 2017)","dontUpdate":true,"noteIndex":0},"citationItems":[{"id":429,"uris":["http://zotero.org/users/local/XXne8Mwc/items/S2U63KAP"],"uri":["http://zotero.org/users/local/XXne8Mwc/items/S2U63KAP"],"itemData":{"id":429,"type":"article-journal","abstract":"The financial health of an oil refinery greatly depends on its refining margin or the difference between the prices of its refined products (typically, gasoline and heating oil) and the cost of crude oil. The refinery may hedge against the downside risk of unfavorable price movements using crude oil, gasoline, and heating oil futures. This paper examines the use of a vine copula approach to estimate multiproduct hedge ratios that minimize the downside risk of the refinery. The advantage of the vine copula approach is that it allows us to capture important characteristics of petroleum price changes, including skewness and fat-tailedness in the marginal distributions of individual price change series as well as heterogeneous (tail) dependence patterns between different pairs of price changes. The out-of-sample hedging effectiveness of two popular classes of vine copula models – canonical (C-) and drawable (D-) vine copula models – are evaluated and compared with that of the widely used nonparametric method and three standard multivariate copula models. The empirical results reveal that the D-vine copula model is a good and safe choice in managing the downside risk of the refinery.","container-title":"Energy Economics","DOI":"10.1016/j.eneco.2017.07.012","ISSN":"0140-9883","journalAbbreviation":"Energy Economics","language":"en","page":"493-507","source":"ScienceDirect","title":"Hedging downside risk of oil refineries: A vine copula approach","title-short":"Hedging downside risk of oil refineries","volume":"66","author":[{"family":"Sukcharoen","given":"Kunlapath"},{"family":"Leatham","given":"David J."}],"issued":{"date-parts":[["2017",8,1]]}}}],"schema":"https://github.com/citation-style-language/schema/raw/master/csl-citation.json"}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Sukcharoen </w:t>
      </w:r>
      <w:r w:rsidR="00FA0906"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Leatham </w:t>
      </w:r>
      <w:r w:rsidR="008B0B5D" w:rsidRPr="00B13CBE">
        <w:rPr>
          <w:rFonts w:ascii="Arial" w:hAnsi="Arial" w:cs="Arial"/>
          <w:color w:val="000000" w:themeColor="text1"/>
          <w:sz w:val="24"/>
          <w:szCs w:val="24"/>
        </w:rPr>
        <w:t>(</w:t>
      </w:r>
      <w:r w:rsidRPr="00B13CBE">
        <w:rPr>
          <w:rFonts w:ascii="Arial" w:hAnsi="Arial" w:cs="Arial"/>
          <w:color w:val="000000" w:themeColor="text1"/>
          <w:sz w:val="24"/>
          <w:szCs w:val="24"/>
        </w:rPr>
        <w:t>2017)</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illustrate this scenario by considering</w:t>
      </w:r>
      <w:r w:rsidR="008B0B5D" w:rsidRPr="00B13CBE">
        <w:rPr>
          <w:rFonts w:ascii="Arial" w:hAnsi="Arial" w:cs="Arial"/>
          <w:color w:val="000000" w:themeColor="text1"/>
          <w:sz w:val="24"/>
          <w:szCs w:val="24"/>
        </w:rPr>
        <w:t xml:space="preserve"> the problem of</w:t>
      </w:r>
      <w:r w:rsidRPr="00B13CBE">
        <w:rPr>
          <w:rFonts w:ascii="Arial" w:hAnsi="Arial" w:cs="Arial"/>
          <w:color w:val="000000" w:themeColor="text1"/>
          <w:sz w:val="24"/>
          <w:szCs w:val="24"/>
        </w:rPr>
        <w:t xml:space="preserve"> hedging a refinery’s portfolio (known as a ‘crack spread’) which consists of oil and gasoline products. A refinery has infinite risk aversion since its profit levels are determined by the difference between the prices of oil and oil products</w:t>
      </w:r>
      <w:r w:rsidR="00FA0906" w:rsidRPr="00B13CBE">
        <w:rPr>
          <w:rFonts w:ascii="Arial" w:hAnsi="Arial" w:cs="Arial"/>
          <w:color w:val="000000" w:themeColor="text1"/>
          <w:sz w:val="24"/>
          <w:szCs w:val="24"/>
        </w:rPr>
        <w:t>. This</w:t>
      </w:r>
      <w:r w:rsidRPr="00B13CBE">
        <w:rPr>
          <w:rFonts w:ascii="Arial" w:hAnsi="Arial" w:cs="Arial"/>
          <w:color w:val="000000" w:themeColor="text1"/>
          <w:sz w:val="24"/>
          <w:szCs w:val="24"/>
        </w:rPr>
        <w:t xml:space="preserve"> form of risk </w:t>
      </w:r>
      <w:r w:rsidR="00FF0ED9" w:rsidRPr="00B13CBE">
        <w:rPr>
          <w:rFonts w:ascii="Arial" w:hAnsi="Arial" w:cs="Arial"/>
          <w:color w:val="000000" w:themeColor="text1"/>
          <w:sz w:val="24"/>
          <w:szCs w:val="24"/>
        </w:rPr>
        <w:t xml:space="preserve">is </w:t>
      </w:r>
      <w:r w:rsidRPr="00B13CBE">
        <w:rPr>
          <w:rFonts w:ascii="Arial" w:hAnsi="Arial" w:cs="Arial"/>
          <w:color w:val="000000" w:themeColor="text1"/>
          <w:sz w:val="24"/>
          <w:szCs w:val="24"/>
        </w:rPr>
        <w:t xml:space="preserve">called ‘basis risk’.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{"citationID":"CApxusd2","properties":{"formattedCitation":"(Sukcharoen &amp; Leatham, 2017)","plainCitation":"(Sukcharoen &amp; Leatham, 2017)","dontUpdate":true,"noteIndex":0},"citationItems":[{"id":429,"uris":["http://zotero.org/users/local/XXne8Mwc/items/S2U63KAP"],"uri":["http://zotero.org/users/local/XXne8Mwc/items/S2U63KAP"],"itemData":{"id":429,"type":"article-journal","abstract":"The financial health of an oil refinery greatly depends on its refining margin or the difference between the prices of its refined products (typically, gasoline and heating oil) and the cost of crude oil. The refinery may hedge against the downside risk of unfavorable price movements using crude oil, gasoline, and heating oil futures. This paper examines the use of a vine copula approach to estimate multiproduct hedge ratios that minimize the downside risk of the refinery. The advantage of the vine copula approach is that it allows us to capture important characteristics of petroleum price changes, including skewness and fat-tailedness in the marginal distributions of individual price change series as well as heterogeneous (tail) dependence patterns between different pairs of price changes. The out-of-sample hedging effectiveness of two popular classes of vine copula models – canonical (C-) and drawable (D-) vine copula models – are evaluated and compared with that of the widely used nonparametric method and three standard multivariate copula models. The empirical results reveal that the D-vine copula model is a good and safe choice in managing the downside risk of the refinery.","container-title":"Energy Economics","DOI":"10.1016/j.eneco.2017.07.012","ISSN":"0140-9883","journalAbbreviation":"Energy Economics","language":"en","page":"493-507","source":"ScienceDirect","title":"Hedging downside risk of oil refineries: A vine copula approach","title-short":"Hedging downside risk of oil refineries","volume":"66","author":[{"family":"Sukcharoen","given":"Kunlapath"},{"family":"Leatham","given":"David J."}],"issued":{"date-parts":[["2017",8,1]]}}}],"schema":"https://github.com/citation-style-language/schema/raw/master/csl-citation.json"}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Sukcharoen </w:t>
      </w:r>
      <w:r w:rsidR="00FA0906"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Leatham (2017)</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used semi-variance, lower partial moments, value-at-risk</w:t>
      </w:r>
      <w:r w:rsidR="00FF0ED9"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and expected shortfall to determine the proportion of corresponding future contracts that would minimize the basis risk of a refinery’s portfolio. This is an illustration of the Minimum-Risk framework</w:t>
      </w:r>
      <w:r w:rsidR="008B0B5D"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where alternative measures of risk are used instead of variance. </w:t>
      </w:r>
    </w:p>
    <w:p w14:paraId="50287610" w14:textId="77777777" w:rsidR="001A1D48" w:rsidRPr="00B13CBE" w:rsidRDefault="00C4772C" w:rsidP="00781A3B">
      <w:pPr>
        <w:pStyle w:val="Heading3"/>
        <w:numPr>
          <w:ilvl w:val="2"/>
          <w:numId w:val="18"/>
        </w:numPr>
        <w:spacing w:line="360" w:lineRule="auto"/>
        <w:jc w:val="both"/>
        <w:rPr>
          <w:rFonts w:ascii="Arial" w:hAnsi="Arial" w:cs="Arial"/>
          <w:b/>
          <w:bCs/>
          <w:color w:val="000000" w:themeColor="text1"/>
        </w:rPr>
      </w:pPr>
      <w:bookmarkStart w:id="11" w:name="_Toc82603355"/>
      <w:r w:rsidRPr="00B13CBE">
        <w:rPr>
          <w:rFonts w:ascii="Arial" w:hAnsi="Arial" w:cs="Arial"/>
          <w:b/>
          <w:bCs/>
          <w:color w:val="000000" w:themeColor="text1"/>
        </w:rPr>
        <w:t>C</w:t>
      </w:r>
      <w:r w:rsidR="00383C0A" w:rsidRPr="00B13CBE">
        <w:rPr>
          <w:rFonts w:ascii="Arial" w:hAnsi="Arial" w:cs="Arial"/>
          <w:b/>
          <w:bCs/>
          <w:color w:val="000000" w:themeColor="text1"/>
        </w:rPr>
        <w:t>apital</w:t>
      </w:r>
      <w:r w:rsidR="00BE0B98" w:rsidRPr="00B13CBE">
        <w:rPr>
          <w:rFonts w:ascii="Arial" w:hAnsi="Arial" w:cs="Arial"/>
          <w:b/>
          <w:bCs/>
          <w:color w:val="000000" w:themeColor="text1"/>
        </w:rPr>
        <w:t xml:space="preserve"> A</w:t>
      </w:r>
      <w:r w:rsidR="00383C0A" w:rsidRPr="00B13CBE">
        <w:rPr>
          <w:rFonts w:ascii="Arial" w:hAnsi="Arial" w:cs="Arial"/>
          <w:b/>
          <w:bCs/>
          <w:color w:val="000000" w:themeColor="text1"/>
        </w:rPr>
        <w:t>sset</w:t>
      </w:r>
      <w:r w:rsidR="00BE0B98" w:rsidRPr="00B13CBE">
        <w:rPr>
          <w:rFonts w:ascii="Arial" w:hAnsi="Arial" w:cs="Arial"/>
          <w:b/>
          <w:bCs/>
          <w:color w:val="000000" w:themeColor="text1"/>
        </w:rPr>
        <w:t xml:space="preserve"> P</w:t>
      </w:r>
      <w:r w:rsidR="00383C0A" w:rsidRPr="00B13CBE">
        <w:rPr>
          <w:rFonts w:ascii="Arial" w:hAnsi="Arial" w:cs="Arial"/>
          <w:b/>
          <w:bCs/>
          <w:color w:val="000000" w:themeColor="text1"/>
        </w:rPr>
        <w:t>ricing</w:t>
      </w:r>
      <w:r w:rsidR="00BE0B98" w:rsidRPr="00B13CBE">
        <w:rPr>
          <w:rFonts w:ascii="Arial" w:hAnsi="Arial" w:cs="Arial"/>
          <w:b/>
          <w:bCs/>
          <w:color w:val="000000" w:themeColor="text1"/>
        </w:rPr>
        <w:t xml:space="preserve"> M</w:t>
      </w:r>
      <w:r w:rsidR="00383C0A" w:rsidRPr="00B13CBE">
        <w:rPr>
          <w:rFonts w:ascii="Arial" w:hAnsi="Arial" w:cs="Arial"/>
          <w:b/>
          <w:bCs/>
          <w:color w:val="000000" w:themeColor="text1"/>
        </w:rPr>
        <w:t>odel</w:t>
      </w:r>
      <w:r w:rsidRPr="00B13CBE">
        <w:rPr>
          <w:rFonts w:ascii="Arial" w:hAnsi="Arial" w:cs="Arial"/>
          <w:b/>
          <w:bCs/>
          <w:color w:val="000000" w:themeColor="text1"/>
        </w:rPr>
        <w:t xml:space="preserve"> (CAPM)</w:t>
      </w:r>
      <w:bookmarkEnd w:id="11"/>
    </w:p>
    <w:p w14:paraId="3B462D3D" w14:textId="77777777" w:rsidR="001A1D48"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 previous section showed how investors construct portfolios and explained </w:t>
      </w:r>
      <w:r w:rsidR="00E237CE" w:rsidRPr="00B13CBE">
        <w:rPr>
          <w:rFonts w:ascii="Arial" w:hAnsi="Arial" w:cs="Arial"/>
          <w:color w:val="000000" w:themeColor="text1"/>
          <w:sz w:val="24"/>
          <w:szCs w:val="24"/>
        </w:rPr>
        <w:t>how</w:t>
      </w:r>
      <w:r w:rsidRPr="00B13CBE">
        <w:rPr>
          <w:rFonts w:ascii="Arial" w:hAnsi="Arial" w:cs="Arial"/>
          <w:color w:val="000000" w:themeColor="text1"/>
          <w:sz w:val="24"/>
          <w:szCs w:val="24"/>
        </w:rPr>
        <w:t xml:space="preserve"> diversification lowers the risk associated with the portfolio regardless of the risk measure used. In this section, theoretical underpinnings </w:t>
      </w:r>
      <w:r w:rsidR="00FF0ED9" w:rsidRPr="00B13CBE">
        <w:rPr>
          <w:rFonts w:ascii="Arial" w:hAnsi="Arial" w:cs="Arial"/>
          <w:color w:val="000000" w:themeColor="text1"/>
          <w:sz w:val="24"/>
          <w:szCs w:val="24"/>
        </w:rPr>
        <w:t xml:space="preserve">are described </w:t>
      </w:r>
      <w:r w:rsidRPr="00B13CBE">
        <w:rPr>
          <w:rFonts w:ascii="Arial" w:hAnsi="Arial" w:cs="Arial"/>
          <w:color w:val="000000" w:themeColor="text1"/>
          <w:sz w:val="24"/>
          <w:szCs w:val="24"/>
        </w:rPr>
        <w:t xml:space="preserve">of the kind of risk that can be diversified away and explain why international portfolios are expected to perform better than domestic ones. This section highlights </w:t>
      </w:r>
      <w:r w:rsidR="00CF6174" w:rsidRPr="00B13CBE">
        <w:rPr>
          <w:rFonts w:ascii="Arial" w:hAnsi="Arial" w:cs="Arial"/>
          <w:color w:val="000000" w:themeColor="text1"/>
          <w:sz w:val="24"/>
          <w:szCs w:val="24"/>
        </w:rPr>
        <w:t>the main reason why</w:t>
      </w:r>
      <w:r w:rsidRPr="00B13CBE">
        <w:rPr>
          <w:rFonts w:ascii="Arial" w:hAnsi="Arial" w:cs="Arial"/>
          <w:color w:val="000000" w:themeColor="text1"/>
          <w:sz w:val="24"/>
          <w:szCs w:val="24"/>
        </w:rPr>
        <w:t xml:space="preserve"> investors would not want inter-relations across capital markets to increase.</w:t>
      </w:r>
    </w:p>
    <w:p w14:paraId="0E424672" w14:textId="20414C0A" w:rsidR="001A1D48"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Under the</w:t>
      </w:r>
      <w:r w:rsidR="00C32DCA" w:rsidRPr="00B13CBE">
        <w:rPr>
          <w:rFonts w:ascii="Arial" w:hAnsi="Arial" w:cs="Arial"/>
          <w:color w:val="000000" w:themeColor="text1"/>
          <w:sz w:val="24"/>
          <w:szCs w:val="24"/>
        </w:rPr>
        <w:t xml:space="preserve"> Mean-Variance and Mean-Risk frameworks, the expected returns of a portfolio are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7F5DCA" w:rsidRPr="00B13CBE" w14:paraId="5B8DDDF8" w14:textId="77777777" w:rsidTr="007F5DCA">
        <w:tc>
          <w:tcPr>
            <w:tcW w:w="805" w:type="dxa"/>
            <w:vAlign w:val="center"/>
          </w:tcPr>
          <w:p w14:paraId="48A4C5E7" w14:textId="77777777" w:rsidR="007F5DCA" w:rsidRPr="00B13CBE" w:rsidRDefault="007F5DCA" w:rsidP="00FC6236">
            <w:pPr>
              <w:pStyle w:val="BodyText"/>
              <w:jc w:val="center"/>
              <w:rPr>
                <w:rFonts w:ascii="Arial" w:hAnsi="Arial" w:cs="Arial"/>
              </w:rPr>
            </w:pPr>
          </w:p>
        </w:tc>
        <w:tc>
          <w:tcPr>
            <w:tcW w:w="6840" w:type="dxa"/>
            <w:vAlign w:val="center"/>
          </w:tcPr>
          <w:p w14:paraId="74490588" w14:textId="6450E684" w:rsidR="007F5DCA" w:rsidRPr="00B13CBE" w:rsidRDefault="007F5DCA" w:rsidP="007F5DCA">
            <w:pPr>
              <w:pStyle w:val="BodyText"/>
              <w:spacing w:line="360" w:lineRule="auto"/>
              <w:jc w:val="both"/>
              <w:rPr>
                <w:rFonts w:ascii="Arial" w:hAnsi="Arial" w:cs="Arial"/>
                <w:color w:val="000000" w:themeColor="text1"/>
              </w:rPr>
            </w:pPr>
            <m:oMathPara>
              <m:oMath>
                <m: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p</m:t>
                        </m:r>
                      </m:sub>
                    </m:sSub>
                  </m:e>
                </m:d>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w:rPr>
                        <w:rFonts w:ascii="Cambria Math" w:hAnsi="Cambria Math" w:cs="Arial"/>
                        <w:color w:val="000000" w:themeColor="text1"/>
                      </w:rPr>
                      <m:t>i</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N</m:t>
                    </m:r>
                  </m:sup>
                  <m:e>
                    <m:sSub>
                      <m:sSubPr>
                        <m:ctrlPr>
                          <w:rPr>
                            <w:rFonts w:ascii="Cambria Math" w:hAnsi="Cambria Math" w:cs="Arial"/>
                            <w:color w:val="000000" w:themeColor="text1"/>
                          </w:rPr>
                        </m:ctrlPr>
                      </m:sSubPr>
                      <m:e>
                        <m:r>
                          <w:rPr>
                            <w:rFonts w:ascii="Cambria Math" w:hAnsi="Cambria Math" w:cs="Arial"/>
                            <w:color w:val="000000" w:themeColor="text1"/>
                          </w:rPr>
                          <m:t>w</m:t>
                        </m:r>
                      </m:e>
                      <m:sub>
                        <m:r>
                          <w:rPr>
                            <w:rFonts w:ascii="Cambria Math" w:hAnsi="Cambria Math" w:cs="Arial"/>
                            <w:color w:val="000000" w:themeColor="text1"/>
                          </w:rPr>
                          <m:t>i</m:t>
                        </m:r>
                      </m:sub>
                    </m:sSub>
                  </m:e>
                </m:nary>
                <m:r>
                  <w:rPr>
                    <w:rFonts w:ascii="Cambria Math" w:hAnsi="Cambria Math" w:cs="Arial"/>
                    <w:color w:val="000000" w:themeColor="text1"/>
                  </w:rPr>
                  <m:t>E</m:t>
                </m:r>
                <m:d>
                  <m:dPr>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i</m:t>
                        </m:r>
                      </m:sub>
                    </m:sSub>
                  </m:e>
                </m:d>
              </m:oMath>
            </m:oMathPara>
          </w:p>
        </w:tc>
        <w:tc>
          <w:tcPr>
            <w:tcW w:w="985" w:type="dxa"/>
            <w:vAlign w:val="center"/>
          </w:tcPr>
          <w:p w14:paraId="306631B6" w14:textId="45E24788" w:rsidR="007F5DCA" w:rsidRPr="00B13CBE" w:rsidRDefault="007F5DCA"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3</w:t>
            </w:r>
            <w:r w:rsidR="00FC6236" w:rsidRPr="00B13CBE">
              <w:rPr>
                <w:rFonts w:ascii="Arial" w:hAnsi="Arial" w:cs="Arial"/>
                <w:noProof/>
              </w:rPr>
              <w:fldChar w:fldCharType="end"/>
            </w:r>
            <w:r w:rsidRPr="00B13CBE">
              <w:rPr>
                <w:rFonts w:ascii="Arial" w:hAnsi="Arial" w:cs="Arial"/>
              </w:rPr>
              <w:t>)</w:t>
            </w:r>
          </w:p>
        </w:tc>
      </w:tr>
    </w:tbl>
    <w:p w14:paraId="1CA46927" w14:textId="0A8A301F" w:rsidR="001A1D48" w:rsidRPr="00B13CBE" w:rsidRDefault="00C4772C" w:rsidP="00DA4541">
      <w:pPr>
        <w:spacing w:line="360" w:lineRule="auto"/>
        <w:jc w:val="both"/>
        <w:rPr>
          <w:rFonts w:ascii="Arial" w:eastAsiaTheme="minorEastAsia" w:hAnsi="Arial" w:cs="Arial"/>
          <w:color w:val="000000" w:themeColor="text1"/>
          <w:sz w:val="24"/>
          <w:szCs w:val="24"/>
        </w:rPr>
      </w:pPr>
      <w:r w:rsidRPr="00B13CBE">
        <w:rPr>
          <w:rFonts w:ascii="Arial" w:hAnsi="Arial" w:cs="Arial"/>
          <w:color w:val="000000" w:themeColor="text1"/>
          <w:sz w:val="24"/>
          <w:szCs w:val="24"/>
        </w:rPr>
        <w:t xml:space="preserve">Where  </w:t>
      </w:r>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w:rPr>
                <w:rFonts w:ascii="Cambria Math" w:hAnsi="Cambria Math" w:cs="Arial"/>
                <w:color w:val="000000" w:themeColor="text1"/>
                <w:sz w:val="24"/>
                <w:szCs w:val="24"/>
              </w:rPr>
              <m:t>p</m:t>
            </m:r>
          </m:sub>
        </m:sSub>
      </m:oMath>
      <w:r w:rsidRPr="00B13CBE">
        <w:rPr>
          <w:rFonts w:ascii="Arial" w:eastAsiaTheme="minorEastAsia" w:hAnsi="Arial" w:cs="Arial"/>
          <w:color w:val="000000" w:themeColor="text1"/>
          <w:sz w:val="24"/>
          <w:szCs w:val="24"/>
        </w:rPr>
        <w:t xml:space="preserve"> are the portfolio’s returns, </w:t>
      </w:r>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r</m:t>
            </m:r>
          </m:e>
          <m:sub>
            <m:r>
              <w:rPr>
                <w:rFonts w:ascii="Cambria Math" w:hAnsi="Cambria Math" w:cs="Arial"/>
                <w:color w:val="000000" w:themeColor="text1"/>
                <w:sz w:val="24"/>
                <w:szCs w:val="24"/>
              </w:rPr>
              <m:t>i</m:t>
            </m:r>
          </m:sub>
        </m:sSub>
      </m:oMath>
      <w:r w:rsidRPr="00B13CBE">
        <w:rPr>
          <w:rFonts w:ascii="Arial" w:eastAsiaTheme="minorEastAsia" w:hAnsi="Arial" w:cs="Arial"/>
          <w:color w:val="000000" w:themeColor="text1"/>
          <w:sz w:val="24"/>
          <w:szCs w:val="24"/>
        </w:rPr>
        <w:t xml:space="preserve"> are the individual asset’s returns</w:t>
      </w:r>
      <w:r w:rsidR="008B0B5D" w:rsidRPr="00B13CBE">
        <w:rPr>
          <w:rFonts w:ascii="Arial" w:eastAsiaTheme="minorEastAsia" w:hAnsi="Arial" w:cs="Arial"/>
          <w:color w:val="000000" w:themeColor="text1"/>
          <w:sz w:val="24"/>
          <w:szCs w:val="24"/>
        </w:rPr>
        <w:t>,</w:t>
      </w:r>
      <w:r w:rsidRPr="00B13CBE">
        <w:rPr>
          <w:rFonts w:ascii="Arial" w:eastAsiaTheme="minorEastAsia" w:hAnsi="Arial" w:cs="Arial"/>
          <w:color w:val="000000" w:themeColor="text1"/>
          <w:sz w:val="24"/>
          <w:szCs w:val="24"/>
        </w:rPr>
        <w:t xml:space="preserve"> </w:t>
      </w:r>
      <m:oMath>
        <m:r>
          <w:rPr>
            <w:rFonts w:ascii="Cambria Math" w:hAnsi="Cambria Math" w:cs="Arial"/>
            <w:color w:val="000000" w:themeColor="text1"/>
            <w:sz w:val="24"/>
            <w:szCs w:val="24"/>
          </w:rPr>
          <m:t>N</m:t>
        </m:r>
      </m:oMath>
      <w:r w:rsidRPr="00B13CBE">
        <w:rPr>
          <w:rFonts w:ascii="Arial" w:hAnsi="Arial" w:cs="Arial"/>
          <w:color w:val="000000" w:themeColor="text1"/>
          <w:sz w:val="24"/>
          <w:szCs w:val="24"/>
        </w:rPr>
        <w:t xml:space="preserve"> i</w:t>
      </w:r>
      <w:r w:rsidR="008B0B5D" w:rsidRPr="00B13CBE">
        <w:rPr>
          <w:rFonts w:ascii="Arial" w:hAnsi="Arial" w:cs="Arial"/>
          <w:color w:val="000000" w:themeColor="text1"/>
          <w:sz w:val="24"/>
          <w:szCs w:val="24"/>
        </w:rPr>
        <w:t>s the</w:t>
      </w:r>
      <w:r w:rsidRPr="00B13CBE">
        <w:rPr>
          <w:rFonts w:ascii="Arial" w:hAnsi="Arial" w:cs="Arial"/>
          <w:color w:val="000000" w:themeColor="text1"/>
          <w:sz w:val="24"/>
          <w:szCs w:val="24"/>
        </w:rPr>
        <w:t xml:space="preserve"> number</w:t>
      </w:r>
      <w:r w:rsidR="008B0B5D" w:rsidRPr="00B13CBE">
        <w:rPr>
          <w:rFonts w:ascii="Arial" w:hAnsi="Arial" w:cs="Arial"/>
          <w:color w:val="000000" w:themeColor="text1"/>
          <w:sz w:val="24"/>
          <w:szCs w:val="24"/>
        </w:rPr>
        <w:t xml:space="preserve"> of assets</w:t>
      </w:r>
      <w:r w:rsidRPr="00B13CBE">
        <w:rPr>
          <w:rFonts w:ascii="Arial" w:hAnsi="Arial" w:cs="Arial"/>
          <w:color w:val="000000" w:themeColor="text1"/>
          <w:sz w:val="24"/>
          <w:szCs w:val="24"/>
        </w:rPr>
        <w:t xml:space="preserve"> and </w:t>
      </w:r>
      <m:oMath>
        <m:sSub>
          <m:sSubPr>
            <m:ctrlPr>
              <w:rPr>
                <w:rFonts w:ascii="Cambria Math" w:hAnsi="Cambria Math" w:cs="Arial"/>
                <w:color w:val="000000" w:themeColor="text1"/>
                <w:sz w:val="24"/>
                <w:szCs w:val="24"/>
              </w:rPr>
            </m:ctrlPr>
          </m:sSubPr>
          <m:e>
            <m:r>
              <w:rPr>
                <w:rFonts w:ascii="Cambria Math" w:hAnsi="Cambria Math" w:cs="Arial"/>
                <w:color w:val="000000" w:themeColor="text1"/>
                <w:sz w:val="24"/>
                <w:szCs w:val="24"/>
              </w:rPr>
              <m:t>w</m:t>
            </m:r>
          </m:e>
          <m:sub>
            <m:r>
              <w:rPr>
                <w:rFonts w:ascii="Cambria Math" w:hAnsi="Cambria Math" w:cs="Arial"/>
                <w:color w:val="000000" w:themeColor="text1"/>
                <w:sz w:val="24"/>
                <w:szCs w:val="24"/>
              </w:rPr>
              <m:t>i</m:t>
            </m:r>
          </m:sub>
        </m:sSub>
      </m:oMath>
      <w:r w:rsidRPr="00B13CBE">
        <w:rPr>
          <w:rFonts w:ascii="Arial" w:eastAsiaTheme="minorEastAsia" w:hAnsi="Arial" w:cs="Arial"/>
          <w:color w:val="000000" w:themeColor="text1"/>
          <w:sz w:val="24"/>
          <w:szCs w:val="24"/>
        </w:rPr>
        <w:t xml:space="preserve">is the proportion of total risk capital invested in asset </w:t>
      </w:r>
      <m:oMath>
        <m:r>
          <w:rPr>
            <w:rFonts w:ascii="Cambria Math" w:eastAsiaTheme="minorEastAsia" w:hAnsi="Cambria Math" w:cs="Arial"/>
            <w:color w:val="000000" w:themeColor="text1"/>
            <w:sz w:val="24"/>
            <w:szCs w:val="24"/>
          </w:rPr>
          <m:t>i</m:t>
        </m:r>
      </m:oMath>
      <w:r w:rsidRPr="00B13CBE">
        <w:rPr>
          <w:rFonts w:ascii="Arial" w:eastAsiaTheme="minorEastAsia" w:hAnsi="Arial" w:cs="Arial"/>
          <w:color w:val="000000" w:themeColor="text1"/>
          <w:sz w:val="24"/>
          <w:szCs w:val="24"/>
        </w:rPr>
        <w:t>. CAPM models the expected return of individual assets in a market</w:t>
      </w:r>
      <w:r w:rsidR="008B0B5D" w:rsidRPr="00B13CBE">
        <w:rPr>
          <w:rFonts w:ascii="Arial" w:eastAsiaTheme="minorEastAsia" w:hAnsi="Arial" w:cs="Arial"/>
          <w:color w:val="000000" w:themeColor="text1"/>
          <w:sz w:val="24"/>
          <w:szCs w:val="24"/>
        </w:rPr>
        <w:t xml:space="preserve"> </w:t>
      </w:r>
      <w:r w:rsidRPr="00B13CBE">
        <w:rPr>
          <w:rFonts w:ascii="Arial" w:eastAsiaTheme="minorEastAsia" w:hAnsi="Arial" w:cs="Arial"/>
          <w:color w:val="000000" w:themeColor="text1"/>
          <w:sz w:val="24"/>
          <w:szCs w:val="24"/>
        </w:rPr>
        <w:t>under specific linear assumptions</w:t>
      </w:r>
      <w:r w:rsidR="008B0B5D" w:rsidRPr="00B13CBE">
        <w:rPr>
          <w:rFonts w:ascii="Arial" w:eastAsiaTheme="minorEastAsia" w:hAnsi="Arial" w:cs="Arial"/>
          <w:color w:val="000000" w:themeColor="text1"/>
          <w:sz w:val="24"/>
          <w:szCs w:val="24"/>
        </w:rPr>
        <w:t xml:space="preserve">, thereby giving </w:t>
      </w:r>
      <w:r w:rsidRPr="00B13CBE">
        <w:rPr>
          <w:rFonts w:ascii="Arial" w:eastAsiaTheme="minorEastAsia" w:hAnsi="Arial" w:cs="Arial"/>
          <w:color w:val="000000" w:themeColor="text1"/>
          <w:sz w:val="24"/>
          <w:szCs w:val="24"/>
        </w:rPr>
        <w:t xml:space="preserve">theoretical justifications for portfolio diversification. </w:t>
      </w:r>
      <w:r w:rsidRPr="00B13CBE">
        <w:rPr>
          <w:rFonts w:ascii="Arial" w:eastAsiaTheme="minorEastAsia" w:hAnsi="Arial" w:cs="Arial"/>
          <w:color w:val="000000" w:themeColor="text1"/>
          <w:sz w:val="24"/>
          <w:szCs w:val="24"/>
        </w:rPr>
        <w:fldChar w:fldCharType="begin"/>
      </w:r>
      <w:r w:rsidR="00030A83" w:rsidRPr="00B13CBE">
        <w:rPr>
          <w:rFonts w:ascii="Arial" w:eastAsiaTheme="minorEastAsia" w:hAnsi="Arial" w:cs="Arial"/>
          <w:color w:val="000000" w:themeColor="text1"/>
          <w:sz w:val="24"/>
          <w:szCs w:val="24"/>
        </w:rPr>
        <w:instrText xml:space="preserve"> ADDIN ZOTERO_ITEM CSL_CITATION {"citationID":"iiz2PMzr","properties":{"formattedCitation":"(Gu\\uc0\\u233{}gan and Hassani, 2019)","plainCitation":"(Guégan and Hassani, 2019)","dontUpdate":true,"noteIndex":0},"citationItems":[{"id":419,"uris":["http://zotero.org/users/local/XXne8Mwc/items/5E5MKTYV"],"uri":["http://zotero.org/users/local/XXne8Mwc/items/5E5MKTYV"],"itemData":{"id":419,"type":"webpage","title":"Risk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eastAsiaTheme="minorEastAsia"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Guégan and Hassani </w:t>
      </w:r>
      <w:r w:rsidR="00FA0906"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2019)</w:t>
      </w:r>
      <w:r w:rsidRPr="00B13CBE">
        <w:rPr>
          <w:rFonts w:ascii="Arial" w:eastAsiaTheme="minorEastAsia" w:hAnsi="Arial" w:cs="Arial"/>
          <w:color w:val="000000" w:themeColor="text1"/>
          <w:sz w:val="24"/>
          <w:szCs w:val="24"/>
        </w:rPr>
        <w:fldChar w:fldCharType="end"/>
      </w:r>
      <w:r w:rsidR="00CF6174" w:rsidRPr="00B13CBE">
        <w:rPr>
          <w:rFonts w:ascii="Arial" w:eastAsiaTheme="minorEastAsia" w:hAnsi="Arial" w:cs="Arial"/>
          <w:color w:val="000000" w:themeColor="text1"/>
          <w:sz w:val="24"/>
          <w:szCs w:val="24"/>
        </w:rPr>
        <w:t xml:space="preserve"> describe the CAPM as follows.</w:t>
      </w:r>
    </w:p>
    <w:p w14:paraId="6A62BDAE" w14:textId="77777777" w:rsidR="00CF6174" w:rsidRPr="00B13CBE" w:rsidRDefault="00C4772C" w:rsidP="00781A3B">
      <w:pPr>
        <w:pStyle w:val="Heading4"/>
        <w:spacing w:before="0"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t>Definition 2.2.2.1: Capital Asset Pricing Model (CAPM)</w:t>
      </w:r>
    </w:p>
    <w:p w14:paraId="6913A51C" w14:textId="7264CFDA" w:rsidR="001A1D48"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Let </w:t>
      </w:r>
      <m:oMath>
        <m:r>
          <m:rPr>
            <m:sty m:val="p"/>
          </m:rPr>
          <w:rPr>
            <w:rFonts w:ascii="Cambria Math" w:hAnsi="Cambria Math" w:cs="Arial"/>
            <w:color w:val="000000" w:themeColor="text1"/>
          </w:rPr>
          <m:t>r</m:t>
        </m:r>
      </m:oMath>
      <w:r w:rsidRPr="00B13CBE">
        <w:rPr>
          <w:rFonts w:ascii="Arial" w:hAnsi="Arial" w:cs="Arial"/>
          <w:color w:val="000000" w:themeColor="text1"/>
        </w:rPr>
        <w:t xml:space="preserve"> be the returns of an asset in a market,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f</m:t>
            </m:r>
          </m:sub>
        </m:sSub>
      </m:oMath>
      <w:r w:rsidRPr="00B13CBE">
        <w:rPr>
          <w:rFonts w:ascii="Arial" w:hAnsi="Arial" w:cs="Arial"/>
          <w:color w:val="000000" w:themeColor="text1"/>
        </w:rPr>
        <w:t xml:space="preserve"> be the risk-free rate,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m</m:t>
            </m:r>
          </m:sub>
        </m:sSub>
      </m:oMath>
      <w:r w:rsidRPr="00B13CBE">
        <w:rPr>
          <w:rFonts w:ascii="Arial" w:hAnsi="Arial" w:cs="Arial"/>
          <w:color w:val="000000" w:themeColor="text1"/>
        </w:rPr>
        <w:t xml:space="preserve"> be the return of the market portfolio,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m</m:t>
            </m:r>
          </m:sub>
        </m:sSub>
      </m:oMath>
      <w:r w:rsidRPr="00B13CBE">
        <w:rPr>
          <w:rFonts w:ascii="Arial" w:hAnsi="Arial" w:cs="Arial"/>
          <w:color w:val="000000" w:themeColor="text1"/>
        </w:rPr>
        <w:t xml:space="preserve"> be the standard deviation of the market portfolio</w:t>
      </w:r>
      <w:r w:rsidR="00FA0906" w:rsidRPr="00B13CBE">
        <w:rPr>
          <w:rFonts w:ascii="Arial" w:hAnsi="Arial" w:cs="Arial"/>
          <w:color w:val="000000" w:themeColor="text1"/>
        </w:rPr>
        <w:t>,</w:t>
      </w:r>
      <w:r w:rsidRPr="00B13CBE">
        <w:rPr>
          <w:rFonts w:ascii="Arial" w:hAnsi="Arial" w:cs="Arial"/>
          <w:color w:val="000000" w:themeColor="text1"/>
        </w:rPr>
        <w:t xml:space="preserve"> and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r</m:t>
            </m:r>
          </m:sub>
        </m:sSub>
      </m:oMath>
      <w:r w:rsidRPr="00B13CBE">
        <w:rPr>
          <w:rFonts w:ascii="Arial" w:hAnsi="Arial" w:cs="Arial"/>
          <w:color w:val="000000" w:themeColor="text1"/>
        </w:rPr>
        <w:t xml:space="preserve"> the standard deviation of the asset under consideration. Define risk-premium</w:t>
      </w:r>
      <w:r w:rsidR="0027241F" w:rsidRPr="00B13CBE">
        <w:rPr>
          <w:rFonts w:ascii="Arial" w:hAnsi="Arial" w:cs="Arial"/>
          <w:color w:val="000000" w:themeColor="text1"/>
        </w:rPr>
        <w:t xml:space="preserve"> as</w:t>
      </w:r>
      <w:r w:rsidRPr="00B13CBE">
        <w:rPr>
          <w:rFonts w:ascii="Arial" w:hAnsi="Arial" w:cs="Arial"/>
          <w:color w:val="000000" w:themeColor="text1"/>
        </w:rPr>
        <w:t xml:space="preserve"> the difference between the market return and the risk-free return: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m</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f</m:t>
            </m:r>
          </m:sub>
        </m:sSub>
      </m:oMath>
      <w:r w:rsidRPr="00B13CBE">
        <w:rPr>
          <w:rFonts w:ascii="Arial" w:hAnsi="Arial" w:cs="Arial"/>
          <w:color w:val="000000" w:themeColor="text1"/>
        </w:rPr>
        <w:t>. Then the capital market line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16C9BC4B" w14:textId="77777777" w:rsidTr="00DA4541">
        <w:tc>
          <w:tcPr>
            <w:tcW w:w="805" w:type="dxa"/>
            <w:vAlign w:val="center"/>
          </w:tcPr>
          <w:p w14:paraId="714DFDF4" w14:textId="77777777" w:rsidR="00DA4541" w:rsidRPr="00B13CBE" w:rsidRDefault="00DA4541" w:rsidP="00FC6236">
            <w:pPr>
              <w:pStyle w:val="BodyText"/>
              <w:jc w:val="center"/>
              <w:rPr>
                <w:rFonts w:ascii="Arial" w:hAnsi="Arial" w:cs="Arial"/>
              </w:rPr>
            </w:pPr>
          </w:p>
        </w:tc>
        <w:tc>
          <w:tcPr>
            <w:tcW w:w="6840" w:type="dxa"/>
            <w:vAlign w:val="center"/>
          </w:tcPr>
          <w:p w14:paraId="5814726D" w14:textId="0F04A646" w:rsidR="00DA4541" w:rsidRPr="00B13CBE" w:rsidRDefault="00DA4541" w:rsidP="00DA4541">
            <w:pPr>
              <w:pStyle w:val="BodyText"/>
              <w:spacing w:line="360" w:lineRule="auto"/>
              <w:jc w:val="both"/>
              <w:rPr>
                <w:rFonts w:ascii="Arial" w:hAnsi="Arial" w:cs="Arial"/>
                <w:color w:val="000000" w:themeColor="text1"/>
              </w:rPr>
            </w:pPr>
            <m:oMathPara>
              <m:oMath>
                <m:r>
                  <m:rPr>
                    <m:sty m:val="p"/>
                  </m:rPr>
                  <w:rPr>
                    <w:rFonts w:ascii="Cambria Math" w:hAnsi="Cambria Math" w:cs="Arial"/>
                    <w:color w:val="000000" w:themeColor="text1"/>
                  </w:rPr>
                  <m:t>E</m:t>
                </m:r>
                <m:d>
                  <m:dPr>
                    <m:ctrlPr>
                      <w:rPr>
                        <w:rFonts w:ascii="Cambria Math" w:hAnsi="Cambria Math" w:cs="Arial"/>
                        <w:color w:val="000000" w:themeColor="text1"/>
                      </w:rPr>
                    </m:ctrlPr>
                  </m:dPr>
                  <m:e>
                    <m:r>
                      <m:rPr>
                        <m:sty m:val="p"/>
                      </m:rPr>
                      <w:rPr>
                        <w:rFonts w:ascii="Cambria Math" w:hAnsi="Cambria Math" w:cs="Arial"/>
                        <w:color w:val="000000" w:themeColor="text1"/>
                      </w:rPr>
                      <m:t>r</m:t>
                    </m:r>
                  </m:e>
                </m:d>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f</m:t>
                    </m:r>
                  </m:sub>
                </m:sSub>
                <m:r>
                  <m:rPr>
                    <m:sty m:val="p"/>
                  </m:rPr>
                  <w:rPr>
                    <w:rFonts w:ascii="Cambria Math" w:hAnsi="Cambria Math" w:cs="Arial"/>
                    <w:color w:val="000000" w:themeColor="text1"/>
                  </w:rPr>
                  <m:t>+</m:t>
                </m:r>
                <m:f>
                  <m:fPr>
                    <m:ctrlPr>
                      <w:rPr>
                        <w:rFonts w:ascii="Cambria Math" w:hAnsi="Cambria Math" w:cs="Arial"/>
                        <w:color w:val="000000" w:themeColor="text1"/>
                      </w:rPr>
                    </m:ctrlPr>
                  </m:fPr>
                  <m:num>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m</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f</m:t>
                        </m:r>
                      </m:sub>
                    </m:sSub>
                  </m:num>
                  <m:den>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m</m:t>
                        </m:r>
                      </m:sub>
                    </m:sSub>
                  </m:den>
                </m:f>
                <m:sSub>
                  <m:sSubPr>
                    <m:ctrlPr>
                      <w:rPr>
                        <w:rFonts w:ascii="Cambria Math" w:hAnsi="Cambria Math" w:cs="Arial"/>
                        <w:color w:val="000000" w:themeColor="text1"/>
                      </w:rPr>
                    </m:ctrlPr>
                  </m:sSubPr>
                  <m:e>
                    <m:r>
                      <m:rPr>
                        <m:sty m:val="p"/>
                      </m:rPr>
                      <w:rPr>
                        <w:rFonts w:ascii="Cambria Math" w:hAnsi="Cambria Math" w:cs="Arial"/>
                        <w:color w:val="000000" w:themeColor="text1"/>
                      </w:rPr>
                      <m:t>σ</m:t>
                    </m:r>
                  </m:e>
                  <m:sub>
                    <m:r>
                      <m:rPr>
                        <m:sty m:val="p"/>
                      </m:rPr>
                      <w:rPr>
                        <w:rFonts w:ascii="Cambria Math" w:hAnsi="Cambria Math" w:cs="Arial"/>
                        <w:color w:val="000000" w:themeColor="text1"/>
                      </w:rPr>
                      <m:t>r</m:t>
                    </m:r>
                  </m:sub>
                </m:sSub>
              </m:oMath>
            </m:oMathPara>
          </w:p>
        </w:tc>
        <w:tc>
          <w:tcPr>
            <w:tcW w:w="985" w:type="dxa"/>
            <w:vAlign w:val="center"/>
          </w:tcPr>
          <w:p w14:paraId="237691F2" w14:textId="30BE0015"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4</w:t>
            </w:r>
            <w:r w:rsidR="00FC6236" w:rsidRPr="00B13CBE">
              <w:rPr>
                <w:rFonts w:ascii="Arial" w:hAnsi="Arial" w:cs="Arial"/>
                <w:noProof/>
              </w:rPr>
              <w:fldChar w:fldCharType="end"/>
            </w:r>
            <w:r w:rsidRPr="00B13CBE">
              <w:rPr>
                <w:rFonts w:ascii="Arial" w:hAnsi="Arial" w:cs="Arial"/>
              </w:rPr>
              <w:t>)</w:t>
            </w:r>
          </w:p>
        </w:tc>
      </w:tr>
    </w:tbl>
    <w:p w14:paraId="15F91A1B" w14:textId="77C23282" w:rsidR="001A1D48"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Now, assume </w:t>
      </w:r>
      <w:r w:rsidR="0027241F" w:rsidRPr="00B13CBE">
        <w:rPr>
          <w:rFonts w:ascii="Arial" w:hAnsi="Arial" w:cs="Arial"/>
          <w:color w:val="000000" w:themeColor="text1"/>
        </w:rPr>
        <w:t>that</w:t>
      </w:r>
      <w:r w:rsidRPr="00B13CBE">
        <w:rPr>
          <w:rFonts w:ascii="Arial" w:hAnsi="Arial" w:cs="Arial"/>
          <w:color w:val="000000" w:themeColor="text1"/>
        </w:rPr>
        <w:t xml:space="preserve"> several assets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i</m:t>
            </m:r>
          </m:sub>
        </m:sSub>
      </m:oMath>
      <w:r w:rsidRPr="00B13CBE">
        <w:rPr>
          <w:rFonts w:ascii="Arial" w:hAnsi="Arial" w:cs="Arial"/>
          <w:color w:val="000000" w:themeColor="text1"/>
        </w:rPr>
        <w:t xml:space="preserve"> </w:t>
      </w:r>
      <w:r w:rsidR="0027241F" w:rsidRPr="00B13CBE">
        <w:rPr>
          <w:rFonts w:ascii="Arial" w:hAnsi="Arial" w:cs="Arial"/>
          <w:color w:val="000000" w:themeColor="text1"/>
        </w:rPr>
        <w:t xml:space="preserve">exist in the market </w:t>
      </w:r>
      <w:r w:rsidRPr="00B13CBE">
        <w:rPr>
          <w:rFonts w:ascii="Arial" w:hAnsi="Arial" w:cs="Arial"/>
          <w:color w:val="000000" w:themeColor="text1"/>
        </w:rPr>
        <w:t xml:space="preserve">for </w:t>
      </w:r>
      <m:oMath>
        <m:r>
          <m:rPr>
            <m:sty m:val="p"/>
          </m:rPr>
          <w:rPr>
            <w:rFonts w:ascii="Cambria Math" w:hAnsi="Cambria Math" w:cs="Arial"/>
            <w:color w:val="000000" w:themeColor="text1"/>
          </w:rPr>
          <m:t>i=1,…,N</m:t>
        </m:r>
      </m:oMath>
      <w:r w:rsidRPr="00B13CBE">
        <w:rPr>
          <w:rFonts w:ascii="Arial" w:hAnsi="Arial" w:cs="Arial"/>
          <w:color w:val="000000" w:themeColor="text1"/>
        </w:rPr>
        <w:t xml:space="preserve">. Let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γ</m:t>
            </m:r>
          </m:e>
          <m:sub>
            <m:r>
              <m:rPr>
                <m:sty m:val="p"/>
              </m:rPr>
              <w:rPr>
                <w:rFonts w:ascii="Cambria Math" w:hAnsi="Cambria Math" w:cs="Arial"/>
                <w:color w:val="000000" w:themeColor="text1"/>
              </w:rPr>
              <m:t>i,m</m:t>
            </m:r>
          </m:sub>
        </m:sSub>
      </m:oMath>
      <w:r w:rsidRPr="00B13CBE">
        <w:rPr>
          <w:rFonts w:ascii="Arial" w:hAnsi="Arial" w:cs="Arial"/>
          <w:color w:val="000000" w:themeColor="text1"/>
        </w:rPr>
        <w:t xml:space="preserve"> be the covariance between the returns of asset </w:t>
      </w:r>
      <m:oMath>
        <m:r>
          <m:rPr>
            <m:sty m:val="p"/>
          </m:rPr>
          <w:rPr>
            <w:rFonts w:ascii="Cambria Math" w:hAnsi="Cambria Math" w:cs="Arial"/>
            <w:color w:val="000000" w:themeColor="text1"/>
          </w:rPr>
          <m:t>i</m:t>
        </m:r>
      </m:oMath>
      <w:r w:rsidRPr="00B13CBE">
        <w:rPr>
          <w:rFonts w:ascii="Arial" w:hAnsi="Arial" w:cs="Arial"/>
          <w:color w:val="000000" w:themeColor="text1"/>
        </w:rPr>
        <w:t xml:space="preserve"> and the market portfolio, and 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29C3A26C" w14:textId="77777777" w:rsidTr="00DA4541">
        <w:tc>
          <w:tcPr>
            <w:tcW w:w="805" w:type="dxa"/>
            <w:vAlign w:val="center"/>
          </w:tcPr>
          <w:p w14:paraId="7D66D514" w14:textId="77777777" w:rsidR="00DA4541" w:rsidRPr="00B13CBE" w:rsidRDefault="00DA4541" w:rsidP="00FC6236">
            <w:pPr>
              <w:pStyle w:val="BodyText"/>
              <w:jc w:val="center"/>
              <w:rPr>
                <w:rFonts w:ascii="Arial" w:hAnsi="Arial" w:cs="Arial"/>
              </w:rPr>
            </w:pPr>
          </w:p>
        </w:tc>
        <w:tc>
          <w:tcPr>
            <w:tcW w:w="6840" w:type="dxa"/>
            <w:vAlign w:val="center"/>
          </w:tcPr>
          <w:p w14:paraId="6D096BDB" w14:textId="628856FB" w:rsidR="00DA4541" w:rsidRPr="00B13CBE" w:rsidRDefault="00FC49CE" w:rsidP="00DA4541">
            <w:pPr>
              <w:pStyle w:val="BodyText"/>
              <w:spacing w:line="360" w:lineRule="auto"/>
              <w:jc w:val="both"/>
              <w:rPr>
                <w:rFonts w:ascii="Arial" w:hAnsi="Arial" w:cs="Arial"/>
                <w:color w:val="000000" w:themeColor="text1"/>
              </w:rPr>
            </w:pPr>
            <m:oMathPara>
              <m:oMath>
                <m:sSub>
                  <m:sSubPr>
                    <m:ctrlPr>
                      <w:rPr>
                        <w:rFonts w:ascii="Cambria Math" w:hAnsi="Cambria Math" w:cs="Arial"/>
                        <w:color w:val="000000" w:themeColor="text1"/>
                      </w:rPr>
                    </m:ctrlPr>
                  </m:sSubPr>
                  <m:e>
                    <m:r>
                      <m:rPr>
                        <m:sty m:val="p"/>
                      </m:rPr>
                      <w:rPr>
                        <w:rFonts w:ascii="Cambria Math" w:hAnsi="Cambria Math" w:cs="Arial"/>
                        <w:color w:val="000000" w:themeColor="text1"/>
                      </w:rPr>
                      <m:t>β</m:t>
                    </m:r>
                  </m:e>
                  <m:sub>
                    <m:r>
                      <m:rPr>
                        <m:sty m:val="p"/>
                      </m:rPr>
                      <w:rPr>
                        <w:rFonts w:ascii="Cambria Math" w:hAnsi="Cambria Math" w:cs="Arial"/>
                        <w:color w:val="000000" w:themeColor="text1"/>
                      </w:rPr>
                      <m:t>i</m:t>
                    </m:r>
                  </m:sub>
                </m:sSub>
                <m:r>
                  <m:rPr>
                    <m:sty m:val="p"/>
                  </m:rPr>
                  <w:rPr>
                    <w:rFonts w:ascii="Cambria Math" w:hAnsi="Cambria Math" w:cs="Arial"/>
                    <w:color w:val="000000" w:themeColor="text1"/>
                  </w:rPr>
                  <m:t>=</m:t>
                </m:r>
                <m:f>
                  <m:fPr>
                    <m:ctrlPr>
                      <w:rPr>
                        <w:rFonts w:ascii="Cambria Math" w:hAnsi="Cambria Math" w:cs="Arial"/>
                        <w:color w:val="000000" w:themeColor="text1"/>
                      </w:rPr>
                    </m:ctrlPr>
                  </m:fPr>
                  <m:num>
                    <m:sSub>
                      <m:sSubPr>
                        <m:ctrlPr>
                          <w:rPr>
                            <w:rFonts w:ascii="Cambria Math" w:hAnsi="Cambria Math" w:cs="Arial"/>
                            <w:color w:val="000000" w:themeColor="text1"/>
                          </w:rPr>
                        </m:ctrlPr>
                      </m:sSubPr>
                      <m:e>
                        <m:r>
                          <m:rPr>
                            <m:sty m:val="p"/>
                          </m:rPr>
                          <w:rPr>
                            <w:rFonts w:ascii="Cambria Math" w:hAnsi="Cambria Math" w:cs="Arial"/>
                            <w:color w:val="000000" w:themeColor="text1"/>
                          </w:rPr>
                          <m:t>γ</m:t>
                        </m:r>
                      </m:e>
                      <m:sub>
                        <m:r>
                          <m:rPr>
                            <m:sty m:val="p"/>
                          </m:rPr>
                          <w:rPr>
                            <w:rFonts w:ascii="Cambria Math" w:hAnsi="Cambria Math" w:cs="Arial"/>
                            <w:color w:val="000000" w:themeColor="text1"/>
                          </w:rPr>
                          <m:t>i,m</m:t>
                        </m:r>
                      </m:sub>
                    </m:sSub>
                  </m:num>
                  <m:den>
                    <m:sSubSup>
                      <m:sSubSupPr>
                        <m:ctrlPr>
                          <w:rPr>
                            <w:rFonts w:ascii="Cambria Math" w:hAnsi="Cambria Math" w:cs="Arial"/>
                            <w:color w:val="000000" w:themeColor="text1"/>
                          </w:rPr>
                        </m:ctrlPr>
                      </m:sSubSupPr>
                      <m:e>
                        <m:r>
                          <m:rPr>
                            <m:sty m:val="p"/>
                          </m:rPr>
                          <w:rPr>
                            <w:rFonts w:ascii="Cambria Math" w:hAnsi="Cambria Math" w:cs="Arial"/>
                            <w:color w:val="000000" w:themeColor="text1"/>
                          </w:rPr>
                          <m:t>σ</m:t>
                        </m:r>
                      </m:e>
                      <m:sub>
                        <m:r>
                          <m:rPr>
                            <m:sty m:val="p"/>
                          </m:rPr>
                          <w:rPr>
                            <w:rFonts w:ascii="Cambria Math" w:hAnsi="Cambria Math" w:cs="Arial"/>
                            <w:color w:val="000000" w:themeColor="text1"/>
                          </w:rPr>
                          <m:t>m</m:t>
                        </m:r>
                      </m:sub>
                      <m:sup>
                        <m:r>
                          <m:rPr>
                            <m:sty m:val="p"/>
                          </m:rPr>
                          <w:rPr>
                            <w:rFonts w:ascii="Cambria Math" w:hAnsi="Cambria Math" w:cs="Arial"/>
                            <w:color w:val="000000" w:themeColor="text1"/>
                          </w:rPr>
                          <m:t>2</m:t>
                        </m:r>
                      </m:sup>
                    </m:sSubSup>
                  </m:den>
                </m:f>
              </m:oMath>
            </m:oMathPara>
          </w:p>
        </w:tc>
        <w:tc>
          <w:tcPr>
            <w:tcW w:w="985" w:type="dxa"/>
            <w:vAlign w:val="center"/>
          </w:tcPr>
          <w:p w14:paraId="1D7B99AF" w14:textId="620FAA53"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5</w:t>
            </w:r>
            <w:r w:rsidR="00FC6236" w:rsidRPr="00B13CBE">
              <w:rPr>
                <w:rFonts w:ascii="Arial" w:hAnsi="Arial" w:cs="Arial"/>
                <w:noProof/>
              </w:rPr>
              <w:fldChar w:fldCharType="end"/>
            </w:r>
            <w:r w:rsidRPr="00B13CBE">
              <w:rPr>
                <w:rFonts w:ascii="Arial" w:hAnsi="Arial" w:cs="Arial"/>
              </w:rPr>
              <w:t>)</w:t>
            </w:r>
          </w:p>
        </w:tc>
      </w:tr>
    </w:tbl>
    <w:p w14:paraId="7F1A237A" w14:textId="237DCD00" w:rsidR="001A1D48"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Then the following relationship holds: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1994959F" w14:textId="77777777" w:rsidTr="00DA4541">
        <w:tc>
          <w:tcPr>
            <w:tcW w:w="805" w:type="dxa"/>
            <w:vAlign w:val="center"/>
          </w:tcPr>
          <w:p w14:paraId="07AB799A" w14:textId="77777777" w:rsidR="00DA4541" w:rsidRPr="00B13CBE" w:rsidRDefault="00DA4541" w:rsidP="00FC6236">
            <w:pPr>
              <w:pStyle w:val="BodyText"/>
              <w:jc w:val="center"/>
              <w:rPr>
                <w:rFonts w:ascii="Arial" w:hAnsi="Arial" w:cs="Arial"/>
              </w:rPr>
            </w:pPr>
          </w:p>
        </w:tc>
        <w:tc>
          <w:tcPr>
            <w:tcW w:w="6840" w:type="dxa"/>
            <w:vAlign w:val="center"/>
          </w:tcPr>
          <w:p w14:paraId="5864B59A" w14:textId="6438D12E" w:rsidR="00DA4541" w:rsidRPr="00B13CBE" w:rsidRDefault="00DA4541" w:rsidP="00DA4541">
            <w:pPr>
              <w:pStyle w:val="BodyText"/>
              <w:spacing w:line="360" w:lineRule="auto"/>
              <w:jc w:val="both"/>
              <w:rPr>
                <w:rFonts w:ascii="Arial" w:hAnsi="Arial" w:cs="Arial"/>
                <w:color w:val="000000" w:themeColor="text1"/>
              </w:rPr>
            </w:pPr>
            <m:oMathPara>
              <m:oMath>
                <m:r>
                  <m:rPr>
                    <m:sty m:val="p"/>
                  </m:rPr>
                  <w:rPr>
                    <w:rFonts w:ascii="Cambria Math" w:hAnsi="Cambria Math" w:cs="Arial"/>
                    <w:color w:val="000000" w:themeColor="text1"/>
                  </w:rPr>
                  <m:t>E</m:t>
                </m:r>
                <m:d>
                  <m:dPr>
                    <m:ctrlPr>
                      <w:rPr>
                        <w:rFonts w:ascii="Cambria Math" w:hAnsi="Cambria Math" w:cs="Arial"/>
                        <w:color w:val="000000" w:themeColor="text1"/>
                      </w:rPr>
                    </m:ctrlPr>
                  </m:dPr>
                  <m:e>
                    <m:r>
                      <m:rPr>
                        <m:sty m:val="p"/>
                      </m:rPr>
                      <w:rPr>
                        <w:rFonts w:ascii="Cambria Math" w:hAnsi="Cambria Math" w:cs="Arial"/>
                        <w:color w:val="000000" w:themeColor="text1"/>
                      </w:rPr>
                      <m:t>r</m:t>
                    </m:r>
                  </m:e>
                </m:d>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β</m:t>
                    </m:r>
                  </m:e>
                  <m:sub>
                    <m:r>
                      <m:rPr>
                        <m:sty m:val="p"/>
                      </m:rPr>
                      <w:rPr>
                        <w:rFonts w:ascii="Cambria Math" w:hAnsi="Cambria Math" w:cs="Arial"/>
                        <w:color w:val="000000" w:themeColor="text1"/>
                      </w:rPr>
                      <m:t>0,i</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β</m:t>
                    </m:r>
                  </m:e>
                  <m:sub>
                    <m:r>
                      <m:rPr>
                        <m:sty m:val="p"/>
                      </m:rPr>
                      <w:rPr>
                        <w:rFonts w:ascii="Cambria Math" w:hAnsi="Cambria Math" w:cs="Arial"/>
                        <w:color w:val="000000" w:themeColor="text1"/>
                      </w:rPr>
                      <m:t>i</m:t>
                    </m:r>
                  </m:sub>
                </m:sSub>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m</m:t>
                    </m:r>
                  </m:sub>
                </m:sSub>
              </m:oMath>
            </m:oMathPara>
          </w:p>
        </w:tc>
        <w:tc>
          <w:tcPr>
            <w:tcW w:w="985" w:type="dxa"/>
            <w:vAlign w:val="center"/>
          </w:tcPr>
          <w:p w14:paraId="2A97B8AD" w14:textId="3A3D99EE"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6</w:t>
            </w:r>
            <w:r w:rsidR="00FC6236" w:rsidRPr="00B13CBE">
              <w:rPr>
                <w:rFonts w:ascii="Arial" w:hAnsi="Arial" w:cs="Arial"/>
                <w:noProof/>
              </w:rPr>
              <w:fldChar w:fldCharType="end"/>
            </w:r>
            <w:r w:rsidRPr="00B13CBE">
              <w:rPr>
                <w:rFonts w:ascii="Arial" w:hAnsi="Arial" w:cs="Arial"/>
              </w:rPr>
              <w:t>)</w:t>
            </w:r>
          </w:p>
        </w:tc>
      </w:tr>
    </w:tbl>
    <w:p w14:paraId="4CB31EA3" w14:textId="77777777" w:rsidR="001A1D48" w:rsidRPr="00B13CBE" w:rsidRDefault="00C4772C" w:rsidP="00781A3B">
      <w:pPr>
        <w:pStyle w:val="FirstParagraph"/>
        <w:spacing w:line="360" w:lineRule="auto"/>
        <w:jc w:val="both"/>
        <w:rPr>
          <w:rFonts w:ascii="Arial" w:eastAsiaTheme="minorEastAsia" w:hAnsi="Arial" w:cs="Arial"/>
          <w:color w:val="000000" w:themeColor="text1"/>
        </w:rPr>
      </w:pPr>
      <w:r w:rsidRPr="00B13CBE">
        <w:rPr>
          <w:rFonts w:ascii="Arial" w:hAnsi="Arial" w:cs="Arial"/>
          <w:color w:val="000000" w:themeColor="text1"/>
        </w:rPr>
        <w:t xml:space="preserve">where </w:t>
      </w:r>
      <m:oMath>
        <m:sSub>
          <m:sSubPr>
            <m:ctrlPr>
              <w:rPr>
                <w:rFonts w:ascii="Cambria Math" w:hAnsi="Cambria Math" w:cs="Arial"/>
                <w:color w:val="000000" w:themeColor="text1"/>
              </w:rPr>
            </m:ctrlPr>
          </m:sSubPr>
          <m:e>
            <m:r>
              <m:rPr>
                <m:sty m:val="p"/>
              </m:rPr>
              <w:rPr>
                <w:rFonts w:ascii="Cambria Math" w:hAnsi="Cambria Math" w:cs="Arial"/>
                <w:color w:val="000000" w:themeColor="text1"/>
              </w:rPr>
              <m:t>β</m:t>
            </m:r>
          </m:e>
          <m:sub>
            <m:r>
              <m:rPr>
                <m:sty m:val="p"/>
              </m:rPr>
              <w:rPr>
                <w:rFonts w:ascii="Cambria Math" w:hAnsi="Cambria Math" w:cs="Arial"/>
                <w:color w:val="000000" w:themeColor="text1"/>
              </w:rPr>
              <m:t>0,i</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sty m:val="p"/>
              </m:rPr>
              <w:rPr>
                <w:rFonts w:ascii="Cambria Math" w:hAnsi="Cambria Math" w:cs="Arial"/>
                <w:color w:val="000000" w:themeColor="text1"/>
              </w:rPr>
              <m:t>r</m:t>
            </m:r>
          </m:e>
          <m:sub>
            <m:r>
              <m:rPr>
                <m:sty m:val="p"/>
              </m:rPr>
              <w:rPr>
                <w:rFonts w:ascii="Cambria Math" w:hAnsi="Cambria Math" w:cs="Arial"/>
                <w:color w:val="000000" w:themeColor="text1"/>
              </w:rPr>
              <m:t>f</m:t>
            </m:r>
          </m:sub>
        </m:sSub>
        <m:d>
          <m:dPr>
            <m:ctrlPr>
              <w:rPr>
                <w:rFonts w:ascii="Cambria Math" w:hAnsi="Cambria Math" w:cs="Arial"/>
                <w:color w:val="000000" w:themeColor="text1"/>
              </w:rPr>
            </m:ctrlPr>
          </m:dPr>
          <m:e>
            <m:r>
              <m:rPr>
                <m:sty m:val="p"/>
              </m:rPr>
              <w:rPr>
                <w:rFonts w:ascii="Cambria Math" w:hAnsi="Cambria Math" w:cs="Arial"/>
                <w:color w:val="000000" w:themeColor="text1"/>
              </w:rPr>
              <m:t>1-</m:t>
            </m:r>
            <m:sSub>
              <m:sSubPr>
                <m:ctrlPr>
                  <w:rPr>
                    <w:rFonts w:ascii="Cambria Math" w:hAnsi="Cambria Math" w:cs="Arial"/>
                    <w:color w:val="000000" w:themeColor="text1"/>
                  </w:rPr>
                </m:ctrlPr>
              </m:sSubPr>
              <m:e>
                <m:r>
                  <m:rPr>
                    <m:sty m:val="p"/>
                  </m:rPr>
                  <w:rPr>
                    <w:rFonts w:ascii="Cambria Math" w:hAnsi="Cambria Math" w:cs="Arial"/>
                    <w:color w:val="000000" w:themeColor="text1"/>
                  </w:rPr>
                  <m:t>β</m:t>
                </m:r>
              </m:e>
              <m:sub>
                <m:r>
                  <m:rPr>
                    <m:sty m:val="p"/>
                  </m:rPr>
                  <w:rPr>
                    <w:rFonts w:ascii="Cambria Math" w:hAnsi="Cambria Math" w:cs="Arial"/>
                    <w:color w:val="000000" w:themeColor="text1"/>
                  </w:rPr>
                  <m:t>i</m:t>
                </m:r>
              </m:sub>
            </m:sSub>
          </m:e>
        </m:d>
      </m:oMath>
      <w:r w:rsidR="00CF6174" w:rsidRPr="00B13CBE">
        <w:rPr>
          <w:rFonts w:ascii="Arial" w:eastAsiaTheme="minorEastAsia" w:hAnsi="Arial" w:cs="Arial"/>
          <w:color w:val="000000" w:themeColor="text1"/>
        </w:rPr>
        <w:t xml:space="preserve"> </w:t>
      </w:r>
      <w:r w:rsidR="00CF6174" w:rsidRPr="00B13CBE">
        <w:rPr>
          <w:rFonts w:ascii="Arial" w:eastAsiaTheme="minorEastAsia" w:hAnsi="Arial" w:cs="Arial"/>
          <w:color w:val="000000" w:themeColor="text1"/>
        </w:rPr>
        <w:fldChar w:fldCharType="begin"/>
      </w:r>
      <w:r w:rsidR="00CF6174" w:rsidRPr="00B13CBE">
        <w:rPr>
          <w:rFonts w:ascii="Arial" w:eastAsiaTheme="minorEastAsia" w:hAnsi="Arial" w:cs="Arial"/>
          <w:color w:val="000000" w:themeColor="text1"/>
        </w:rPr>
        <w:instrText xml:space="preserve"> ADDIN ZOTERO_ITEM CSL_CITATION {"citationID":"MCQCHir3","properties":{"formattedCitation":"(Gu\\uc0\\u233{}gan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00CF6174" w:rsidRPr="00B13CBE">
        <w:rPr>
          <w:rFonts w:ascii="Arial" w:eastAsiaTheme="minorEastAsia" w:hAnsi="Arial" w:cs="Arial"/>
          <w:color w:val="000000" w:themeColor="text1"/>
        </w:rPr>
        <w:fldChar w:fldCharType="separate"/>
      </w:r>
      <w:r w:rsidR="00CF6174" w:rsidRPr="00B13CBE">
        <w:rPr>
          <w:rFonts w:ascii="Arial" w:hAnsi="Arial" w:cs="Arial"/>
          <w:color w:val="000000" w:themeColor="text1"/>
        </w:rPr>
        <w:t>(Guégan and Hassani, 2019)</w:t>
      </w:r>
      <w:r w:rsidR="00CF6174" w:rsidRPr="00B13CBE">
        <w:rPr>
          <w:rFonts w:ascii="Arial" w:eastAsiaTheme="minorEastAsia" w:hAnsi="Arial" w:cs="Arial"/>
          <w:color w:val="000000" w:themeColor="text1"/>
        </w:rPr>
        <w:fldChar w:fldCharType="end"/>
      </w:r>
      <w:r w:rsidR="00CF6174" w:rsidRPr="00B13CBE">
        <w:rPr>
          <w:rFonts w:ascii="Arial" w:eastAsiaTheme="minorEastAsia" w:hAnsi="Arial" w:cs="Arial"/>
          <w:color w:val="000000" w:themeColor="text1"/>
        </w:rPr>
        <w:t>.</w:t>
      </w:r>
    </w:p>
    <w:p w14:paraId="0EAB24E4" w14:textId="77777777" w:rsidR="001A1D48"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A</w:t>
      </w:r>
      <w:r w:rsidR="00DD4939" w:rsidRPr="00B13CBE">
        <w:rPr>
          <w:rFonts w:ascii="Arial" w:hAnsi="Arial" w:cs="Arial"/>
          <w:color w:val="000000" w:themeColor="text1"/>
        </w:rPr>
        <w:t>ccording to the authors, an</w:t>
      </w:r>
      <w:r w:rsidRPr="00B13CBE">
        <w:rPr>
          <w:rFonts w:ascii="Arial" w:hAnsi="Arial" w:cs="Arial"/>
          <w:color w:val="000000" w:themeColor="text1"/>
        </w:rPr>
        <w:t xml:space="preserve"> asset’s risk can be </w:t>
      </w:r>
      <w:r w:rsidR="0027241F" w:rsidRPr="00B13CBE">
        <w:rPr>
          <w:rFonts w:ascii="Arial" w:hAnsi="Arial" w:cs="Arial"/>
          <w:color w:val="000000" w:themeColor="text1"/>
        </w:rPr>
        <w:t xml:space="preserve">therefore be </w:t>
      </w:r>
      <w:r w:rsidRPr="00B13CBE">
        <w:rPr>
          <w:rFonts w:ascii="Arial" w:hAnsi="Arial" w:cs="Arial"/>
          <w:color w:val="000000" w:themeColor="text1"/>
        </w:rPr>
        <w:t>decomposed into ‘idiosyncratic risk’ which is the risk that is specific to that asset only, and systematic risk which is the risk that is common to all assets in a market</w:t>
      </w:r>
      <w:r w:rsidR="00DD4939" w:rsidRPr="00B13CBE">
        <w:rPr>
          <w:rFonts w:ascii="Arial" w:hAnsi="Arial" w:cs="Arial"/>
          <w:color w:val="000000" w:themeColor="text1"/>
        </w:rPr>
        <w:t xml:space="preserve">. </w:t>
      </w:r>
      <w:r w:rsidRPr="00B13CBE">
        <w:rPr>
          <w:rFonts w:ascii="Arial" w:hAnsi="Arial" w:cs="Arial"/>
          <w:color w:val="000000" w:themeColor="text1"/>
        </w:rPr>
        <w:t xml:space="preserve"> </w:t>
      </w:r>
      <w:r w:rsidR="0027241F" w:rsidRPr="00B13CBE">
        <w:rPr>
          <w:rFonts w:ascii="Arial" w:hAnsi="Arial" w:cs="Arial"/>
          <w:color w:val="000000" w:themeColor="text1"/>
        </w:rPr>
        <w:t>The</w:t>
      </w:r>
      <w:r w:rsidR="00DD4939" w:rsidRPr="00B13CBE">
        <w:rPr>
          <w:rFonts w:ascii="Arial" w:hAnsi="Arial" w:cs="Arial"/>
          <w:color w:val="000000" w:themeColor="text1"/>
        </w:rPr>
        <w:t xml:space="preserve"> main conclusion of </w:t>
      </w:r>
      <w:r w:rsidRPr="00B13CBE">
        <w:rPr>
          <w:rFonts w:ascii="Arial" w:hAnsi="Arial" w:cs="Arial"/>
          <w:color w:val="000000" w:themeColor="text1"/>
        </w:rPr>
        <w:t>CAPM</w:t>
      </w:r>
      <w:r w:rsidR="0027241F" w:rsidRPr="00B13CBE">
        <w:rPr>
          <w:rFonts w:ascii="Arial" w:hAnsi="Arial" w:cs="Arial"/>
          <w:color w:val="000000" w:themeColor="text1"/>
        </w:rPr>
        <w:t xml:space="preserve"> </w:t>
      </w:r>
      <w:r w:rsidR="00DD4939" w:rsidRPr="00B13CBE">
        <w:rPr>
          <w:rFonts w:ascii="Arial" w:hAnsi="Arial" w:cs="Arial"/>
          <w:color w:val="000000" w:themeColor="text1"/>
        </w:rPr>
        <w:t xml:space="preserve">is that </w:t>
      </w:r>
      <w:r w:rsidRPr="00B13CBE">
        <w:rPr>
          <w:rFonts w:ascii="Arial" w:hAnsi="Arial" w:cs="Arial"/>
          <w:color w:val="000000" w:themeColor="text1"/>
        </w:rPr>
        <w:t>the only important form of risk is systematic risk</w:t>
      </w:r>
      <w:r w:rsidR="00DD4939" w:rsidRPr="00B13CBE">
        <w:rPr>
          <w:rFonts w:ascii="Arial" w:hAnsi="Arial" w:cs="Arial"/>
          <w:color w:val="000000" w:themeColor="text1"/>
        </w:rPr>
        <w:t xml:space="preserve"> since it is the component of risk that can be mitigated through diversification</w:t>
      </w:r>
      <w:r w:rsidRPr="00B13CBE">
        <w:rPr>
          <w:rFonts w:ascii="Arial" w:hAnsi="Arial" w:cs="Arial"/>
          <w:color w:val="000000" w:themeColor="text1"/>
        </w:rPr>
        <w:t>.</w:t>
      </w:r>
      <w:r w:rsidR="00CB63FD" w:rsidRPr="00B13CBE">
        <w:rPr>
          <w:rFonts w:ascii="Arial" w:hAnsi="Arial" w:cs="Arial"/>
          <w:color w:val="000000" w:themeColor="text1"/>
        </w:rPr>
        <w:t xml:space="preserve"> </w:t>
      </w:r>
    </w:p>
    <w:p w14:paraId="56B2F1DA" w14:textId="77777777" w:rsidR="001A1D48"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Using the Mean-Variance framework of </w:t>
      </w:r>
      <w:r w:rsidRPr="00B13CBE">
        <w:rPr>
          <w:rFonts w:ascii="Arial" w:hAnsi="Arial" w:cs="Arial"/>
          <w:color w:val="000000" w:themeColor="text1"/>
        </w:rPr>
        <w:fldChar w:fldCharType="begin"/>
      </w:r>
      <w:r w:rsidR="00FA45AF" w:rsidRPr="00B13CBE">
        <w:rPr>
          <w:rFonts w:ascii="Arial" w:hAnsi="Arial" w:cs="Arial"/>
          <w:color w:val="000000" w:themeColor="text1"/>
        </w:rPr>
        <w:instrText xml:space="preserve"> ADDIN ZOTERO_ITEM CSL_CITATION {"citationID":"4YL1f7oQ","properties":{"formattedCitation":"(Markowitz, 1959)","plainCitation":"(Markowitz, 1959)","dontUpdate":true,"noteIndex":0},"citationItems":[{"id":165,"uris":["http://zotero.org/users/local/XXne8Mwc/items/JP8KSSNS"],"uri":["http://zotero.org/users/local/XXne8Mwc/items/JP8KSSNS"],"itemData":{"id":165,"type":"article-journal","container-title":"The Journal of Finance","issue":"1","page":"77-91","title":"Portfolio Selection","volume":"7","author":[{"family":"Markowitz","given":"Henri"}],"issued":{"date-parts":[["1959"]]}}}],"schema":"https://github.com/citation-style-language/schema/raw/master/csl-citation.json"} </w:instrText>
      </w:r>
      <w:r w:rsidRPr="00B13CBE">
        <w:rPr>
          <w:rFonts w:ascii="Arial" w:hAnsi="Arial" w:cs="Arial"/>
          <w:color w:val="000000" w:themeColor="text1"/>
        </w:rPr>
        <w:fldChar w:fldCharType="separate"/>
      </w:r>
      <w:r w:rsidRPr="00B13CBE">
        <w:rPr>
          <w:rFonts w:ascii="Arial" w:hAnsi="Arial" w:cs="Arial"/>
          <w:color w:val="000000" w:themeColor="text1"/>
        </w:rPr>
        <w:t>Markowitz (1959)</w:t>
      </w:r>
      <w:r w:rsidRPr="00B13CBE">
        <w:rPr>
          <w:rFonts w:ascii="Arial" w:hAnsi="Arial" w:cs="Arial"/>
          <w:color w:val="000000" w:themeColor="text1"/>
        </w:rPr>
        <w:fldChar w:fldCharType="end"/>
      </w:r>
      <w:r w:rsidRPr="00B13CBE">
        <w:rPr>
          <w:rFonts w:ascii="Arial" w:hAnsi="Arial" w:cs="Arial"/>
          <w:color w:val="000000" w:themeColor="text1"/>
        </w:rPr>
        <w:t xml:space="preserve">, </w:t>
      </w:r>
      <w:r w:rsidRPr="00B13CBE">
        <w:rPr>
          <w:rFonts w:ascii="Arial" w:hAnsi="Arial" w:cs="Arial"/>
          <w:color w:val="000000" w:themeColor="text1"/>
        </w:rPr>
        <w:fldChar w:fldCharType="begin"/>
      </w:r>
      <w:r w:rsidR="00FA45AF" w:rsidRPr="00B13CBE">
        <w:rPr>
          <w:rFonts w:ascii="Arial" w:hAnsi="Arial" w:cs="Arial"/>
          <w:color w:val="000000" w:themeColor="text1"/>
        </w:rPr>
        <w:instrText xml:space="preserve"> ADDIN ZOTERO_ITEM CSL_CITATION {"citationID":"HAQ36Jwm","properties":{"formattedCitation":"(Grubel, 1968)","plainCitation":"(Grubel, 1968)","dontUpdate":true,"noteIndex":0},"citationItems":[{"id":163,"uris":["http://zotero.org/users/local/XXne8Mwc/items/H3YNJ2MX"],"uri":["http://zotero.org/users/local/XXne8Mwc/items/H3YNJ2MX"],"itemData":{"id":163,"type":"article-journal","container-title":"The American Economic Review","ISSN":"0002-8282","issue":"5","note":"publisher: American Economic Association","page":"1299-1314","source":"JSTOR","title":"Internationally Diversified Portfolios: Welfare Gains and Capital Flows","title-short":"Internationally Diversified Portfolios","volume":"58","author":[{"family":"Grubel","given":"Herbert G."}],"issued":{"date-parts":[["1968"]]}}}],"schema":"https://github.com/citation-style-language/schema/raw/master/csl-citation.json"} </w:instrText>
      </w:r>
      <w:r w:rsidRPr="00B13CBE">
        <w:rPr>
          <w:rFonts w:ascii="Arial" w:hAnsi="Arial" w:cs="Arial"/>
          <w:color w:val="000000" w:themeColor="text1"/>
        </w:rPr>
        <w:fldChar w:fldCharType="separate"/>
      </w:r>
      <w:r w:rsidRPr="00B13CBE">
        <w:rPr>
          <w:rFonts w:ascii="Arial" w:hAnsi="Arial" w:cs="Arial"/>
          <w:color w:val="000000" w:themeColor="text1"/>
        </w:rPr>
        <w:t>Grubel (1968)</w:t>
      </w:r>
      <w:r w:rsidRPr="00B13CBE">
        <w:rPr>
          <w:rFonts w:ascii="Arial" w:hAnsi="Arial" w:cs="Arial"/>
          <w:color w:val="000000" w:themeColor="text1"/>
        </w:rPr>
        <w:fldChar w:fldCharType="end"/>
      </w:r>
      <w:r w:rsidRPr="00B13CBE">
        <w:rPr>
          <w:rFonts w:ascii="Arial" w:hAnsi="Arial" w:cs="Arial"/>
          <w:color w:val="000000" w:themeColor="text1"/>
        </w:rPr>
        <w:t xml:space="preserve"> showed that domestic investors could achieve superior returns by including foreign assets in their portfolios. This is because the assets in a country share systematic risk which is non-diversifiable and</w:t>
      </w:r>
      <w:r w:rsidR="00FA0906" w:rsidRPr="00B13CBE">
        <w:rPr>
          <w:rFonts w:ascii="Arial" w:hAnsi="Arial" w:cs="Arial"/>
          <w:color w:val="000000" w:themeColor="text1"/>
        </w:rPr>
        <w:t xml:space="preserve"> is, </w:t>
      </w:r>
      <w:r w:rsidRPr="00B13CBE">
        <w:rPr>
          <w:rFonts w:ascii="Arial" w:hAnsi="Arial" w:cs="Arial"/>
          <w:color w:val="000000" w:themeColor="text1"/>
        </w:rPr>
        <w:t xml:space="preserve">according to CAPM, the only important form of risk. An increase in correlation between international markets reduces the number of assets that can be used to diversify international portfolios making some domestic risks non-diversifiable. The causes </w:t>
      </w:r>
      <w:r w:rsidR="00FA0906" w:rsidRPr="00B13CBE">
        <w:rPr>
          <w:rFonts w:ascii="Arial" w:hAnsi="Arial" w:cs="Arial"/>
          <w:color w:val="000000" w:themeColor="text1"/>
        </w:rPr>
        <w:t>o</w:t>
      </w:r>
      <w:r w:rsidRPr="00B13CBE">
        <w:rPr>
          <w:rFonts w:ascii="Arial" w:hAnsi="Arial" w:cs="Arial"/>
          <w:color w:val="000000" w:themeColor="text1"/>
        </w:rPr>
        <w:t xml:space="preserve">f this </w:t>
      </w:r>
      <w:r w:rsidR="00FA0906" w:rsidRPr="00B13CBE">
        <w:rPr>
          <w:rFonts w:ascii="Arial" w:hAnsi="Arial" w:cs="Arial"/>
          <w:color w:val="000000" w:themeColor="text1"/>
        </w:rPr>
        <w:t xml:space="preserve">inter-market correlation </w:t>
      </w:r>
      <w:r w:rsidRPr="00B13CBE">
        <w:rPr>
          <w:rFonts w:ascii="Arial" w:hAnsi="Arial" w:cs="Arial"/>
          <w:color w:val="000000" w:themeColor="text1"/>
        </w:rPr>
        <w:t xml:space="preserve">are discussed in the following section. </w:t>
      </w:r>
    </w:p>
    <w:p w14:paraId="29F52CC9" w14:textId="77777777" w:rsidR="00383C0A" w:rsidRPr="00B13CBE" w:rsidRDefault="00C4772C" w:rsidP="00781A3B">
      <w:pPr>
        <w:pStyle w:val="Heading2"/>
        <w:spacing w:before="0"/>
      </w:pPr>
      <w:bookmarkStart w:id="12" w:name="_Toc82603356"/>
      <w:r w:rsidRPr="00B13CBE">
        <w:t>Correlation</w:t>
      </w:r>
      <w:r w:rsidR="00BE0B98" w:rsidRPr="00B13CBE">
        <w:t xml:space="preserve"> B</w:t>
      </w:r>
      <w:r w:rsidRPr="00B13CBE">
        <w:t>etween</w:t>
      </w:r>
      <w:r w:rsidR="00BE0B98" w:rsidRPr="00B13CBE">
        <w:t xml:space="preserve"> I</w:t>
      </w:r>
      <w:r w:rsidRPr="00B13CBE">
        <w:t>nternational</w:t>
      </w:r>
      <w:r w:rsidR="00BE0B98" w:rsidRPr="00B13CBE">
        <w:t xml:space="preserve"> M</w:t>
      </w:r>
      <w:r w:rsidRPr="00B13CBE">
        <w:t>arkets</w:t>
      </w:r>
      <w:bookmarkEnd w:id="12"/>
    </w:p>
    <w:p w14:paraId="3DC3E6C6" w14:textId="77777777" w:rsidR="00FD3B6F"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It is well established</w:t>
      </w:r>
      <w:r w:rsidR="0027241F"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in the literature on the dependence between international markets</w:t>
      </w:r>
      <w:r w:rsidR="00E237CE"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that capital markets in different countries are correlated, and </w:t>
      </w:r>
      <w:r w:rsidR="0027241F" w:rsidRPr="00B13CBE">
        <w:rPr>
          <w:rFonts w:ascii="Arial" w:hAnsi="Arial" w:cs="Arial"/>
          <w:color w:val="000000" w:themeColor="text1"/>
          <w:sz w:val="24"/>
          <w:szCs w:val="24"/>
        </w:rPr>
        <w:t>the</w:t>
      </w:r>
      <w:r w:rsidRPr="00B13CBE">
        <w:rPr>
          <w:rFonts w:ascii="Arial" w:hAnsi="Arial" w:cs="Arial"/>
          <w:color w:val="000000" w:themeColor="text1"/>
          <w:sz w:val="24"/>
          <w:szCs w:val="24"/>
        </w:rPr>
        <w:t xml:space="preserve"> correlation is time-varying </w:t>
      </w:r>
      <w:r w:rsidRPr="00B13CBE">
        <w:rPr>
          <w:rFonts w:ascii="Arial" w:hAnsi="Arial" w:cs="Arial"/>
          <w:color w:val="000000" w:themeColor="text1"/>
          <w:sz w:val="24"/>
          <w:szCs w:val="24"/>
        </w:rPr>
        <w:fldChar w:fldCharType="begin"/>
      </w:r>
      <w:r w:rsidR="00E40E3D" w:rsidRPr="00B13CBE">
        <w:rPr>
          <w:rFonts w:ascii="Arial" w:hAnsi="Arial" w:cs="Arial"/>
          <w:color w:val="000000" w:themeColor="text1"/>
          <w:sz w:val="24"/>
          <w:szCs w:val="24"/>
        </w:rPr>
        <w:instrText xml:space="preserve"> ADDIN ZOTERO_ITEM CSL_CITATION {"citationID":"qOOMuMgR","properties":{"formattedCitation":"(King and Wadhwani, 1990; Longin and Solnik, 1995; Karolyi and Stulz, 1996; Solnik, Buocrelle and Le Fur, 1996)","plainCitation":"(King and Wadhwani, 1990; Longin and Solnik, 1995; Karolyi and Stulz, 1996; Solnik, Buocrelle and Le Fur, 1996)","dontUpdate":true,"noteIndex":0},"citationItems":[{"id":114,"uris":["http://zotero.org/users/local/XXne8Mwc/items/LPRIVNRZ"],"uri":["http://zotero.org/users/local/XXne8Mwc/items/LPRIVNRZ"],"itemData":{"id":114,"type":"article-journal","abstract":"This article explores the fundamental factors that affect cross-country stock return correlations. Using transactions data from 1988 to 1992, we construct overnight and intraday returns for a portfolio of Japanese stocks using their NYSE-traded American Depository Receipts (ADRs) and a matched-sample portfolio of U.S. stocks. We find that U.S. macroeconomic announcements, shocks to the Yen/Dollar foreign exchange rate and Treasury bill returns, and industry effects have no measurable influence on U.S. and Japanese return correlations. However, large shocks to broad-based market indices (Nikkei Stock Average and Standard and Poor's 500 Stock Index) positively impact both the magnitude and persistence of the return correlations.","container-title":"The Journal of Finance","DOI":"10.2307/2329228","ISSN":"0022-1082","issue":"3","note":"publisher: [American Finance Association, Wiley]","page":"951-986","source":"JSTOR","title":"Why Do Markets Move Together? An Investigation of U.S.-Japan Stock Return Comovements","title-short":"Why Do Markets Move Together?","volume":"51","author":[{"family":"Karolyi","given":"G. Andrew"},{"family":"Stulz","given":"René M."}],"issued":{"date-parts":[["1996"]]}}},{"id":113,"uris":["http://zotero.org/users/local/XXne8Mwc/items/M92QDX42"],"uri":["http://zotero.org/users/local/XXne8Mwc/items/M92QDX42"],"itemData":{"id":113,"type":"article-journal","abstract":"This article investigates why, in October 1987, almost all stock markets fell together despite widely differing economic circumstances. We construct a model in which \"contagion\" between markets occurs as a result of attempts by rational agents to infer information from price changes in other markets. This provides a channel through which a \"mistake\" in one market can be transmitted to other markets. We offer supporting evidence for contagion effects using two different sources of data.","container-title":"The Review of Financial Studies","ISSN":"0893-9454","issue":"1","note":"publisher: [Oxford University Press, Society for Financial Studies]","page":"5-33","source":"JSTOR","title":"Transmission of Volatility between Stock Markets","volume":"3","author":[{"family":"King","given":"Mervyn A."},{"family":"Wadhwani","given":"Sushil"}],"issued":{"date-parts":[["1990"]]}}},{"id":120,"uris":["http://zotero.org/users/local/XXne8Mwc/items/TV3MNSAC"],"uri":["http://zotero.org/users/local/XXne8Mwc/items/TV3MNSAC"],"itemData":{"id":120,"type":"article-journal","abstract":"We study the correlation of monthly excess returns for seven major countries over the period 1960-90. We find that the international covariance and correlation matrices are unstable over time. A multivariate GARCH(1,1) model with constant conditional correlation helps to capture some of the evolution in the conditional covariance structure. However tests of specific deviations lead to a rejection of the hypothesis of a constant conditional correlation. An explicit modelling of the conditional correlation indicates an increase of the international correlation between markets over the past thirty years. We also find that the correlation rises in periods of high volatility. There is some preliminary evidence that economic variables such as the dividend yield and interest rates contain information about future volatility and correlation that is not contained in past returns alone.","container-title":"Journal of International Money and Finance","DOI":"10.1016/0261-5606(94)00001-H","ISSN":"0261-5606","issue":"1","journalAbbreviation":"Journal of International Money and Finance","language":"en","page":"3-26","source":"ScienceDirect","title":"Is the correlation in international equity returns constant: 1960–1990?","title-short":"Is the correlation in international equity returns constant","volume":"14","author":[{"family":"Longin","given":"François"},{"family":"Solnik","given":"Bruno"}],"issued":{"date-parts":[["1995",2,1]]}}},{"id":130,"uris":["http://zotero.org/users/local/XXne8Mwc/items/7G3ESJ6A"],"uri":["http://zotero.org/users/local/XXne8Mwc/items/7G3ESJ6A"],"itemData":{"id":130,"type":"webpage","title":"International Market Correlation and Volatility: Financial Analysts Journal: Vol 52, No 5","URL":"https://www.tandfonline.com/doi/abs/10.2469/faj.v52.n5.2021","author":[{"family":"Solnik","given":"Bruno"},{"family":"Buocrelle","given":"Cyril"},{"family":"Le Fur","given":"Yann"}],"accessed":{"date-parts":[["2021",7,23]]},"issued":{"date-parts":[["1996"]]}}}],"schema":"https://github.com/citation-style-language/schema/raw/master/csl-citation.json"}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(King and Wadhwani, 1990; Longin and Solnik, 1995; Karolyi and Stulz, 1996; Solnik, Buocrelle</w:t>
      </w:r>
      <w:r w:rsidR="00A545AF"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Le Fur, 1996)</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27241F" w:rsidRPr="00B13CBE">
        <w:rPr>
          <w:rFonts w:ascii="Arial" w:hAnsi="Arial" w:cs="Arial"/>
          <w:color w:val="000000" w:themeColor="text1"/>
          <w:sz w:val="24"/>
          <w:szCs w:val="24"/>
        </w:rPr>
        <w:t xml:space="preserve">Evidence shows </w:t>
      </w:r>
      <w:r w:rsidRPr="00B13CBE">
        <w:rPr>
          <w:rFonts w:ascii="Arial" w:hAnsi="Arial" w:cs="Arial"/>
          <w:color w:val="000000" w:themeColor="text1"/>
          <w:sz w:val="24"/>
          <w:szCs w:val="24"/>
        </w:rPr>
        <w:t xml:space="preserve">that during periods of stress, capital markets tend to move together </w:t>
      </w:r>
      <w:r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{"citationID":"EgfceFwO","properties":{"formattedCitation":"(King and Wadhwani, 1990; Longin and Solnik, 1995)","plainCitation":"(King and Wadhwani, 1990; Longin and Solnik, 1995)","noteIndex":0},"citationItems":[{"id":113,"uris":["http://zotero.org/users/local/XXne8Mwc/items/M92QDX42"],"uri":["http://zotero.org/users/local/XXne8Mwc/items/M92QDX42"],"itemData":{"id":113,"type":"article-journal","abstract":"This article investigates why, in October 1987, almost all stock markets fell together despite widely differing economic circumstances. We construct a model in which \"contagion\" between markets occurs as a result of attempts by rational agents to infer information from price changes in other markets. This provides a channel through which a \"mistake\" in one market can be transmitted to other markets. We offer supporting evidence for contagion effects using two different sources of data.","container-title":"The Review of Financial Studies","ISSN":"0893-9454","issue":"1","note":"publisher: [Oxford University Press, Society for Financial Studies]","page":"5-33","source":"JSTOR","title":"Transmission of Volatility between Stock Markets","volume":"3","author":[{"family":"King","given":"Mervyn A."},{"family":"Wadhwani","given":"Sushil"}],"issued":{"date-parts":[["1990"]]}}},{"id":120,"uris":["http://zotero.org/users/local/XXne8Mwc/items/TV3MNSAC"],"uri":["http://zotero.org/users/local/XXne8Mwc/items/TV3MNSAC"],"itemData":{"id":120,"type":"article-journal","abstract":"We study the correlation of monthly excess returns for seven major countries over the period 1960-90. We find that the international covariance and correlation matrices are unstable over time. A multivariate GARCH(1,1) model with constant conditional correlation helps to capture some of the evolution in the conditional covariance structure. However tests of specific deviations lead to a rejection of the hypothesis of a constant conditional correlation. An explicit modelling of the conditional correlation indicates an increase of the international correlation between markets over the past thirty years. We also find that the correlation rises in periods of high volatility. There is some preliminary evidence that economic variables such as the dividend yield and interest rates contain information about future volatility and correlation that is not contained in past returns alone.","container-title":"Journal of International Money and Finance","DOI":"10.1016/0261-5606(94)00001-H","ISSN":"0261-5606","issue":"1","journalAbbreviation":"Journal of International Money and Finance","language":"en","page":"3-26","source":"ScienceDirect","title":"Is the correlation in international equity returns constant: 1960–1990?","title-short":"Is the correlation in international equity returns constant","volume":"14","author":[{"family":"Longin","given":"François"},{"family":"Solnik","given":"Bruno"}],"issued":{"date-parts":[["1995",2,1]]}}}],"schema":"https://github.com/citation-style-language/schema/raw/master/csl-citation.json"}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(King and Wadhwani, 1990; Longin and Solnik, 1995)</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The correlation between international </w:t>
      </w:r>
      <w:r w:rsidRPr="00B13CBE">
        <w:rPr>
          <w:rFonts w:ascii="Arial" w:hAnsi="Arial" w:cs="Arial"/>
          <w:color w:val="000000" w:themeColor="text1"/>
          <w:sz w:val="24"/>
          <w:szCs w:val="24"/>
        </w:rPr>
        <w:lastRenderedPageBreak/>
        <w:t>markets has been increasing</w:t>
      </w:r>
      <w:r w:rsidR="00FA0906"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7357E9" w:rsidRPr="00B13CBE">
        <w:rPr>
          <w:rFonts w:ascii="Arial" w:hAnsi="Arial" w:cs="Arial"/>
          <w:color w:val="000000" w:themeColor="text1"/>
          <w:sz w:val="24"/>
          <w:szCs w:val="24"/>
        </w:rPr>
        <w:instrText xml:space="preserve"> ADDIN ZOTERO_ITEM CSL_CITATION {"citationID":"2emunMOs","properties":{"formattedCitation":"(Bri\\uc0\\u232{}re, Chapelle and Szafarz, 2012)","plainCitation":"(Brière, Chapelle and Szafarz, 2012)","dontUpdate":true,"noteIndex":0},"citationItems":[{"id":388,"uris":["http://zotero.org/users/local/XXne8Mwc/items/BT5QW9FW"],"uri":["http://zotero.org/users/local/XXne8Mwc/items/BT5QW9FW"],"itemData":{"id":388,"type":"article-journal","abstract":"In this article, tests for globalization and contagion are separated using an ex ante definition of crises, and contagion tests are neutralized with respect to globalization effects. A large database is constructed to study the stability of correlation matrices for four asset classes: equities, government bonds, investment grade corporate bonds, and high-yield corporate bonds, in four geographical zones. Overall, the results confirm the instability of correlations and point to a combination of globalization and flight to quality, while emphasizing that contagion on the equity markets appears as an artifact due to globalization.","container-title":"Journal of International Money and Finance","DOI":"10.1016/j.jimonfin.2012.03.010","ISSN":"0261-5606","issue":"6","journalAbbreviation":"Journal of International Money and Finance","language":"en","page":"1729-1744","source":"ScienceDirect","title":"No contagion, only globalization and flight to quality","volume":"31","author":[{"family":"Brière","given":"Marie"},{"family":"Chapelle","given":"Ariane"},{"family":"Szafarz","given":"Ariane"}],"issued":{"date-parts":[["2012",10,1]]}}}],"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(Brière, Chapelle, and Szafarz, 2012)</w:t>
      </w:r>
      <w:r w:rsidRPr="00B13CBE">
        <w:rPr>
          <w:rFonts w:ascii="Arial" w:hAnsi="Arial" w:cs="Arial"/>
          <w:color w:val="000000" w:themeColor="text1"/>
          <w:sz w:val="24"/>
          <w:szCs w:val="24"/>
        </w:rPr>
        <w:fldChar w:fldCharType="end"/>
      </w:r>
      <w:r w:rsidR="00FA0906"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However, the authors do not agree on the causes of this increase in correlation. Some authors posit that inter-market correlation </w:t>
      </w:r>
      <w:r w:rsidR="00991575" w:rsidRPr="00B13CBE">
        <w:rPr>
          <w:rFonts w:ascii="Arial" w:hAnsi="Arial" w:cs="Arial"/>
          <w:color w:val="000000" w:themeColor="text1"/>
          <w:sz w:val="24"/>
          <w:szCs w:val="24"/>
        </w:rPr>
        <w:t>is</w:t>
      </w:r>
      <w:r w:rsidRPr="00B13CBE">
        <w:rPr>
          <w:rFonts w:ascii="Arial" w:hAnsi="Arial" w:cs="Arial"/>
          <w:color w:val="000000" w:themeColor="text1"/>
          <w:sz w:val="24"/>
          <w:szCs w:val="24"/>
        </w:rPr>
        <w:t xml:space="preserve"> the result of increased interdependence</w:t>
      </w:r>
      <w:r w:rsidR="0027241F"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due to the removal of barriers to capital flows and economic globalization</w:t>
      </w:r>
      <w:r w:rsidR="00991575"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{"citationID":"qyWUfLxK","properties":{"formattedCitation":"(Karolyi and Stulz, 1996; Forbes and Rigobon, 2002)","plainCitation":"(Karolyi and Stulz, 1996; Forbes and Rigobon, 2002)","noteIndex":0},"citationItems":[{"id":116,"uris":["http://zotero.org/users/local/XXne8Mwc/items/RVVVIKK3"],"uri":["http://zotero.org/users/local/XXne8Mwc/items/RVVVIKK3"],"itemData":{"id":116,"type":"article-journal","abstract":"Heteroskedasticity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id":114,"uris":["http://zotero.org/users/local/XXne8Mwc/items/LPRIVNRZ"],"uri":["http://zotero.org/users/local/XXne8Mwc/items/LPRIVNRZ"],"itemData":{"id":114,"type":"article-journal","abstract":"This article explores the fundamental factors that affect cross-country stock return correlations. Using transactions data from 1988 to 1992, we construct overnight and intraday returns for a portfolio of Japanese stocks using their NYSE-traded American Depository Receipts (ADRs) and a matched-sample portfolio of U.S. stocks. We find that U.S. macroeconomic announcements, shocks to the Yen/Dollar foreign exchange rate and Treasury bill returns, and industry effects have no measurable influence on U.S. and Japanese return correlations. However, large shocks to broad-based market indices (Nikkei Stock Average and Standard and Poor's 500 Stock Index) positively impact both the magnitude and persistence of the return correlations.","container-title":"The Journal of Finance","DOI":"10.2307/2329228","ISSN":"0022-1082","issue":"3","note":"publisher: [American Finance Association, Wiley]","page":"951-986","source":"JSTOR","title":"Why Do Markets Move Together? An Investigation of U.S.-Japan Stock Return Comovements","title-short":"Why Do Markets Move Together?","volume":"51","author":[{"family":"Karolyi","given":"G. Andrew"},{"family":"Stulz","given":"René M."}],"issued":{"date-parts":[["1996"]]}}}],"schema":"https://github.com/citation-style-language/schema/raw/master/csl-citation.json"}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(Karolyi and Stulz, 1996; Forbes and Rigobon, 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Others posit that the increase in correlation is due to financial ‘contagion’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{"citationID":"KsqOuKVb","properties":{"formattedCitation":"(Karolyi and Stulz, 1996; Bekaert, Harvey and Ng, 2005)","plainCitation":"(Karolyi and Stulz, 1996; Bekaert, Harvey and Ng, 2005)","dontUpdate":true,"noteIndex":0},"citationItems":[{"id":117,"uris":["http://zotero.org/users/local/XXne8Mwc/items/9G8TG94D"],"uri":["http://zotero.org/users/local/XXne8Mwc/items/9G8TG94D"],"itemData":{"id":117,"type":"article-journal","abstract":"Contagion is usually defined as correlation between markets in excess of that implied by economic fundamentals; however, there is considerable disagreement regarding the definition of the fundamentals, how they might differ across countries, and the mechanisms that link them to asset returns. Our research starts with a two</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factor model with time</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 xml:space="preserve">varying betas that accommodates various degrees of market integration. We apply this model to stock returns in three different regions: Europe, Southeast Asia, and Latin America. In addition to examining contagion during crisis periods, we document time variation in world and regional market integration and measure the proportion of volatility driven by global, regional, and local factors.","container-title":"The Journal of Business","DOI":"10.1086/426519","ISSN":"0021-9398","issue":"1","note":"publisher: The University of Chicago Press","page":"39-69","source":"JSTOR","title":"Market Integration and Contagion","volume":"78","author":[{"family":"Bekaert","given":"Geert"},{"family":"Harvey","given":"Campbell R."},{"family":"Ng","given":"Angela"}],"issued":{"date-parts":[["2005"]]}}},{"id":114,"uris":["http://zotero.org/users/local/XXne8Mwc/items/LPRIVNRZ"],"uri":["http://zotero.org/users/local/XXne8Mwc/items/LPRIVNRZ"],"itemData":{"id":114,"type":"article-journal","abstract":"This article explores the fundamental factors that affect cross-country stock return correlations. Using transactions data from 1988 to 1992, we construct overnight and intraday returns for a portfolio of Japanese stocks using their NYSE-traded American Depository Receipts (ADRs) and a matched-sample portfolio of U.S. stocks. We find that U.S. macroeconomic announcements, shocks to the Yen/Dollar foreign exchange rate and Treasury bill returns, and industry effects have no measurable influence on U.S. and Japanese return correlations. However, large shocks to broad-based market indices (Nikkei Stock Average and Standard and Poor's 500 Stock Index) positively impact both the magnitude and persistence of the return correlations.","container-title":"The Journal of Finance","DOI":"10.2307/2329228","ISSN":"0022-1082","issue":"3","note":"publisher: [American Finance Association, Wiley]","page":"951-986","source":"JSTOR","title":"Why Do Markets Move Together? An Investigation of U.S.-Japan Stock Return Comovements","title-short":"Why Do Markets Move Together?","volume":"51","author":[{"family":"Karolyi","given":"G. Andrew"},{"family":"Stulz","given":"René M."}],"issued":{"date-parts":[["1996"]]}}}],"schema":"https://github.com/citation-style-language/schema/raw/master/csl-citation.json"}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 xml:space="preserve">(Karolyi and Stulz </w:t>
      </w:r>
      <w:r w:rsidR="00C205D0"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1996; Bekaert, Harvey</w:t>
      </w:r>
      <w:r w:rsidR="00383C0A"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Ng, 2005)</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E237CE" w:rsidRPr="00B13CBE">
        <w:rPr>
          <w:rFonts w:ascii="Arial" w:hAnsi="Arial" w:cs="Arial"/>
          <w:color w:val="000000" w:themeColor="text1"/>
          <w:sz w:val="24"/>
          <w:szCs w:val="24"/>
        </w:rPr>
        <w:t xml:space="preserve">This section </w:t>
      </w:r>
      <w:r w:rsidRPr="00B13CBE">
        <w:rPr>
          <w:rFonts w:ascii="Arial" w:hAnsi="Arial" w:cs="Arial"/>
          <w:color w:val="000000" w:themeColor="text1"/>
          <w:sz w:val="24"/>
          <w:szCs w:val="24"/>
        </w:rPr>
        <w:t>review</w:t>
      </w:r>
      <w:r w:rsidR="00E237CE"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the literature on the causes of correlation between international markets.</w:t>
      </w:r>
    </w:p>
    <w:p w14:paraId="1F7905E9" w14:textId="77777777" w:rsidR="00991575" w:rsidRPr="00B13CBE" w:rsidRDefault="00C4772C" w:rsidP="00781A3B">
      <w:pPr>
        <w:pStyle w:val="Heading3"/>
        <w:numPr>
          <w:ilvl w:val="2"/>
          <w:numId w:val="18"/>
        </w:numPr>
        <w:spacing w:line="360" w:lineRule="auto"/>
        <w:jc w:val="both"/>
        <w:rPr>
          <w:rFonts w:ascii="Arial" w:hAnsi="Arial" w:cs="Arial"/>
          <w:b/>
          <w:bCs/>
          <w:color w:val="000000" w:themeColor="text1"/>
        </w:rPr>
      </w:pPr>
      <w:bookmarkStart w:id="13" w:name="_Toc82603357"/>
      <w:r w:rsidRPr="00B13CBE">
        <w:rPr>
          <w:rFonts w:ascii="Arial" w:hAnsi="Arial" w:cs="Arial"/>
          <w:b/>
          <w:bCs/>
          <w:color w:val="000000" w:themeColor="text1"/>
        </w:rPr>
        <w:t>Financial Contagion</w:t>
      </w:r>
      <w:bookmarkEnd w:id="13"/>
    </w:p>
    <w:p w14:paraId="00E4762B" w14:textId="77777777" w:rsidR="001A1D48"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According to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{"citationID":"uE7syVvD","properties":{"formattedCitation":"(Bekaert, Harvey and Ng, 2005)","plainCitation":"(Bekaert, Harvey and Ng, 2005)","dontUpdate":true,"noteIndex":0},"citationItems":[{"id":117,"uris":["http://zotero.org/users/local/XXne8Mwc/items/9G8TG94D"],"uri":["http://zotero.org/users/local/XXne8Mwc/items/9G8TG94D"],"itemData":{"id":117,"type":"article-journal","abstract":"Contagion is usually defined as correlation between markets in excess of that implied by economic fundamentals; however, there is considerable disagreement regarding the definition of the fundamentals, how they might differ across countries, and the mechanisms that link them to asset returns. Our research starts with a two</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factor model with time</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 xml:space="preserve">varying betas that accommodates various degrees of market integration. We apply this model to stock returns in three different regions: Europe, Southeast Asia, and Latin America. In addition to examining contagion during crisis periods, we document time variation in world and regional market integration and measure the proportion of volatility driven by global, regional, and local factors.","container-title":"The Journal of Business","DOI":"10.1086/426519","ISSN":"0021-9398","issue":"1","note":"publisher: The University of Chicago Press","page":"39-69","source":"JSTOR","title":"Market Integration and Contagion","volume":"78","author":[{"family":"Bekaert","given":"Geert"},{"family":"Harvey","given":"Campbell R."},{"family":"Ng","given":"Angela"}],"issued":{"date-parts":[["2005"]]}}}],"schema":"https://github.com/citation-style-language/schema/raw/master/csl-citation.json"}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Bekaert, Harvey</w:t>
      </w:r>
      <w:r w:rsidR="00383C0A" w:rsidRPr="00B13CBE">
        <w:rPr>
          <w:rFonts w:ascii="Arial" w:hAnsi="Arial" w:cs="Arial"/>
          <w:color w:val="000000" w:themeColor="text1"/>
          <w:sz w:val="24"/>
          <w:szCs w:val="24"/>
        </w:rPr>
        <w:t>,</w:t>
      </w:r>
      <w:r w:rsidR="00A545AF" w:rsidRPr="00B13CBE">
        <w:rPr>
          <w:rFonts w:ascii="Arial" w:hAnsi="Arial" w:cs="Arial"/>
          <w:color w:val="000000" w:themeColor="text1"/>
          <w:sz w:val="24"/>
          <w:szCs w:val="24"/>
        </w:rPr>
        <w:t xml:space="preserve"> </w:t>
      </w:r>
      <w:r w:rsidR="00305050" w:rsidRPr="00B13CBE">
        <w:rPr>
          <w:rFonts w:ascii="Arial" w:hAnsi="Arial" w:cs="Arial"/>
          <w:color w:val="000000" w:themeColor="text1"/>
          <w:sz w:val="24"/>
          <w:szCs w:val="24"/>
        </w:rPr>
        <w:t xml:space="preserve">and Ng </w:t>
      </w:r>
      <w:r w:rsidR="00370D61"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2005)</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5E070D" w:rsidRPr="00B13CBE">
        <w:rPr>
          <w:rFonts w:ascii="Arial" w:hAnsi="Arial" w:cs="Arial"/>
          <w:color w:val="000000" w:themeColor="text1"/>
          <w:sz w:val="24"/>
          <w:szCs w:val="24"/>
        </w:rPr>
        <w:t xml:space="preserve">the word ‘contagion’ is used in finance and economics to refer to the tendency of capital markets to move together during periods of distress. </w:t>
      </w:r>
      <w:r w:rsidR="005E070D"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{"citationID":"du2EqaeA","properties":{"formattedCitation":"(Forbes &amp; Rigobon, 2002)","plainCitation":"(Forbes &amp; Rigobon, 2002)","dontUpdate":true,"noteIndex":0},"citationItems":[{"id":116,"uris":["http://zotero.org/users/local/XXne8Mwc/items/RVVVIKK3"],"uri":["http://zotero.org/users/local/XXne8Mwc/items/RVVVIKK3"],"itemData":{"id":116,"type":"article-journal","abstract":"Heteroskedasticity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005E070D" w:rsidRPr="00B13CBE">
        <w:rPr>
          <w:rFonts w:ascii="Arial" w:hAnsi="Arial" w:cs="Arial"/>
          <w:color w:val="000000" w:themeColor="text1"/>
          <w:sz w:val="24"/>
          <w:szCs w:val="24"/>
        </w:rPr>
        <w:fldChar w:fldCharType="separate"/>
      </w:r>
      <w:r w:rsidR="005E070D" w:rsidRPr="00B13CBE">
        <w:rPr>
          <w:rFonts w:ascii="Arial" w:hAnsi="Arial" w:cs="Arial"/>
          <w:color w:val="000000" w:themeColor="text1"/>
          <w:sz w:val="24"/>
          <w:szCs w:val="24"/>
        </w:rPr>
        <w:t xml:space="preserve">Forbes </w:t>
      </w:r>
      <w:r w:rsidR="00800845" w:rsidRPr="00B13CBE">
        <w:rPr>
          <w:rFonts w:ascii="Arial" w:hAnsi="Arial" w:cs="Arial"/>
          <w:color w:val="000000" w:themeColor="text1"/>
          <w:sz w:val="24"/>
          <w:szCs w:val="24"/>
        </w:rPr>
        <w:t>and</w:t>
      </w:r>
      <w:r w:rsidR="005E070D" w:rsidRPr="00B13CBE">
        <w:rPr>
          <w:rFonts w:ascii="Arial" w:hAnsi="Arial" w:cs="Arial"/>
          <w:color w:val="000000" w:themeColor="text1"/>
          <w:sz w:val="24"/>
          <w:szCs w:val="24"/>
        </w:rPr>
        <w:t xml:space="preserve"> Rigobon, (2002)</w:t>
      </w:r>
      <w:r w:rsidR="005E070D" w:rsidRPr="00B13CBE">
        <w:rPr>
          <w:rFonts w:ascii="Arial" w:hAnsi="Arial" w:cs="Arial"/>
          <w:color w:val="000000" w:themeColor="text1"/>
          <w:sz w:val="24"/>
          <w:szCs w:val="24"/>
        </w:rPr>
        <w:fldChar w:fldCharType="end"/>
      </w:r>
      <w:r w:rsidR="005E070D" w:rsidRPr="00B13CBE">
        <w:rPr>
          <w:rFonts w:ascii="Arial" w:hAnsi="Arial" w:cs="Arial"/>
          <w:color w:val="000000" w:themeColor="text1"/>
          <w:sz w:val="24"/>
          <w:szCs w:val="24"/>
        </w:rPr>
        <w:t xml:space="preserve"> point out that there is no precise definition of financial contagion. However, several authors define contagion either </w:t>
      </w:r>
      <w:r w:rsidR="0027241F" w:rsidRPr="00B13CBE">
        <w:rPr>
          <w:rFonts w:ascii="Arial" w:hAnsi="Arial" w:cs="Arial"/>
          <w:color w:val="000000" w:themeColor="text1"/>
          <w:sz w:val="24"/>
          <w:szCs w:val="24"/>
        </w:rPr>
        <w:t>as</w:t>
      </w:r>
      <w:r w:rsidR="00800845" w:rsidRPr="00B13CBE">
        <w:rPr>
          <w:rFonts w:ascii="Arial" w:hAnsi="Arial" w:cs="Arial"/>
          <w:color w:val="000000" w:themeColor="text1"/>
          <w:sz w:val="24"/>
          <w:szCs w:val="24"/>
        </w:rPr>
        <w:t xml:space="preserve"> </w:t>
      </w:r>
      <w:r w:rsidR="005E070D" w:rsidRPr="00B13CBE">
        <w:rPr>
          <w:rFonts w:ascii="Arial" w:hAnsi="Arial" w:cs="Arial"/>
          <w:color w:val="000000" w:themeColor="text1"/>
          <w:sz w:val="24"/>
          <w:szCs w:val="24"/>
        </w:rPr>
        <w:t xml:space="preserve">the correlation between markets above the average correlation </w:t>
      </w:r>
      <w:r w:rsidR="005E070D" w:rsidRPr="00B13CBE">
        <w:rPr>
          <w:rFonts w:ascii="Arial" w:hAnsi="Arial" w:cs="Arial"/>
          <w:color w:val="000000" w:themeColor="text1"/>
          <w:sz w:val="24"/>
          <w:szCs w:val="24"/>
        </w:rPr>
        <w:fldChar w:fldCharType="begin"/>
      </w:r>
      <w:r w:rsidR="00BE0B98" w:rsidRPr="00B13CBE">
        <w:rPr>
          <w:rFonts w:ascii="Arial" w:hAnsi="Arial" w:cs="Arial"/>
          <w:color w:val="000000" w:themeColor="text1"/>
          <w:sz w:val="24"/>
          <w:szCs w:val="24"/>
        </w:rPr>
        <w:instrText xml:space="preserve"> ADDIN ZOTERO_ITEM CSL_CITATION {"citationID":"xVL6QpW1","properties":{"formattedCitation":"(Forbes and Rigobon, 2002)","plainCitation":"(Forbes and Rigobon, 2002)","noteIndex":0},"citationItems":[{"id":116,"uris":["http://zotero.org/users/local/XXne8Mwc/items/RVVVIKK3"],"uri":["http://zotero.org/users/local/XXne8Mwc/items/RVVVIKK3"],"itemData":{"id":116,"type":"article-journal","abstract":"Heteroskedasticity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005E070D"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(Forbes and Rigobon, 2002)</w:t>
      </w:r>
      <w:r w:rsidR="005E070D" w:rsidRPr="00B13CBE">
        <w:rPr>
          <w:rFonts w:ascii="Arial" w:hAnsi="Arial" w:cs="Arial"/>
          <w:color w:val="000000" w:themeColor="text1"/>
          <w:sz w:val="24"/>
          <w:szCs w:val="24"/>
        </w:rPr>
        <w:fldChar w:fldCharType="end"/>
      </w:r>
      <w:r w:rsidR="0027241F" w:rsidRPr="00B13CBE">
        <w:rPr>
          <w:rFonts w:ascii="Arial" w:hAnsi="Arial" w:cs="Arial"/>
          <w:color w:val="000000" w:themeColor="text1"/>
          <w:sz w:val="24"/>
          <w:szCs w:val="24"/>
        </w:rPr>
        <w:t xml:space="preserve"> or</w:t>
      </w:r>
      <w:r w:rsidR="005E070D" w:rsidRPr="00B13CBE">
        <w:rPr>
          <w:rFonts w:ascii="Arial" w:hAnsi="Arial" w:cs="Arial"/>
          <w:color w:val="000000" w:themeColor="text1"/>
          <w:sz w:val="24"/>
          <w:szCs w:val="24"/>
        </w:rPr>
        <w:t xml:space="preserve"> correlation above what is explained by economic fundamentals </w:t>
      </w:r>
      <w:r w:rsidR="005E070D"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{"citationID":"eaWyhRN0","properties":{"formattedCitation":"(Bekaert, Harvey and Ng, 2005)","plainCitation":"(Bekaert, Harvey and Ng, 2005)","dontUpdate":true,"noteIndex":0},"citationItems":[{"id":117,"uris":["http://zotero.org/users/local/XXne8Mwc/items/9G8TG94D"],"uri":["http://zotero.org/users/local/XXne8Mwc/items/9G8TG94D"],"itemData":{"id":117,"type":"article-journal","abstract":"Contagion is usually defined as correlation between markets in excess of that implied by economic fundamentals; however, there is considerable disagreement regarding the definition of the fundamentals, how they might differ across countries, and the mechanisms that link them to asset returns. Our research starts with a two</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factor model with time</w:instrText>
      </w:r>
      <w:r w:rsidR="00030A83" w:rsidRPr="00B13CBE">
        <w:rPr>
          <w:rFonts w:ascii="Cambria Math" w:hAnsi="Cambria Math" w:cs="Cambria Math"/>
          <w:color w:val="000000" w:themeColor="text1"/>
          <w:sz w:val="24"/>
          <w:szCs w:val="24"/>
        </w:rPr>
        <w:instrText>‐</w:instrText>
      </w:r>
      <w:r w:rsidR="00030A83" w:rsidRPr="00B13CBE">
        <w:rPr>
          <w:rFonts w:ascii="Arial" w:hAnsi="Arial" w:cs="Arial"/>
          <w:color w:val="000000" w:themeColor="text1"/>
          <w:sz w:val="24"/>
          <w:szCs w:val="24"/>
        </w:rPr>
        <w:instrText xml:space="preserve">varying betas that accommodates various degrees of market integration. We apply this model to stock returns in three different regions: Europe, Southeast Asia, and Latin America. In addition to examining contagion during crisis periods, we document time variation in world and regional market integration and measure the proportion of volatility driven by global, regional, and local factors.","container-title":"The Journal of Business","DOI":"10.1086/426519","ISSN":"0021-9398","issue":"1","note":"publisher: The University of Chicago Press","page":"39-69","source":"JSTOR","title":"Market Integration and Contagion","volume":"78","author":[{"family":"Bekaert","given":"Geert"},{"family":"Harvey","given":"Campbell R."},{"family":"Ng","given":"Angela"}],"issued":{"date-parts":[["2005"]]}}}],"schema":"https://github.com/citation-style-language/schema/raw/master/csl-citation.json"} </w:instrText>
      </w:r>
      <w:r w:rsidR="005E070D"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(Bekaert, Harvey</w:t>
      </w:r>
      <w:r w:rsidR="00383C0A"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and Ng</w:t>
      </w:r>
      <w:r w:rsidR="00383C0A" w:rsidRPr="00B13CBE">
        <w:rPr>
          <w:rFonts w:ascii="Arial" w:hAnsi="Arial" w:cs="Arial"/>
          <w:color w:val="000000" w:themeColor="text1"/>
          <w:sz w:val="24"/>
          <w:szCs w:val="24"/>
        </w:rPr>
        <w:t xml:space="preserve">, </w:t>
      </w:r>
      <w:r w:rsidR="00305050" w:rsidRPr="00B13CBE">
        <w:rPr>
          <w:rFonts w:ascii="Arial" w:hAnsi="Arial" w:cs="Arial"/>
          <w:color w:val="000000" w:themeColor="text1"/>
          <w:sz w:val="24"/>
          <w:szCs w:val="24"/>
        </w:rPr>
        <w:t>2005)</w:t>
      </w:r>
      <w:r w:rsidR="005E070D" w:rsidRPr="00B13CBE">
        <w:rPr>
          <w:rFonts w:ascii="Arial" w:hAnsi="Arial" w:cs="Arial"/>
          <w:color w:val="000000" w:themeColor="text1"/>
          <w:sz w:val="24"/>
          <w:szCs w:val="24"/>
        </w:rPr>
        <w:fldChar w:fldCharType="end"/>
      </w:r>
      <w:r w:rsidR="005E070D" w:rsidRPr="00B13CBE">
        <w:rPr>
          <w:rFonts w:ascii="Arial" w:hAnsi="Arial" w:cs="Arial"/>
          <w:color w:val="000000" w:themeColor="text1"/>
          <w:sz w:val="24"/>
          <w:szCs w:val="24"/>
        </w:rPr>
        <w:t xml:space="preserve">. According to </w:t>
      </w:r>
      <w:r w:rsidR="005E070D"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{"citationID":"Fc1HqmsA","properties":{"formattedCitation":"(Kaminsky, Reinhart and V\\uc0\\u233{}gh, 2003)","plainCitation":"(Kaminsky, Reinhart and Végh, 2003)","dontUpdate":true,"noteIndex":0},"citationItems":[{"id":390,"uris":["http://zotero.org/users/local/XXne8Mwc/items/LES6VVRY"],"uri":["http://zotero.org/users/local/XXne8Mwc/items/LES6VVRY"],"itemData":{"id":390,"type":"article-journal","abstract":"Over the last 20 years, some financial events, such as devaluations or defaults, have triggered an immediate adverse chain reaction in other countries--which we call fast and furious contagion. Yet, on other occasions, similar events have failed to trigger any immediate international reaction. We argue that fast and furious contagion episodes are characterized by \"the unholy trinity\": (i) they follow a large surge in capital flows; (ii) they come as a surprise; and (iii) they involve a leveraged common creditor. In contrast, when similar events have elicited little international reaction, they were widely anticipated and took place at a time when capital flows had already subsided.","container-title":"Journal of Economic Perspectives","DOI":"10.1257/089533003772034899","ISSN":"0895-3309","issue":"4","language":"en","page":"51-74","source":"www.aeaweb.org","title":"The Unholy Trinity of Financial Contagion","volume":"17","author":[{"family":"Kaminsky","given":"Graciela L."},{"family":"Reinhart","given":"Carmen M."},{"family":"Végh","given":"Carlos A."}],"issued":{"date-parts":[["2003",12]]}}}],"schema":"https://github.com/citation-style-language/schema/raw/master/csl-citation.json"} </w:instrText>
      </w:r>
      <w:r w:rsidR="005E070D"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Kaminsky, Reinhart</w:t>
      </w:r>
      <w:r w:rsidR="00E237CE"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Végh,</w:t>
      </w:r>
      <w:r w:rsidR="00E237CE" w:rsidRPr="00B13CBE">
        <w:rPr>
          <w:rFonts w:ascii="Arial" w:hAnsi="Arial" w:cs="Arial"/>
          <w:color w:val="000000" w:themeColor="text1"/>
          <w:sz w:val="24"/>
          <w:szCs w:val="24"/>
        </w:rPr>
        <w:t xml:space="preserve"> (</w:t>
      </w:r>
      <w:r w:rsidR="00305050" w:rsidRPr="00B13CBE">
        <w:rPr>
          <w:rFonts w:ascii="Arial" w:hAnsi="Arial" w:cs="Arial"/>
          <w:color w:val="000000" w:themeColor="text1"/>
          <w:sz w:val="24"/>
          <w:szCs w:val="24"/>
        </w:rPr>
        <w:t>2003)</w:t>
      </w:r>
      <w:r w:rsidR="005E070D" w:rsidRPr="00B13CBE">
        <w:rPr>
          <w:rFonts w:ascii="Arial" w:hAnsi="Arial" w:cs="Arial"/>
          <w:color w:val="000000" w:themeColor="text1"/>
          <w:sz w:val="24"/>
          <w:szCs w:val="24"/>
        </w:rPr>
        <w:fldChar w:fldCharType="end"/>
      </w:r>
      <w:r w:rsidR="005E070D" w:rsidRPr="00B13CBE">
        <w:rPr>
          <w:rFonts w:ascii="Arial" w:hAnsi="Arial" w:cs="Arial"/>
          <w:color w:val="000000" w:themeColor="text1"/>
          <w:sz w:val="24"/>
          <w:szCs w:val="24"/>
        </w:rPr>
        <w:t xml:space="preserve">, two main theories have been put forth to explain the causes of contagion: investor behavior </w:t>
      </w:r>
      <w:r w:rsidR="00262D23" w:rsidRPr="00B13CBE">
        <w:rPr>
          <w:rFonts w:ascii="Arial" w:hAnsi="Arial" w:cs="Arial"/>
          <w:color w:val="000000" w:themeColor="text1"/>
          <w:sz w:val="24"/>
          <w:szCs w:val="24"/>
        </w:rPr>
        <w:t>and economic or financial</w:t>
      </w:r>
      <w:r w:rsidR="005E070D" w:rsidRPr="00B13CBE">
        <w:rPr>
          <w:rFonts w:ascii="Arial" w:hAnsi="Arial" w:cs="Arial"/>
          <w:color w:val="000000" w:themeColor="text1"/>
          <w:sz w:val="24"/>
          <w:szCs w:val="24"/>
        </w:rPr>
        <w:t xml:space="preserve"> </w:t>
      </w:r>
      <w:r w:rsidR="00262D23" w:rsidRPr="00B13CBE">
        <w:rPr>
          <w:rFonts w:ascii="Arial" w:hAnsi="Arial" w:cs="Arial"/>
          <w:color w:val="000000" w:themeColor="text1"/>
          <w:sz w:val="24"/>
          <w:szCs w:val="24"/>
        </w:rPr>
        <w:t xml:space="preserve">interlinkages.  </w:t>
      </w:r>
    </w:p>
    <w:p w14:paraId="5795FDC7" w14:textId="77777777" w:rsidR="00262D23" w:rsidRPr="00B13CBE" w:rsidRDefault="00C4772C" w:rsidP="00781A3B">
      <w:pPr>
        <w:pStyle w:val="Heading4"/>
        <w:numPr>
          <w:ilvl w:val="3"/>
          <w:numId w:val="18"/>
        </w:numPr>
        <w:spacing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t>I</w:t>
      </w:r>
      <w:r w:rsidR="00E237CE" w:rsidRPr="00B13CBE">
        <w:rPr>
          <w:rFonts w:ascii="Arial" w:hAnsi="Arial" w:cs="Arial"/>
          <w:b/>
          <w:bCs/>
          <w:i w:val="0"/>
          <w:iCs w:val="0"/>
          <w:color w:val="000000" w:themeColor="text1"/>
          <w:sz w:val="24"/>
          <w:szCs w:val="24"/>
        </w:rPr>
        <w:t>nvestor</w:t>
      </w:r>
      <w:r w:rsidR="00BE0B98" w:rsidRPr="00B13CBE">
        <w:rPr>
          <w:rFonts w:ascii="Arial" w:hAnsi="Arial" w:cs="Arial"/>
          <w:b/>
          <w:bCs/>
          <w:i w:val="0"/>
          <w:iCs w:val="0"/>
          <w:color w:val="000000" w:themeColor="text1"/>
          <w:sz w:val="24"/>
          <w:szCs w:val="24"/>
        </w:rPr>
        <w:t xml:space="preserve"> B</w:t>
      </w:r>
      <w:r w:rsidR="00E237CE" w:rsidRPr="00B13CBE">
        <w:rPr>
          <w:rFonts w:ascii="Arial" w:hAnsi="Arial" w:cs="Arial"/>
          <w:b/>
          <w:bCs/>
          <w:i w:val="0"/>
          <w:iCs w:val="0"/>
          <w:color w:val="000000" w:themeColor="text1"/>
          <w:sz w:val="24"/>
          <w:szCs w:val="24"/>
        </w:rPr>
        <w:t>ehavior</w:t>
      </w:r>
    </w:p>
    <w:p w14:paraId="303590F0" w14:textId="77777777" w:rsidR="00405684"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{"citationID":"c8Hb4Wwz","properties":{"formattedCitation":"(Calvo and Mendoza, 2000)","plainCitation":"(Calvo and Mendoza, 2000)","dontUpdate":true,"noteIndex":0},"citationItems":[{"id":482,"uris":["http://zotero.org/users/local/XXne8Mwc/items/8C4QNCDZ"],"uri":["http://zotero.org/users/local/XXne8Mwc/items/8C4QNCDZ"],"itemData":{"id":482,"type":"article-journal","abstract":"This paper argues that globalization may promote contagion by weakening incentives for gathering costly information and by strengthening incentives for imitating arbitrary market portfolios. In the presence of short-selling constraints, the gain of gathering information at a fixed cost may diminish as markets grow. Moreover, if a portfolio manager's marginal cost for yielding below-market returns exceeds the marginal gain for above-market returns, there is a range of optimal portfolios in which all investors imitate arbitrary market portfolios and this range widens as the market grows. Numerical simulations suggest that these frictions can have significant implications for capital flows in emerging markets.","container-title":"Journal of International Economics","DOI":"10.1016/S0022-1996(99)00038-0","ISSN":"0022-1996","issue":"1","journalAbbreviation":"Journal of International Economics","language":"en","page":"79-113","source":"ScienceDirect","title":"Rational contagion and the globalization of securities markets","volume":"51","author":[{"family":"Calvo","given":"Guillermo A."},{"family":"Mendoza","given":"Enrique G."}],"issued":{"date-parts":[["2000",6,1]]}}}],"schema":"https://github.com/citation-style-language/schema/raw/master/csl-citation.json"}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Calvo and Mendoza (2000)</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r w:rsidR="00262D23" w:rsidRPr="00B13CBE">
        <w:rPr>
          <w:rFonts w:ascii="Arial" w:hAnsi="Arial" w:cs="Arial"/>
          <w:color w:val="000000" w:themeColor="text1"/>
          <w:sz w:val="24"/>
          <w:szCs w:val="24"/>
        </w:rPr>
        <w:t>present a theory of contagion based on the effect of information asymmetry</w:t>
      </w:r>
      <w:r w:rsidR="0027241F" w:rsidRPr="00B13CBE">
        <w:rPr>
          <w:rFonts w:ascii="Arial" w:hAnsi="Arial" w:cs="Arial"/>
          <w:color w:val="000000" w:themeColor="text1"/>
          <w:sz w:val="24"/>
          <w:szCs w:val="24"/>
        </w:rPr>
        <w:t xml:space="preserve"> present</w:t>
      </w:r>
      <w:r w:rsidR="00262D23" w:rsidRPr="00B13CBE">
        <w:rPr>
          <w:rFonts w:ascii="Arial" w:hAnsi="Arial" w:cs="Arial"/>
          <w:color w:val="000000" w:themeColor="text1"/>
          <w:sz w:val="24"/>
          <w:szCs w:val="24"/>
        </w:rPr>
        <w:t xml:space="preserve"> in the diversification of international portfolios. They posit that herding is caused by the high costs involved in obtaining and processing country-specific information. When the marginal cost of obtaining and processing country-specific information exceeds the marginal gains, rational </w:t>
      </w:r>
      <w:r w:rsidR="00262D23" w:rsidRPr="00B13CBE">
        <w:rPr>
          <w:rFonts w:ascii="Arial" w:hAnsi="Arial" w:cs="Arial"/>
          <w:color w:val="000000" w:themeColor="text1"/>
          <w:sz w:val="24"/>
          <w:szCs w:val="24"/>
        </w:rPr>
        <w:lastRenderedPageBreak/>
        <w:t xml:space="preserve">investors have an incentive to mimic other market participants. </w:t>
      </w:r>
      <w:r w:rsidR="00E91F61" w:rsidRPr="00B13CBE">
        <w:rPr>
          <w:rFonts w:ascii="Arial" w:hAnsi="Arial" w:cs="Arial"/>
          <w:color w:val="000000" w:themeColor="text1"/>
          <w:sz w:val="24"/>
          <w:szCs w:val="24"/>
        </w:rPr>
        <w:t>During a crisis especially, when</w:t>
      </w:r>
      <w:r w:rsidR="0027241F" w:rsidRPr="00B13CBE">
        <w:rPr>
          <w:rFonts w:ascii="Arial" w:hAnsi="Arial" w:cs="Arial"/>
          <w:color w:val="000000" w:themeColor="text1"/>
          <w:sz w:val="24"/>
          <w:szCs w:val="24"/>
        </w:rPr>
        <w:t xml:space="preserve"> it is both urgent and necessary</w:t>
      </w:r>
      <w:r w:rsidR="00E91F61" w:rsidRPr="00B13CBE">
        <w:rPr>
          <w:rFonts w:ascii="Arial" w:hAnsi="Arial" w:cs="Arial"/>
          <w:color w:val="000000" w:themeColor="text1"/>
          <w:sz w:val="24"/>
          <w:szCs w:val="24"/>
        </w:rPr>
        <w:t xml:space="preserve"> to process such information, </w:t>
      </w:r>
      <w:r w:rsidR="00262D23" w:rsidRPr="00B13CBE">
        <w:rPr>
          <w:rFonts w:ascii="Arial" w:hAnsi="Arial" w:cs="Arial"/>
          <w:color w:val="000000" w:themeColor="text1"/>
          <w:sz w:val="24"/>
          <w:szCs w:val="24"/>
        </w:rPr>
        <w:t xml:space="preserve">a ‘rumor’ </w:t>
      </w:r>
      <w:r w:rsidR="0027241F" w:rsidRPr="00B13CBE">
        <w:rPr>
          <w:rFonts w:ascii="Arial" w:hAnsi="Arial" w:cs="Arial"/>
          <w:color w:val="000000" w:themeColor="text1"/>
          <w:sz w:val="24"/>
          <w:szCs w:val="24"/>
        </w:rPr>
        <w:t>t</w:t>
      </w:r>
      <w:r w:rsidR="00262D23" w:rsidRPr="00B13CBE">
        <w:rPr>
          <w:rFonts w:ascii="Arial" w:hAnsi="Arial" w:cs="Arial"/>
          <w:color w:val="000000" w:themeColor="text1"/>
          <w:sz w:val="24"/>
          <w:szCs w:val="24"/>
        </w:rPr>
        <w:t xml:space="preserve">hat </w:t>
      </w:r>
      <w:r w:rsidR="00A4067E" w:rsidRPr="00B13CBE">
        <w:rPr>
          <w:rFonts w:ascii="Arial" w:hAnsi="Arial" w:cs="Arial"/>
          <w:color w:val="000000" w:themeColor="text1"/>
          <w:sz w:val="24"/>
          <w:szCs w:val="24"/>
        </w:rPr>
        <w:t>benefits</w:t>
      </w:r>
      <w:r w:rsidR="00E91F61" w:rsidRPr="00B13CBE">
        <w:rPr>
          <w:rFonts w:ascii="Arial" w:hAnsi="Arial" w:cs="Arial"/>
          <w:color w:val="000000" w:themeColor="text1"/>
          <w:sz w:val="24"/>
          <w:szCs w:val="24"/>
        </w:rPr>
        <w:t xml:space="preserve"> a different portfolio causes foreign investors to ‘follow the herd’</w:t>
      </w:r>
      <w:r w:rsidRPr="00B13CBE">
        <w:rPr>
          <w:rFonts w:ascii="Arial" w:hAnsi="Arial" w:cs="Arial"/>
          <w:color w:val="000000" w:themeColor="text1"/>
          <w:sz w:val="24"/>
          <w:szCs w:val="24"/>
        </w:rPr>
        <w:t xml:space="preserve"> </w:t>
      </w:r>
      <w:r w:rsidR="00FD21DF"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{"citationID":"qiJhBfyn","properties":{"formattedCitation":"(Kaminsky, Reinhart and V\\uc0\\u233{}gh, 2003)","plainCitation":"(Kaminsky, Reinhart and Végh, 2003)","dontUpdate":true,"noteIndex":0},"citationItems":[{"id":390,"uris":["http://zotero.org/users/local/XXne8Mwc/items/LES6VVRY"],"uri":["http://zotero.org/users/local/XXne8Mwc/items/LES6VVRY"],"itemData":{"id":390,"type":"article-journal","abstract":"Over the last 20 years, some financial events, such as devaluations or defaults, have triggered an immediate adverse chain reaction in other countries--which we call fast and furious contagion. Yet, on other occasions, similar events have failed to trigger any immediate international reaction. We argue that fast and furious contagion episodes are characterized by \"the unholy trinity\": (i) they follow a large surge in capital flows; (ii) they come as a surprise; and (iii) they involve a leveraged common creditor. In contrast, when similar events have elicited little international reaction, they were widely anticipated and took place at a time when capital flows had already subsided.","container-title":"Journal of Economic Perspectives","DOI":"10.1257/089533003772034899","ISSN":"0895-3309","issue":"4","language":"en","page":"51-74","source":"www.aeaweb.org","title":"The Unholy Trinity of Financial Contagion","volume":"17","author":[{"family":"Kaminsky","given":"Graciela L."},{"family":"Reinhart","given":"Carmen M."},{"family":"Végh","given":"Carlos A."}],"issued":{"date-parts":[["2003",12]]}}}],"schema":"https://github.com/citation-style-language/schema/raw/master/csl-citation.json"} </w:instrText>
      </w:r>
      <w:r w:rsidR="00FD21DF"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(Kaminsky, Reinhart</w:t>
      </w:r>
      <w:r w:rsidR="00383C0A"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Végh, 2003)</w:t>
      </w:r>
      <w:r w:rsidR="00FD21DF"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w:t>
      </w:r>
    </w:p>
    <w:p w14:paraId="12061DBC" w14:textId="77777777" w:rsidR="00B616D2"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{"citationID":"ArKoAGtA","properties":{"formattedCitation":"(Mullainathan, 2002)","plainCitation":"(Mullainathan, 2002)","dontUpdate":true,"noteIndex":0},"citationItems":[{"id":484,"uris":["http://zotero.org/users/local/XXne8Mwc/items/GBTU735K"],"uri":["http://zotero.org/users/local/XXne8Mwc/items/GBTU735K"],"itemData":{"id":484,"type":"article-journal","abstract":"In order to investigate the impact of limited memory on human behavior, I develop a model of memory grounded in psychological and biological research. I assume that people take their memories as accurate and use them to make inferences. The resulting model predicts both over- and underreaction but provides enough structure to predict when each effect dominates. I then use this framework to study the consumption decision. The results match empirical work on consumption predictability as well as differences in the marginal propensity to consume from different income streams. Most importantly, because it ties the extent of bias to a measurable aspect of the stochastic process being forecasted, the model makes testable empirical predictions.","container-title":"The Quarterly Journal of Economics","DOI":"10.1162/003355302760193887","ISSN":"0033-5533","issue":"3","journalAbbreviation":"The Quarterly Journal of Economics","page":"735-774","source":"Silverchair","title":"A Memory-Based Model of Bounded Rationality*","volume":"117","author":[{"family":"Mullainathan","given":"Sendhil"}],"issued":{"date-parts":[["2002",8,1]]}}}],"schema":"https://github.com/citation-style-language/schema/raw/master/csl-citation.json"}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Mullainathan</w:t>
      </w:r>
      <w:r w:rsidR="00383C0A"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proposed another contagion theory </w:t>
      </w:r>
      <w:r w:rsidR="00DD4939" w:rsidRPr="00B13CBE">
        <w:rPr>
          <w:rFonts w:ascii="Arial" w:hAnsi="Arial" w:cs="Arial"/>
          <w:color w:val="000000" w:themeColor="text1"/>
          <w:sz w:val="24"/>
          <w:szCs w:val="24"/>
        </w:rPr>
        <w:t xml:space="preserve">of inter-market dependence </w:t>
      </w:r>
      <w:r w:rsidRPr="00B13CBE">
        <w:rPr>
          <w:rFonts w:ascii="Arial" w:hAnsi="Arial" w:cs="Arial"/>
          <w:color w:val="000000" w:themeColor="text1"/>
          <w:sz w:val="24"/>
          <w:szCs w:val="24"/>
        </w:rPr>
        <w:t>based on investor behavior. The author argues t</w:t>
      </w:r>
      <w:r w:rsidR="00F65E21" w:rsidRPr="00B13CBE">
        <w:rPr>
          <w:rFonts w:ascii="Arial" w:hAnsi="Arial" w:cs="Arial"/>
          <w:color w:val="000000" w:themeColor="text1"/>
          <w:sz w:val="24"/>
          <w:szCs w:val="24"/>
        </w:rPr>
        <w:t>hat investors have an imperfect recollection of past events</w:t>
      </w:r>
      <w:r w:rsidRPr="00B13CBE">
        <w:rPr>
          <w:rFonts w:ascii="Arial" w:hAnsi="Arial" w:cs="Arial"/>
          <w:color w:val="000000" w:themeColor="text1"/>
          <w:sz w:val="24"/>
          <w:szCs w:val="24"/>
        </w:rPr>
        <w:t xml:space="preserve"> therefore</w:t>
      </w:r>
      <w:r w:rsidR="00A4067E" w:rsidRPr="00B13CBE">
        <w:rPr>
          <w:rFonts w:ascii="Arial" w:hAnsi="Arial" w:cs="Arial"/>
          <w:color w:val="000000" w:themeColor="text1"/>
          <w:sz w:val="24"/>
          <w:szCs w:val="24"/>
        </w:rPr>
        <w:t xml:space="preserve"> </w:t>
      </w:r>
      <w:r w:rsidR="00F65E21" w:rsidRPr="00B13CBE">
        <w:rPr>
          <w:rFonts w:ascii="Arial" w:hAnsi="Arial" w:cs="Arial"/>
          <w:color w:val="000000" w:themeColor="text1"/>
          <w:sz w:val="24"/>
          <w:szCs w:val="24"/>
        </w:rPr>
        <w:t>when a crisis occurs in a country, it triggers memories of past crises making investors change their expectations about variables such as debt default</w:t>
      </w:r>
      <w:r w:rsidRPr="00B13CBE">
        <w:rPr>
          <w:rFonts w:ascii="Arial" w:hAnsi="Arial" w:cs="Arial"/>
          <w:color w:val="000000" w:themeColor="text1"/>
          <w:sz w:val="24"/>
          <w:szCs w:val="24"/>
        </w:rPr>
        <w:t xml:space="preserve">. This </w:t>
      </w:r>
      <w:r w:rsidR="00F65E21" w:rsidRPr="00B13CBE">
        <w:rPr>
          <w:rFonts w:ascii="Arial" w:hAnsi="Arial" w:cs="Arial"/>
          <w:color w:val="000000" w:themeColor="text1"/>
          <w:sz w:val="24"/>
          <w:szCs w:val="24"/>
        </w:rPr>
        <w:t>lead</w:t>
      </w:r>
      <w:r w:rsidRPr="00B13CBE">
        <w:rPr>
          <w:rFonts w:ascii="Arial" w:hAnsi="Arial" w:cs="Arial"/>
          <w:color w:val="000000" w:themeColor="text1"/>
          <w:sz w:val="24"/>
          <w:szCs w:val="24"/>
        </w:rPr>
        <w:t>s</w:t>
      </w:r>
      <w:r w:rsidR="00F65E21" w:rsidRPr="00B13CBE">
        <w:rPr>
          <w:rFonts w:ascii="Arial" w:hAnsi="Arial" w:cs="Arial"/>
          <w:color w:val="000000" w:themeColor="text1"/>
          <w:sz w:val="24"/>
          <w:szCs w:val="24"/>
        </w:rPr>
        <w:t xml:space="preserve"> to overestimating the probability of a bad state. Since memories are correlated, this results in asset price co-movements in different markets. </w:t>
      </w:r>
    </w:p>
    <w:p w14:paraId="0FAF60E9" w14:textId="77777777" w:rsidR="00F65E21"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Goldstein (1998) posits </w:t>
      </w:r>
      <w:r w:rsidR="00AB7B8E" w:rsidRPr="00B13CBE">
        <w:rPr>
          <w:rFonts w:ascii="Arial" w:hAnsi="Arial" w:cs="Arial"/>
          <w:color w:val="000000" w:themeColor="text1"/>
          <w:sz w:val="24"/>
          <w:szCs w:val="24"/>
        </w:rPr>
        <w:t>the ‘wake-up’ hypothesis</w:t>
      </w:r>
      <w:r w:rsidR="00B94FF2" w:rsidRPr="00B13CBE">
        <w:rPr>
          <w:rFonts w:ascii="Arial" w:hAnsi="Arial" w:cs="Arial"/>
          <w:color w:val="000000" w:themeColor="text1"/>
          <w:sz w:val="24"/>
          <w:szCs w:val="24"/>
        </w:rPr>
        <w:t>,</w:t>
      </w:r>
      <w:r w:rsidR="00AB7B8E" w:rsidRPr="00B13CBE">
        <w:rPr>
          <w:rFonts w:ascii="Arial" w:hAnsi="Arial" w:cs="Arial"/>
          <w:color w:val="000000" w:themeColor="text1"/>
          <w:sz w:val="24"/>
          <w:szCs w:val="24"/>
        </w:rPr>
        <w:t xml:space="preserve"> another </w:t>
      </w:r>
      <w:r w:rsidR="00DD4939" w:rsidRPr="00B13CBE">
        <w:rPr>
          <w:rFonts w:ascii="Arial" w:hAnsi="Arial" w:cs="Arial"/>
          <w:color w:val="000000" w:themeColor="text1"/>
          <w:sz w:val="24"/>
          <w:szCs w:val="24"/>
        </w:rPr>
        <w:t xml:space="preserve">contagion </w:t>
      </w:r>
      <w:r w:rsidR="00AB7B8E" w:rsidRPr="00B13CBE">
        <w:rPr>
          <w:rFonts w:ascii="Arial" w:hAnsi="Arial" w:cs="Arial"/>
          <w:color w:val="000000" w:themeColor="text1"/>
          <w:sz w:val="24"/>
          <w:szCs w:val="24"/>
        </w:rPr>
        <w:t>theory based on investor behavior. According to the author,</w:t>
      </w:r>
      <w:r w:rsidR="00B94FF2" w:rsidRPr="00B13CBE">
        <w:rPr>
          <w:rFonts w:ascii="Arial" w:hAnsi="Arial" w:cs="Arial"/>
          <w:color w:val="000000" w:themeColor="text1"/>
          <w:sz w:val="24"/>
          <w:szCs w:val="24"/>
        </w:rPr>
        <w:t xml:space="preserve"> </w:t>
      </w:r>
      <w:r w:rsidR="00370D61" w:rsidRPr="00B13CBE">
        <w:rPr>
          <w:rFonts w:ascii="Arial" w:hAnsi="Arial" w:cs="Arial"/>
          <w:color w:val="000000" w:themeColor="text1"/>
          <w:sz w:val="24"/>
          <w:szCs w:val="24"/>
        </w:rPr>
        <w:t>suppose that</w:t>
      </w:r>
      <w:r w:rsidR="00B94FF2" w:rsidRPr="00B13CBE">
        <w:rPr>
          <w:rFonts w:ascii="Arial" w:hAnsi="Arial" w:cs="Arial"/>
          <w:color w:val="000000" w:themeColor="text1"/>
          <w:sz w:val="24"/>
          <w:szCs w:val="24"/>
        </w:rPr>
        <w:t xml:space="preserve"> </w:t>
      </w:r>
      <w:r w:rsidR="00AB7B8E" w:rsidRPr="00B13CBE">
        <w:rPr>
          <w:rFonts w:ascii="Arial" w:hAnsi="Arial" w:cs="Arial"/>
          <w:color w:val="000000" w:themeColor="text1"/>
          <w:sz w:val="24"/>
          <w:szCs w:val="24"/>
        </w:rPr>
        <w:t>in the presence of information asy</w:t>
      </w:r>
      <w:r w:rsidR="00EE2D99" w:rsidRPr="00B13CBE">
        <w:rPr>
          <w:rFonts w:ascii="Arial" w:hAnsi="Arial" w:cs="Arial"/>
          <w:color w:val="000000" w:themeColor="text1"/>
          <w:sz w:val="24"/>
          <w:szCs w:val="24"/>
        </w:rPr>
        <w:t>m</w:t>
      </w:r>
      <w:r w:rsidR="00370D61" w:rsidRPr="00B13CBE">
        <w:rPr>
          <w:rFonts w:ascii="Arial" w:hAnsi="Arial" w:cs="Arial"/>
          <w:color w:val="000000" w:themeColor="text1"/>
          <w:sz w:val="24"/>
          <w:szCs w:val="24"/>
        </w:rPr>
        <w:t>m</w:t>
      </w:r>
      <w:r w:rsidR="00AB7B8E" w:rsidRPr="00B13CBE">
        <w:rPr>
          <w:rFonts w:ascii="Arial" w:hAnsi="Arial" w:cs="Arial"/>
          <w:color w:val="000000" w:themeColor="text1"/>
          <w:sz w:val="24"/>
          <w:szCs w:val="24"/>
        </w:rPr>
        <w:t xml:space="preserve">etry the marginal cost of acquiring and processing country-specific information is higher than the marginal benefits, investors will ‘wake up’ to the weaknesses revealed by a crisis and avoid countries that have the same characteristics as the country in crisis. </w:t>
      </w:r>
    </w:p>
    <w:p w14:paraId="5625732E" w14:textId="77777777" w:rsidR="00405684" w:rsidRPr="00B13CBE" w:rsidRDefault="00C4772C" w:rsidP="00781A3B">
      <w:pPr>
        <w:pStyle w:val="Heading4"/>
        <w:numPr>
          <w:ilvl w:val="3"/>
          <w:numId w:val="18"/>
        </w:numPr>
        <w:spacing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t>E</w:t>
      </w:r>
      <w:r w:rsidR="00383C0A" w:rsidRPr="00B13CBE">
        <w:rPr>
          <w:rFonts w:ascii="Arial" w:hAnsi="Arial" w:cs="Arial"/>
          <w:b/>
          <w:bCs/>
          <w:i w:val="0"/>
          <w:iCs w:val="0"/>
          <w:color w:val="000000" w:themeColor="text1"/>
          <w:sz w:val="24"/>
          <w:szCs w:val="24"/>
        </w:rPr>
        <w:t>conomic</w:t>
      </w:r>
      <w:r w:rsidR="00BE0B98" w:rsidRPr="00B13CBE">
        <w:rPr>
          <w:rFonts w:ascii="Arial" w:hAnsi="Arial" w:cs="Arial"/>
          <w:b/>
          <w:bCs/>
          <w:i w:val="0"/>
          <w:iCs w:val="0"/>
          <w:color w:val="000000" w:themeColor="text1"/>
          <w:sz w:val="24"/>
          <w:szCs w:val="24"/>
        </w:rPr>
        <w:t xml:space="preserve"> </w:t>
      </w:r>
      <w:r w:rsidR="00AF71BE" w:rsidRPr="00B13CBE">
        <w:rPr>
          <w:rFonts w:ascii="Arial" w:hAnsi="Arial" w:cs="Arial"/>
          <w:b/>
          <w:bCs/>
          <w:i w:val="0"/>
          <w:iCs w:val="0"/>
          <w:color w:val="000000" w:themeColor="text1"/>
          <w:sz w:val="24"/>
          <w:szCs w:val="24"/>
        </w:rPr>
        <w:t>a</w:t>
      </w:r>
      <w:r w:rsidR="008E428F" w:rsidRPr="00B13CBE">
        <w:rPr>
          <w:rFonts w:ascii="Arial" w:hAnsi="Arial" w:cs="Arial"/>
          <w:b/>
          <w:bCs/>
          <w:i w:val="0"/>
          <w:iCs w:val="0"/>
          <w:color w:val="000000" w:themeColor="text1"/>
          <w:sz w:val="24"/>
          <w:szCs w:val="24"/>
        </w:rPr>
        <w:t xml:space="preserve">nd </w:t>
      </w:r>
      <w:r w:rsidR="00BE0B98" w:rsidRPr="00B13CBE">
        <w:rPr>
          <w:rFonts w:ascii="Arial" w:hAnsi="Arial" w:cs="Arial"/>
          <w:b/>
          <w:bCs/>
          <w:i w:val="0"/>
          <w:iCs w:val="0"/>
          <w:color w:val="000000" w:themeColor="text1"/>
          <w:sz w:val="24"/>
          <w:szCs w:val="24"/>
        </w:rPr>
        <w:t>F</w:t>
      </w:r>
      <w:r w:rsidR="00383C0A" w:rsidRPr="00B13CBE">
        <w:rPr>
          <w:rFonts w:ascii="Arial" w:hAnsi="Arial" w:cs="Arial"/>
          <w:b/>
          <w:bCs/>
          <w:i w:val="0"/>
          <w:iCs w:val="0"/>
          <w:color w:val="000000" w:themeColor="text1"/>
          <w:sz w:val="24"/>
          <w:szCs w:val="24"/>
        </w:rPr>
        <w:t>inancial</w:t>
      </w:r>
      <w:r w:rsidR="00BE0B98" w:rsidRPr="00B13CBE">
        <w:rPr>
          <w:rFonts w:ascii="Arial" w:hAnsi="Arial" w:cs="Arial"/>
          <w:b/>
          <w:bCs/>
          <w:i w:val="0"/>
          <w:iCs w:val="0"/>
          <w:color w:val="000000" w:themeColor="text1"/>
          <w:sz w:val="24"/>
          <w:szCs w:val="24"/>
        </w:rPr>
        <w:t xml:space="preserve"> I</w:t>
      </w:r>
      <w:r w:rsidR="00383C0A" w:rsidRPr="00B13CBE">
        <w:rPr>
          <w:rFonts w:ascii="Arial" w:hAnsi="Arial" w:cs="Arial"/>
          <w:b/>
          <w:bCs/>
          <w:i w:val="0"/>
          <w:iCs w:val="0"/>
          <w:color w:val="000000" w:themeColor="text1"/>
          <w:sz w:val="24"/>
          <w:szCs w:val="24"/>
        </w:rPr>
        <w:t>nterlinkages</w:t>
      </w:r>
    </w:p>
    <w:p w14:paraId="75C08FD0" w14:textId="77777777" w:rsidR="00F65E21"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 plausible theory on contagion posited by Nurkse (1944) is based on trade interlinkages. </w:t>
      </w:r>
      <w:r w:rsidR="00FF0ED9" w:rsidRPr="00B13CBE">
        <w:rPr>
          <w:rFonts w:ascii="Arial" w:hAnsi="Arial" w:cs="Arial"/>
          <w:color w:val="000000" w:themeColor="text1"/>
          <w:sz w:val="24"/>
          <w:szCs w:val="24"/>
        </w:rPr>
        <w:t xml:space="preserve">The author </w:t>
      </w:r>
      <w:r w:rsidRPr="00B13CBE">
        <w:rPr>
          <w:rFonts w:ascii="Arial" w:hAnsi="Arial" w:cs="Arial"/>
          <w:color w:val="000000" w:themeColor="text1"/>
          <w:sz w:val="24"/>
          <w:szCs w:val="24"/>
        </w:rPr>
        <w:t>argued that if a country devalued its exports, countries that produce similar or substitute goods would be pressured to devalue to remain competitive. This theory is given as a plausible reason behind the contagion witnesse</w:t>
      </w:r>
      <w:r w:rsidR="00A4067E" w:rsidRPr="00B13CBE">
        <w:rPr>
          <w:rFonts w:ascii="Arial" w:hAnsi="Arial" w:cs="Arial"/>
          <w:color w:val="000000" w:themeColor="text1"/>
          <w:sz w:val="24"/>
          <w:szCs w:val="24"/>
        </w:rPr>
        <w:t>d</w:t>
      </w:r>
      <w:r w:rsidRPr="00B13CBE">
        <w:rPr>
          <w:rFonts w:ascii="Arial" w:hAnsi="Arial" w:cs="Arial"/>
          <w:color w:val="000000" w:themeColor="text1"/>
          <w:sz w:val="24"/>
          <w:szCs w:val="24"/>
        </w:rPr>
        <w:t xml:space="preserve"> in the Asian crisis of 1997. The explanation proffered by this theory is </w:t>
      </w:r>
      <w:r w:rsidRPr="00B13CBE">
        <w:rPr>
          <w:rFonts w:ascii="Arial" w:hAnsi="Arial" w:cs="Arial"/>
          <w:color w:val="000000" w:themeColor="text1"/>
          <w:sz w:val="24"/>
          <w:szCs w:val="24"/>
        </w:rPr>
        <w:lastRenderedPageBreak/>
        <w:t xml:space="preserve">that the introduction of the Thai </w:t>
      </w:r>
      <w:r w:rsidR="00B616D2" w:rsidRPr="00B13CBE">
        <w:rPr>
          <w:rFonts w:ascii="Arial" w:hAnsi="Arial" w:cs="Arial"/>
          <w:color w:val="000000" w:themeColor="text1"/>
          <w:sz w:val="24"/>
          <w:szCs w:val="24"/>
        </w:rPr>
        <w:t xml:space="preserve">baht on July 2 </w:t>
      </w:r>
      <w:r w:rsidR="00B94FF2" w:rsidRPr="00B13CBE">
        <w:rPr>
          <w:rFonts w:ascii="Arial" w:hAnsi="Arial" w:cs="Arial"/>
          <w:color w:val="000000" w:themeColor="text1"/>
          <w:sz w:val="24"/>
          <w:szCs w:val="24"/>
        </w:rPr>
        <w:t>,</w:t>
      </w:r>
      <w:r w:rsidR="00B616D2" w:rsidRPr="00B13CBE">
        <w:rPr>
          <w:rFonts w:ascii="Arial" w:hAnsi="Arial" w:cs="Arial"/>
          <w:color w:val="000000" w:themeColor="text1"/>
          <w:sz w:val="24"/>
          <w:szCs w:val="24"/>
        </w:rPr>
        <w:t>1997</w:t>
      </w:r>
      <w:r w:rsidR="00986D4E" w:rsidRPr="00B13CBE">
        <w:rPr>
          <w:rFonts w:ascii="Arial" w:hAnsi="Arial" w:cs="Arial"/>
          <w:color w:val="000000" w:themeColor="text1"/>
          <w:sz w:val="24"/>
          <w:szCs w:val="24"/>
        </w:rPr>
        <w:t>, prompted neighboring counties to devalue their currencies</w:t>
      </w:r>
      <w:r w:rsidR="00A4067E" w:rsidRPr="00B13CBE">
        <w:rPr>
          <w:rFonts w:ascii="Arial" w:hAnsi="Arial" w:cs="Arial"/>
          <w:color w:val="000000" w:themeColor="text1"/>
          <w:sz w:val="24"/>
          <w:szCs w:val="24"/>
        </w:rPr>
        <w:t xml:space="preserve"> leading to financial contagion</w:t>
      </w:r>
      <w:r w:rsidR="00986D4E" w:rsidRPr="00B13CBE">
        <w:rPr>
          <w:rFonts w:ascii="Arial" w:hAnsi="Arial" w:cs="Arial"/>
          <w:color w:val="000000" w:themeColor="text1"/>
          <w:sz w:val="24"/>
          <w:szCs w:val="24"/>
        </w:rPr>
        <w:t xml:space="preserve">. </w:t>
      </w:r>
      <w:r w:rsidR="00445D00" w:rsidRPr="00B13CBE">
        <w:rPr>
          <w:rFonts w:ascii="Arial" w:hAnsi="Arial" w:cs="Arial"/>
          <w:color w:val="000000" w:themeColor="text1"/>
          <w:sz w:val="24"/>
          <w:szCs w:val="24"/>
        </w:rPr>
        <w:t>However, t</w:t>
      </w:r>
      <w:r w:rsidR="00986D4E" w:rsidRPr="00B13CBE">
        <w:rPr>
          <w:rFonts w:ascii="Arial" w:hAnsi="Arial" w:cs="Arial"/>
          <w:color w:val="000000" w:themeColor="text1"/>
          <w:sz w:val="24"/>
          <w:szCs w:val="24"/>
        </w:rPr>
        <w:t>his theor</w:t>
      </w:r>
      <w:r w:rsidR="00445D00" w:rsidRPr="00B13CBE">
        <w:rPr>
          <w:rFonts w:ascii="Arial" w:hAnsi="Arial" w:cs="Arial"/>
          <w:color w:val="000000" w:themeColor="text1"/>
          <w:sz w:val="24"/>
          <w:szCs w:val="24"/>
        </w:rPr>
        <w:t xml:space="preserve">y </w:t>
      </w:r>
      <w:r w:rsidR="00986D4E" w:rsidRPr="00B13CBE">
        <w:rPr>
          <w:rFonts w:ascii="Arial" w:hAnsi="Arial" w:cs="Arial"/>
          <w:color w:val="000000" w:themeColor="text1"/>
          <w:sz w:val="24"/>
          <w:szCs w:val="24"/>
        </w:rPr>
        <w:t xml:space="preserve">is disproved by the active avoidance of devaluation by Central Banks through the defense of the current existing exchange rate or large losses in foreign reserves </w:t>
      </w:r>
      <w:r w:rsidR="00986D4E"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{"citationID":"Pqd6oR6h","properties":{"formattedCitation":"(Kaminsky, Reinhart and V\\uc0\\u233{}gh, 2003)","plainCitation":"(Kaminsky, Reinhart and Végh, 2003)","dontUpdate":true,"noteIndex":0},"citationItems":[{"id":390,"uris":["http://zotero.org/users/local/XXne8Mwc/items/LES6VVRY"],"uri":["http://zotero.org/users/local/XXne8Mwc/items/LES6VVRY"],"itemData":{"id":390,"type":"article-journal","abstract":"Over the last 20 years, some financial events, such as devaluations or defaults, have triggered an immediate adverse chain reaction in other countries--which we call fast and furious contagion. Yet, on other occasions, similar events have failed to trigger any immediate international reaction. We argue that fast and furious contagion episodes are characterized by \"the unholy trinity\": (i) they follow a large surge in capital flows; (ii) they come as a surprise; and (iii) they involve a leveraged common creditor. In contrast, when similar events have elicited little international reaction, they were widely anticipated and took place at a time when capital flows had already subsided.","container-title":"Journal of Economic Perspectives","DOI":"10.1257/089533003772034899","ISSN":"0895-3309","issue":"4","language":"en","page":"51-74","source":"www.aeaweb.org","title":"The Unholy Trinity of Financial Contagion","volume":"17","author":[{"family":"Kaminsky","given":"Graciela L."},{"family":"Reinhart","given":"Carmen M."},{"family":"Végh","given":"Carlos A."}],"issued":{"date-parts":[["2003",12]]}}}],"schema":"https://github.com/citation-style-language/schema/raw/master/csl-citation.json"} </w:instrText>
      </w:r>
      <w:r w:rsidR="00986D4E"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(Kaminsky, Reinhart</w:t>
      </w:r>
      <w:r w:rsidR="00383C0A"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Végh, 2003)</w:t>
      </w:r>
      <w:r w:rsidR="00986D4E" w:rsidRPr="00B13CBE">
        <w:rPr>
          <w:rFonts w:ascii="Arial" w:hAnsi="Arial" w:cs="Arial"/>
          <w:color w:val="000000" w:themeColor="text1"/>
          <w:sz w:val="24"/>
          <w:szCs w:val="24"/>
        </w:rPr>
        <w:fldChar w:fldCharType="end"/>
      </w:r>
      <w:r w:rsidR="00986D4E" w:rsidRPr="00B13CBE">
        <w:rPr>
          <w:rFonts w:ascii="Arial" w:hAnsi="Arial" w:cs="Arial"/>
          <w:color w:val="000000" w:themeColor="text1"/>
          <w:sz w:val="24"/>
          <w:szCs w:val="24"/>
        </w:rPr>
        <w:t>.</w:t>
      </w:r>
      <w:r w:rsidR="00B94FF2" w:rsidRPr="00B13CBE">
        <w:rPr>
          <w:rFonts w:ascii="Arial" w:hAnsi="Arial" w:cs="Arial"/>
          <w:color w:val="000000" w:themeColor="text1"/>
          <w:sz w:val="24"/>
          <w:szCs w:val="24"/>
        </w:rPr>
        <w:t xml:space="preserve"> </w:t>
      </w:r>
      <w:r w:rsidR="00445D00" w:rsidRPr="00B13CBE">
        <w:rPr>
          <w:rFonts w:ascii="Arial" w:hAnsi="Arial" w:cs="Arial"/>
          <w:color w:val="000000" w:themeColor="text1"/>
          <w:sz w:val="24"/>
          <w:szCs w:val="24"/>
        </w:rPr>
        <w:t>A</w:t>
      </w:r>
      <w:r w:rsidRPr="00B13CBE">
        <w:rPr>
          <w:rFonts w:ascii="Arial" w:hAnsi="Arial" w:cs="Arial"/>
          <w:color w:val="000000" w:themeColor="text1"/>
          <w:sz w:val="24"/>
          <w:szCs w:val="24"/>
        </w:rPr>
        <w:t xml:space="preserve">ccording to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{"citationID":"btjSdbTd","properties":{"formattedCitation":"(Forbes &amp; Rigobon, 2002)","plainCitation":"(Forbes &amp; Rigobon, 2002)","dontUpdate":true,"noteIndex":0},"citationItems":[{"id":116,"uris":["http://zotero.org/users/local/XXne8Mwc/items/RVVVIKK3"],"uri":["http://zotero.org/users/local/XXne8Mwc/items/RVVVIKK3"],"itemData":{"id":116,"type":"article-journal","abstract":"Heteroskedasticity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Forbes </w:t>
      </w:r>
      <w:r w:rsidR="00B94FF2"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Rigobon (2002)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policy coordination such as a trade agreement could link economies because the response to an economic shock by one country could force other countries to adopt similar policies. </w:t>
      </w:r>
    </w:p>
    <w:p w14:paraId="775A122C" w14:textId="77777777" w:rsidR="00986D4E"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{"citationID":"2hLlbuQq","properties":{"formattedCitation":"(Calvo, 1998)","plainCitation":"(Calvo, 1998)","dontUpdate":true,"noteIndex":0},"citationItems":[{"id":489,"uris":["http://zotero.org/users/local/XXne8Mwc/items/99QLCACF"],"uri":["http://zotero.org/users/local/XXne8Mwc/items/99QLCACF"],"itemData":{"id":489,"type":"webpage","title":"CAPITAL FLOWS AND CAPITAL-MARKET CRISES: The Simple Economics of Sudden Stops: Journal of Applied Economics: Vol 1, No 1","URL":"https://www.tandfonline.com/doi/abs/10.1080/15140326.1998.12040516","author":[{"family":"Calvo","given":"Guillermo A."}],"accessed":{"date-parts":[["2021",7,31]]},"issued":{"date-parts":[["1998"]]}}}],"schema":"https://github.com/citation-style-language/schema/raw/master/csl-citation.json"}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Calvo </w:t>
      </w:r>
      <w:r w:rsidR="00445D00" w:rsidRPr="00B13CBE">
        <w:rPr>
          <w:rFonts w:ascii="Arial" w:hAnsi="Arial" w:cs="Arial"/>
          <w:color w:val="000000" w:themeColor="text1"/>
          <w:sz w:val="24"/>
          <w:szCs w:val="24"/>
        </w:rPr>
        <w:t>(</w:t>
      </w:r>
      <w:r w:rsidRPr="00B13CBE">
        <w:rPr>
          <w:rFonts w:ascii="Arial" w:hAnsi="Arial" w:cs="Arial"/>
          <w:color w:val="000000" w:themeColor="text1"/>
          <w:sz w:val="24"/>
          <w:szCs w:val="24"/>
        </w:rPr>
        <w:t>1998)</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argued that financial interlinkages are more important than trade interlinkages. According to</w:t>
      </w:r>
      <w:r w:rsidR="00FF0ED9" w:rsidRPr="00B13CBE">
        <w:rPr>
          <w:rFonts w:ascii="Arial" w:hAnsi="Arial" w:cs="Arial"/>
          <w:color w:val="000000" w:themeColor="text1"/>
          <w:sz w:val="24"/>
          <w:szCs w:val="24"/>
        </w:rPr>
        <w:t xml:space="preserve"> the author</w:t>
      </w:r>
      <w:r w:rsidRPr="00B13CBE">
        <w:rPr>
          <w:rFonts w:ascii="Arial" w:hAnsi="Arial" w:cs="Arial"/>
          <w:color w:val="000000" w:themeColor="text1"/>
          <w:sz w:val="24"/>
          <w:szCs w:val="24"/>
        </w:rPr>
        <w:t>, when a leveraged investor is given a margin call during a crisis, he or she needs to sell assets. Since domestic assets are likely to fetch a low price due to market collap</w:t>
      </w:r>
      <w:r w:rsidR="00B616D2" w:rsidRPr="00B13CBE">
        <w:rPr>
          <w:rFonts w:ascii="Arial" w:hAnsi="Arial" w:cs="Arial"/>
          <w:color w:val="000000" w:themeColor="text1"/>
          <w:sz w:val="24"/>
          <w:szCs w:val="24"/>
        </w:rPr>
        <w:t>s</w:t>
      </w:r>
      <w:r w:rsidRPr="00B13CBE">
        <w:rPr>
          <w:rFonts w:ascii="Arial" w:hAnsi="Arial" w:cs="Arial"/>
          <w:color w:val="000000" w:themeColor="text1"/>
          <w:sz w:val="24"/>
          <w:szCs w:val="24"/>
        </w:rPr>
        <w:t>e, selling them would not cover the cost of the margin call.  The investor is forced to sell foreign assets</w:t>
      </w:r>
      <w:r w:rsidR="00BE7044" w:rsidRPr="00B13CBE">
        <w:rPr>
          <w:rFonts w:ascii="Arial" w:hAnsi="Arial" w:cs="Arial"/>
          <w:color w:val="000000" w:themeColor="text1"/>
          <w:sz w:val="24"/>
          <w:szCs w:val="24"/>
        </w:rPr>
        <w:t xml:space="preserve"> spreading the crisis to other markets. </w:t>
      </w:r>
    </w:p>
    <w:p w14:paraId="55782CAD" w14:textId="77777777" w:rsidR="00BE7044"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{"citationID":"umTi2Pnr","properties":{"formattedCitation":"(Kodres and Pritsker, 2002)","plainCitation":"(Kodres and Pritsker, 2002)","dontUpdate":true,"noteIndex":0},"citationItems":[{"id":491,"uris":["http://zotero.org/users/local/XXne8Mwc/items/CRT7FU9R"],"uri":["http://zotero.org/users/local/XXne8Mwc/items/CRT7FU9R"],"itemData":{"id":491,"type":"article-journal","abstract":"We develop a multiple asset rational expectations model of asset prices to explain financial market contagion. Although the model allows contagion through several channels, our focus is on contagion through cross-market rebalancing. Through this channel, investors transmit idiosyncratic shocks from one market to others by adjusting their portfolios' exposures to shared macroeconomic risks. The pattern and severity of financial contagion depends on markets' sensitivities to shared macroeconomic risk factors, and on the amount of information asymmetry in each market. The model can generate contagion in the absence of news, as well as between markets that do not directly share macroeconomic risks.","container-title":"The Journal of Finance","DOI":"10.1111/1540-6261.00441","ISSN":"1540-6261","issue":"2","language":"en","note":"_eprint: https://onlinelibrary.wiley.com/doi/pdf/10.1111/1540-6261.00441","page":"769-799","source":"Wiley Online Library","title":"A Rational Expectations Model of Financial Contagion","volume":"57","author":[{"family":"Kodres","given":"Laura E."},{"family":"Pritsker","given":"Matthew"}],"issued":{"date-parts":[["2002"]]}}}],"schema":"https://github.com/citation-style-language/schema/raw/master/csl-citation.json"} </w:instrText>
      </w:r>
      <w:r w:rsidRPr="00B13CBE">
        <w:rPr>
          <w:rFonts w:ascii="Arial" w:hAnsi="Arial" w:cs="Arial"/>
          <w:color w:val="000000" w:themeColor="text1"/>
          <w:sz w:val="24"/>
          <w:szCs w:val="24"/>
        </w:rPr>
        <w:fldChar w:fldCharType="separate"/>
      </w:r>
      <w:proofErr w:type="spellStart"/>
      <w:r w:rsidRPr="00B13CBE">
        <w:rPr>
          <w:rFonts w:ascii="Arial" w:hAnsi="Arial" w:cs="Arial"/>
          <w:color w:val="000000" w:themeColor="text1"/>
          <w:sz w:val="24"/>
          <w:szCs w:val="24"/>
        </w:rPr>
        <w:t>Kodres</w:t>
      </w:r>
      <w:proofErr w:type="spellEnd"/>
      <w:r w:rsidRPr="00B13CBE">
        <w:rPr>
          <w:rFonts w:ascii="Arial" w:hAnsi="Arial" w:cs="Arial"/>
          <w:color w:val="000000" w:themeColor="text1"/>
          <w:sz w:val="24"/>
          <w:szCs w:val="24"/>
        </w:rPr>
        <w:t xml:space="preserve"> and </w:t>
      </w:r>
      <w:proofErr w:type="spellStart"/>
      <w:r w:rsidRPr="00B13CBE">
        <w:rPr>
          <w:rFonts w:ascii="Arial" w:hAnsi="Arial" w:cs="Arial"/>
          <w:color w:val="000000" w:themeColor="text1"/>
          <w:sz w:val="24"/>
          <w:szCs w:val="24"/>
        </w:rPr>
        <w:t>Pritsker</w:t>
      </w:r>
      <w:proofErr w:type="spellEnd"/>
      <w:r w:rsidRPr="00B13CBE">
        <w:rPr>
          <w:rFonts w:ascii="Arial" w:hAnsi="Arial" w:cs="Arial"/>
          <w:color w:val="000000" w:themeColor="text1"/>
          <w:sz w:val="24"/>
          <w:szCs w:val="24"/>
        </w:rPr>
        <w:t xml:space="preserve"> (2002)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propose an alternative theory to that of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{"citationID":"deFHMNQv","properties":{"formattedCitation":"(Calvo, 1998)","plainCitation":"(Calvo, 1998)","dontUpdate":true,"noteIndex":0},"citationItems":[{"id":489,"uris":["http://zotero.org/users/local/XXne8Mwc/items/99QLCACF"],"uri":["http://zotero.org/users/local/XXne8Mwc/items/99QLCACF"],"itemData":{"id":489,"type":"webpage","title":"CAPITAL FLOWS AND CAPITAL-MARKET CRISES: The Simple Economics of Sudden Stops: Journal of Applied Economics: Vol 1, No 1","URL":"https://www.tandfonline.com/doi/abs/10.1080/15140326.1998.12040516","author":[{"family":"Calvo","given":"Guillermo A."}],"accessed":{"date-parts":[["2021",7,31]]},"issued":{"date-parts":[["1998"]]}}}],"schema":"https://github.com/citation-style-language/schema/raw/master/csl-citation.json"}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Calvo (1998)</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According to the authors, the long-run prices of assets are given by macroeconomic risk factors shared among countries in addition to country-specific risk factors. When 'informed' investors adjust their portfolios to </w:t>
      </w:r>
      <w:r w:rsidR="009A50A3" w:rsidRPr="00B13CBE">
        <w:rPr>
          <w:rFonts w:ascii="Arial" w:hAnsi="Arial" w:cs="Arial"/>
          <w:color w:val="000000" w:themeColor="text1"/>
          <w:sz w:val="24"/>
          <w:szCs w:val="24"/>
        </w:rPr>
        <w:t>a country-specific risk factor, they change their exposure to the macroeconomic risk factors affecting other countries. Due to information asymmetry, ‘uninformed’ investors in the other countries respond to the changes in their markets as though they were caused by country-specific risk factors, leading to the spread of a crisis from one market to another</w:t>
      </w:r>
      <w:r w:rsidRPr="00B13CBE">
        <w:rPr>
          <w:rFonts w:ascii="Arial" w:hAnsi="Arial" w:cs="Arial"/>
          <w:color w:val="000000" w:themeColor="text1"/>
          <w:sz w:val="24"/>
          <w:szCs w:val="24"/>
        </w:rPr>
        <w:t xml:space="preserve"> </w:t>
      </w:r>
      <w:r w:rsidR="009A50A3"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{"citationID":"9aKJhsDV","properties":{"formattedCitation":"(Kaminsky, Reinhart and V\\uc0\\u233{}gh, 2003)","plainCitation":"(Kaminsky, Reinhart and Végh, 2003)","dontUpdate":true,"noteIndex":0},"citationItems":[{"id":390,"uris":["http://zotero.org/users/local/XXne8Mwc/items/LES6VVRY"],"uri":["http://zotero.org/users/local/XXne8Mwc/items/LES6VVRY"],"itemData":{"id":390,"type":"article-journal","abstract":"Over the last 20 years, some financial events, such as devaluations or defaults, have triggered an immediate adverse chain reaction in other countries--which we call fast and furious contagion. Yet, on other occasions, similar events have failed to trigger any immediate international reaction. We argue that fast and furious contagion episodes are characterized by \"the unholy trinity\": (i) they follow a large surge in capital flows; (ii) they come as a surprise; and (iii) they involve a leveraged common creditor. In contrast, when similar events have elicited little international reaction, they were widely anticipated and took place at a time when capital flows had already subsided.","container-title":"Journal of Economic Perspectives","DOI":"10.1257/089533003772034899","ISSN":"0895-3309","issue":"4","language":"en","page":"51-74","source":"www.aeaweb.org","title":"The Unholy Trinity of Financial Contagion","volume":"17","author":[{"family":"Kaminsky","given":"Graciela L."},{"family":"Reinhart","given":"Carmen M."},{"family":"Végh","given":"Carlos A."}],"issued":{"date-parts":[["2003",12]]}}}],"schema":"https://github.com/citation-style-language/schema/raw/master/csl-citation.json"} </w:instrText>
      </w:r>
      <w:r w:rsidR="009A50A3"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(Kaminsky, Reinhart</w:t>
      </w:r>
      <w:r w:rsidR="00383C0A" w:rsidRPr="00B13CBE">
        <w:rPr>
          <w:rFonts w:ascii="Arial" w:hAnsi="Arial" w:cs="Arial"/>
          <w:color w:val="000000" w:themeColor="text1"/>
          <w:sz w:val="24"/>
          <w:szCs w:val="24"/>
        </w:rPr>
        <w:t xml:space="preserve">, </w:t>
      </w:r>
      <w:r w:rsidR="00305050" w:rsidRPr="00B13CBE">
        <w:rPr>
          <w:rFonts w:ascii="Arial" w:hAnsi="Arial" w:cs="Arial"/>
          <w:color w:val="000000" w:themeColor="text1"/>
          <w:sz w:val="24"/>
          <w:szCs w:val="24"/>
        </w:rPr>
        <w:t>and Végh, 2003)</w:t>
      </w:r>
      <w:r w:rsidR="009A50A3"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w:t>
      </w:r>
      <w:r w:rsidR="008978A3" w:rsidRPr="00B13CBE">
        <w:rPr>
          <w:rFonts w:ascii="Arial" w:hAnsi="Arial" w:cs="Arial"/>
          <w:color w:val="000000" w:themeColor="text1"/>
          <w:sz w:val="24"/>
          <w:szCs w:val="24"/>
        </w:rPr>
        <w:t xml:space="preserve"> This means that a crisis can happen in a country even if its economic fundamentals are sound since</w:t>
      </w:r>
      <w:r w:rsidRPr="00B13CBE">
        <w:rPr>
          <w:rFonts w:ascii="Arial" w:hAnsi="Arial" w:cs="Arial"/>
          <w:color w:val="000000" w:themeColor="text1"/>
          <w:sz w:val="24"/>
          <w:szCs w:val="24"/>
        </w:rPr>
        <w:t xml:space="preserve"> uninformed</w:t>
      </w:r>
      <w:r w:rsidR="008978A3" w:rsidRPr="00B13CBE">
        <w:rPr>
          <w:rFonts w:ascii="Arial" w:hAnsi="Arial" w:cs="Arial"/>
          <w:color w:val="000000" w:themeColor="text1"/>
          <w:sz w:val="24"/>
          <w:szCs w:val="24"/>
        </w:rPr>
        <w:t xml:space="preserve"> </w:t>
      </w:r>
      <w:r w:rsidR="008978A3" w:rsidRPr="00B13CBE">
        <w:rPr>
          <w:rFonts w:ascii="Arial" w:hAnsi="Arial" w:cs="Arial"/>
          <w:color w:val="000000" w:themeColor="text1"/>
          <w:sz w:val="24"/>
          <w:szCs w:val="24"/>
        </w:rPr>
        <w:lastRenderedPageBreak/>
        <w:t xml:space="preserve">investors may be reacting to falling prices as if they represent </w:t>
      </w:r>
      <w:r w:rsidRPr="00B13CBE">
        <w:rPr>
          <w:rFonts w:ascii="Arial" w:hAnsi="Arial" w:cs="Arial"/>
          <w:color w:val="000000" w:themeColor="text1"/>
          <w:sz w:val="24"/>
          <w:szCs w:val="24"/>
        </w:rPr>
        <w:t xml:space="preserve">unknown information in their domestic country even though the reality is that foreign investors are simply adjusting their portfolios to news from other countries. This would lead to prices falling even further and deepening the crisis. </w:t>
      </w:r>
    </w:p>
    <w:p w14:paraId="7E56CB13" w14:textId="77777777" w:rsidR="009A50A3"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According to Kaminsky and Reinhart (2000), interlinkages by commercial banks play an important role in financial contagion. Foreign banks in a country experiencing a crisis can exacerbate the crisis by calling loans elsewhere and failing to offer new ones. This raises the cost of capital in the other country prompting capital seekers to sell their assets</w:t>
      </w:r>
      <w:r w:rsidR="00A4067E" w:rsidRPr="00B13CBE">
        <w:rPr>
          <w:rFonts w:ascii="Arial" w:hAnsi="Arial" w:cs="Arial"/>
          <w:color w:val="000000" w:themeColor="text1"/>
          <w:sz w:val="24"/>
          <w:szCs w:val="24"/>
        </w:rPr>
        <w:t xml:space="preserve"> spreading the original crisis to these countries</w:t>
      </w:r>
      <w:r w:rsidRPr="00B13CBE">
        <w:rPr>
          <w:rFonts w:ascii="Arial" w:hAnsi="Arial" w:cs="Arial"/>
          <w:color w:val="000000" w:themeColor="text1"/>
          <w:sz w:val="24"/>
          <w:szCs w:val="24"/>
        </w:rPr>
        <w:t>.</w:t>
      </w:r>
    </w:p>
    <w:p w14:paraId="62B99D20" w14:textId="77777777" w:rsidR="009A50A3" w:rsidRPr="00B13CBE" w:rsidRDefault="00C4772C" w:rsidP="00781A3B">
      <w:pPr>
        <w:pStyle w:val="Heading3"/>
        <w:numPr>
          <w:ilvl w:val="2"/>
          <w:numId w:val="18"/>
        </w:numPr>
        <w:spacing w:line="360" w:lineRule="auto"/>
        <w:jc w:val="both"/>
        <w:rPr>
          <w:rFonts w:ascii="Arial" w:hAnsi="Arial" w:cs="Arial"/>
          <w:b/>
          <w:bCs/>
          <w:color w:val="000000" w:themeColor="text1"/>
        </w:rPr>
      </w:pPr>
      <w:bookmarkStart w:id="14" w:name="_Toc82603358"/>
      <w:r w:rsidRPr="00B13CBE">
        <w:rPr>
          <w:rFonts w:ascii="Arial" w:hAnsi="Arial" w:cs="Arial"/>
          <w:b/>
          <w:bCs/>
          <w:color w:val="000000" w:themeColor="text1"/>
        </w:rPr>
        <w:t>I</w:t>
      </w:r>
      <w:r w:rsidR="00383C0A" w:rsidRPr="00B13CBE">
        <w:rPr>
          <w:rFonts w:ascii="Arial" w:hAnsi="Arial" w:cs="Arial"/>
          <w:b/>
          <w:bCs/>
          <w:color w:val="000000" w:themeColor="text1"/>
        </w:rPr>
        <w:t>nterdependence</w:t>
      </w:r>
      <w:bookmarkEnd w:id="14"/>
    </w:p>
    <w:p w14:paraId="05CDACF8" w14:textId="77777777" w:rsidR="007C73C2"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Several authors argue against contagion as the reason behind the correlation </w:t>
      </w:r>
      <w:r w:rsidR="00445D00" w:rsidRPr="00B13CBE">
        <w:rPr>
          <w:rFonts w:ascii="Arial" w:hAnsi="Arial" w:cs="Arial"/>
          <w:color w:val="000000" w:themeColor="text1"/>
          <w:sz w:val="24"/>
          <w:szCs w:val="24"/>
        </w:rPr>
        <w:t>among</w:t>
      </w:r>
      <w:r w:rsidRPr="00B13CBE">
        <w:rPr>
          <w:rFonts w:ascii="Arial" w:hAnsi="Arial" w:cs="Arial"/>
          <w:color w:val="000000" w:themeColor="text1"/>
          <w:sz w:val="24"/>
          <w:szCs w:val="24"/>
        </w:rPr>
        <w:t xml:space="preserve"> international capital markets. According to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{"citationID":"n9uiKoHb","properties":{"formattedCitation":"(Bri\\uc0\\u232{}re et al., 2012)","plainCitation":"(Brière et al., 2012)","dontUpdate":true,"noteIndex":0},"citationItems":[{"id":388,"uris":["http://zotero.org/users/local/XXne8Mwc/items/BT5QW9FW"],"uri":["http://zotero.org/users/local/XXne8Mwc/items/BT5QW9FW"],"itemData":{"id":388,"type":"article-journal","abstract":"In this article, tests for globalization and contagion are separated using an ex ante definition of crises, and contagion tests are neutralized with respect to globalization effects. A large database is constructed to study the stability of correlation matrices for four asset classes: equities, government bonds, investment grade corporate bonds, and high-yield corporate bonds, in four geographical zones. Overall, the results confirm the instability of correlations and point to a combination of globalization and flight to quality, while emphasizing that contagion on the equity markets appears as an artifact due to globalization.","container-title":"Journal of International Money and Finance","DOI":"10.1016/j.jimonfin.2012.03.010","ISSN":"0261-5606","issue":"6","journalAbbreviation":"Journal of International Money and Finance","language":"en","page":"1729-1744","source":"ScienceDirect","title":"No contagion, only globalization and flight to quality","volume":"31","author":[{"family":"Brière","given":"Marie"},{"family":"Chapelle","given":"Ariane"},{"family":"Szafarz","given":"Ariane"}],"issued":{"date-parts":[["2012",10,1]]}}}],"schema":"https://github.com/citation-style-language/schema/raw/master/csl-citation.json"} </w:instrText>
      </w:r>
      <w:r w:rsidRPr="00B13CBE">
        <w:rPr>
          <w:rFonts w:ascii="Arial" w:hAnsi="Arial" w:cs="Arial"/>
          <w:color w:val="000000" w:themeColor="text1"/>
          <w:sz w:val="24"/>
          <w:szCs w:val="24"/>
        </w:rPr>
        <w:fldChar w:fldCharType="separate"/>
      </w:r>
      <w:r w:rsidR="002C182F" w:rsidRPr="00B13CBE">
        <w:rPr>
          <w:rFonts w:ascii="Arial" w:hAnsi="Arial" w:cs="Arial"/>
          <w:color w:val="000000" w:themeColor="text1"/>
          <w:sz w:val="24"/>
          <w:szCs w:val="24"/>
        </w:rPr>
        <w:t>Brière et al. (2012)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a fundamental flaw in studies that</w:t>
      </w:r>
      <w:r w:rsidR="00445D00" w:rsidRPr="00B13CBE">
        <w:rPr>
          <w:rFonts w:ascii="Arial" w:hAnsi="Arial" w:cs="Arial"/>
          <w:color w:val="000000" w:themeColor="text1"/>
          <w:sz w:val="24"/>
          <w:szCs w:val="24"/>
        </w:rPr>
        <w:t xml:space="preserve"> advocate</w:t>
      </w:r>
      <w:r w:rsidRPr="00B13CBE">
        <w:rPr>
          <w:rFonts w:ascii="Arial" w:hAnsi="Arial" w:cs="Arial"/>
          <w:color w:val="000000" w:themeColor="text1"/>
          <w:sz w:val="24"/>
          <w:szCs w:val="24"/>
        </w:rPr>
        <w:t xml:space="preserve"> contagion as the </w:t>
      </w:r>
      <w:r w:rsidR="00445D00" w:rsidRPr="00B13CBE">
        <w:rPr>
          <w:rFonts w:ascii="Arial" w:hAnsi="Arial" w:cs="Arial"/>
          <w:color w:val="000000" w:themeColor="text1"/>
          <w:sz w:val="24"/>
          <w:szCs w:val="24"/>
        </w:rPr>
        <w:t>cause</w:t>
      </w:r>
      <w:r w:rsidRPr="00B13CBE">
        <w:rPr>
          <w:rFonts w:ascii="Arial" w:hAnsi="Arial" w:cs="Arial"/>
          <w:color w:val="000000" w:themeColor="text1"/>
          <w:sz w:val="24"/>
          <w:szCs w:val="24"/>
        </w:rPr>
        <w:t xml:space="preserve"> </w:t>
      </w:r>
      <w:r w:rsidR="00445D00" w:rsidRPr="00B13CBE">
        <w:rPr>
          <w:rFonts w:ascii="Arial" w:hAnsi="Arial" w:cs="Arial"/>
          <w:color w:val="000000" w:themeColor="text1"/>
          <w:sz w:val="24"/>
          <w:szCs w:val="24"/>
        </w:rPr>
        <w:t>of</w:t>
      </w:r>
      <w:r w:rsidRPr="00B13CBE">
        <w:rPr>
          <w:rFonts w:ascii="Arial" w:hAnsi="Arial" w:cs="Arial"/>
          <w:color w:val="000000" w:themeColor="text1"/>
          <w:sz w:val="24"/>
          <w:szCs w:val="24"/>
        </w:rPr>
        <w:t xml:space="preserve"> cross-country capital market correlation is the difficulty in defining the start and end of a crisis period.</w:t>
      </w:r>
      <w:r w:rsidR="00A4067E" w:rsidRPr="00B13CBE">
        <w:rPr>
          <w:rFonts w:ascii="Arial" w:hAnsi="Arial" w:cs="Arial"/>
          <w:color w:val="000000" w:themeColor="text1"/>
          <w:sz w:val="24"/>
          <w:szCs w:val="24"/>
        </w:rPr>
        <w:t xml:space="preserve"> This implies that the chosen periods may be inappropriate leading to wrong conclusions.</w:t>
      </w:r>
      <w:r w:rsidRPr="00B13CBE">
        <w:rPr>
          <w:rFonts w:ascii="Arial" w:hAnsi="Arial" w:cs="Arial"/>
          <w:color w:val="000000" w:themeColor="text1"/>
          <w:sz w:val="24"/>
          <w:szCs w:val="24"/>
        </w:rPr>
        <w:t xml:space="preserve"> The authors argue that contagion may simply be a natural consequence of pre-existing ‘normal’ correlation between international markets</w:t>
      </w:r>
      <w:r w:rsidR="000A45AC"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caused by financial and economic integration. Such correlation is called ‘interdependence’ in the literature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{"citationID":"AuRtky81","properties":{"formattedCitation":"(Solnik, Buocrelle and Le Fur, 1996)","plainCitation":"(Solnik, Buocrelle and Le Fur, 1996)","dontUpdate":true,"noteIndex":0},"citationItems":[{"id":130,"uris":["http://zotero.org/users/local/XXne8Mwc/items/7G3ESJ6A"],"uri":["http://zotero.org/users/local/XXne8Mwc/items/7G3ESJ6A"],"itemData":{"id":130,"type":"webpage","title":"International Market Correlation and Volatility: Financial Analysts Journal: Vol 52, No 5","URL":"https://www.tandfonline.com/doi/abs/10.2469/faj.v52.n5.2021","author":[{"family":"Solnik","given":"Bruno"},{"family":"Buocrelle","given":"Cyril"},{"family":"Le Fur","given":"Yann"}],"accessed":{"date-parts":[["2021",7,23]]},"issued":{"date-parts":[["1996"]]}}}],"schema":"https://github.com/citation-style-language/schema/raw/master/csl-citation.json"} </w:instrText>
      </w:r>
      <w:r w:rsidRPr="00B13CBE">
        <w:rPr>
          <w:rFonts w:ascii="Arial" w:hAnsi="Arial" w:cs="Arial"/>
          <w:color w:val="000000" w:themeColor="text1"/>
          <w:sz w:val="24"/>
          <w:szCs w:val="24"/>
        </w:rPr>
        <w:fldChar w:fldCharType="separate"/>
      </w:r>
      <w:r w:rsidR="00305050" w:rsidRPr="00B13CBE">
        <w:rPr>
          <w:rFonts w:ascii="Arial" w:hAnsi="Arial" w:cs="Arial"/>
          <w:color w:val="000000" w:themeColor="text1"/>
          <w:sz w:val="24"/>
          <w:szCs w:val="24"/>
        </w:rPr>
        <w:t>(Solnik, Buocrelle</w:t>
      </w:r>
      <w:r w:rsidR="008714AD" w:rsidRPr="00B13CBE">
        <w:rPr>
          <w:rFonts w:ascii="Arial" w:hAnsi="Arial" w:cs="Arial"/>
          <w:color w:val="000000" w:themeColor="text1"/>
          <w:sz w:val="24"/>
          <w:szCs w:val="24"/>
        </w:rPr>
        <w:t>,</w:t>
      </w:r>
      <w:r w:rsidR="00305050" w:rsidRPr="00B13CBE">
        <w:rPr>
          <w:rFonts w:ascii="Arial" w:hAnsi="Arial" w:cs="Arial"/>
          <w:color w:val="000000" w:themeColor="text1"/>
          <w:sz w:val="24"/>
          <w:szCs w:val="24"/>
        </w:rPr>
        <w:t xml:space="preserve"> and Le Fur, 1996)</w:t>
      </w:r>
      <w:r w:rsidRPr="00B13CBE">
        <w:rPr>
          <w:rFonts w:ascii="Arial" w:hAnsi="Arial" w:cs="Arial"/>
          <w:color w:val="000000" w:themeColor="text1"/>
          <w:sz w:val="24"/>
          <w:szCs w:val="24"/>
        </w:rPr>
        <w:fldChar w:fldCharType="end"/>
      </w:r>
      <w:r w:rsidR="000A45AC" w:rsidRPr="00B13CBE">
        <w:rPr>
          <w:rFonts w:ascii="Arial" w:hAnsi="Arial" w:cs="Arial"/>
          <w:color w:val="000000" w:themeColor="text1"/>
          <w:sz w:val="24"/>
          <w:szCs w:val="24"/>
        </w:rPr>
        <w:t>.</w:t>
      </w:r>
    </w:p>
    <w:p w14:paraId="3E715F7D" w14:textId="77777777" w:rsidR="007C73C2"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According to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{"citationID":"pfEi16zy","properties":{"formattedCitation":"(Solnik et al., 1996)","plainCitation":"(Solnik et al., 1996)","dontUpdate":true,"noteIndex":0},"citationItems":[{"id":130,"uris":["http://zotero.org/users/local/XXne8Mwc/items/7G3ESJ6A"],"uri":["http://zotero.org/users/local/XXne8Mwc/items/7G3ESJ6A"],"itemData":{"id":130,"type":"webpage","title":"International Market Correlation and Volatility: Financial Analysts Journal: Vol 52, No 5","URL":"https://www.tandfonline.com/doi/abs/10.2469/faj.v52.n5.2021","author":[{"family":"Solnik","given":"Bruno"},{"family":"Buocrelle","given":"Cyril"},{"family":"Le Fur","given":"Yann"}],"accessed":{"date-parts":[["2021",7,23]]},"issued":{"date-parts":[["1996"]]}}}],"schema":"https://github.com/citation-style-language/schema/raw/master/csl-citation.json"}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Solnik et al. (1996)</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interdependence between international capital markets is the result of growth in international capital flows</w:t>
      </w:r>
      <w:r w:rsidR="002C182F" w:rsidRPr="00B13CBE">
        <w:rPr>
          <w:rFonts w:ascii="Arial" w:hAnsi="Arial" w:cs="Arial"/>
          <w:color w:val="000000" w:themeColor="text1"/>
          <w:sz w:val="24"/>
          <w:szCs w:val="24"/>
        </w:rPr>
        <w:t xml:space="preserve"> due to liberalization and globalization</w:t>
      </w:r>
      <w:r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{"citationID":"s81J4SSv","properties":{"formattedCitation":"(Forbes &amp; Rigobon, 2002)","plainCitation":"(Forbes &amp; Rigobon, 2002)","dontUpdate":true,"noteIndex":0},"citationItems":[{"id":116,"uris":["http://zotero.org/users/local/XXne8Mwc/items/RVVVIKK3"],"uri":["http://zotero.org/users/local/XXne8Mwc/items/RVVVIKK3"],"itemData":{"id":116,"type":"article-journal","abstract":"Heteroskedasticity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Forbes </w:t>
      </w:r>
      <w:r w:rsidR="000A45AC"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Rigobon (2002)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support this view </w:t>
      </w:r>
      <w:r w:rsidR="002C182F" w:rsidRPr="00B13CBE">
        <w:rPr>
          <w:rFonts w:ascii="Arial" w:hAnsi="Arial" w:cs="Arial"/>
          <w:color w:val="000000" w:themeColor="text1"/>
          <w:sz w:val="24"/>
          <w:szCs w:val="24"/>
        </w:rPr>
        <w:t>arguing</w:t>
      </w:r>
      <w:r w:rsidRPr="00B13CBE">
        <w:rPr>
          <w:rFonts w:ascii="Arial" w:hAnsi="Arial" w:cs="Arial"/>
          <w:color w:val="000000" w:themeColor="text1"/>
          <w:sz w:val="24"/>
          <w:szCs w:val="24"/>
        </w:rPr>
        <w:t xml:space="preserve"> that </w:t>
      </w:r>
      <w:r w:rsidR="000A45AC" w:rsidRPr="00B13CBE">
        <w:rPr>
          <w:rFonts w:ascii="Arial" w:hAnsi="Arial" w:cs="Arial"/>
          <w:color w:val="000000" w:themeColor="text1"/>
          <w:sz w:val="24"/>
          <w:szCs w:val="24"/>
        </w:rPr>
        <w:t>another flaw</w:t>
      </w:r>
      <w:r w:rsidRPr="00B13CBE">
        <w:rPr>
          <w:rFonts w:ascii="Arial" w:hAnsi="Arial" w:cs="Arial"/>
          <w:color w:val="000000" w:themeColor="text1"/>
          <w:sz w:val="24"/>
          <w:szCs w:val="24"/>
        </w:rPr>
        <w:t xml:space="preserve"> in studies that posit contagion as the cause of the correlation between </w:t>
      </w:r>
      <w:r w:rsidRPr="00B13CBE">
        <w:rPr>
          <w:rFonts w:ascii="Arial" w:hAnsi="Arial" w:cs="Arial"/>
          <w:color w:val="000000" w:themeColor="text1"/>
          <w:sz w:val="24"/>
          <w:szCs w:val="24"/>
        </w:rPr>
        <w:lastRenderedPageBreak/>
        <w:t xml:space="preserve">markets is that the measure of correlation used is biased. By quantifying and correcting this bias,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{"citationID":"xDECokDZ","properties":{"formattedCitation":"(Forbes &amp; Rigobon, 2002)","plainCitation":"(Forbes &amp; Rigobon, 2002)","dontUpdate":true,"noteIndex":0},"citationItems":[{"id":116,"uris":["http://zotero.org/users/local/XXne8Mwc/items/RVVVIKK3"],"uri":["http://zotero.org/users/local/XXne8Mwc/items/RVVVIKK3"],"itemData":{"id":116,"type":"article-journal","abstract":"Heteroskedasticity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Forbes </w:t>
      </w:r>
      <w:r w:rsidR="000A45AC" w:rsidRPr="00B13CBE">
        <w:rPr>
          <w:rFonts w:ascii="Arial" w:hAnsi="Arial" w:cs="Arial"/>
          <w:color w:val="000000" w:themeColor="text1"/>
          <w:sz w:val="24"/>
          <w:szCs w:val="24"/>
        </w:rPr>
        <w:t>and</w:t>
      </w:r>
      <w:r w:rsidRPr="00B13CBE">
        <w:rPr>
          <w:rFonts w:ascii="Arial" w:hAnsi="Arial" w:cs="Arial"/>
          <w:color w:val="000000" w:themeColor="text1"/>
          <w:sz w:val="24"/>
          <w:szCs w:val="24"/>
        </w:rPr>
        <w:t xml:space="preserve"> Rigobon (2002)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showed that </w:t>
      </w:r>
      <w:r w:rsidR="00445D00" w:rsidRPr="00B13CBE">
        <w:rPr>
          <w:rFonts w:ascii="Arial" w:hAnsi="Arial" w:cs="Arial"/>
          <w:color w:val="000000" w:themeColor="text1"/>
          <w:sz w:val="24"/>
          <w:szCs w:val="24"/>
        </w:rPr>
        <w:t>there was n</w:t>
      </w:r>
      <w:r w:rsidRPr="00B13CBE">
        <w:rPr>
          <w:rFonts w:ascii="Arial" w:hAnsi="Arial" w:cs="Arial"/>
          <w:color w:val="000000" w:themeColor="text1"/>
          <w:sz w:val="24"/>
          <w:szCs w:val="24"/>
        </w:rPr>
        <w:t>o contagion</w:t>
      </w:r>
      <w:r w:rsidR="00445D00" w:rsidRPr="00B13CBE">
        <w:rPr>
          <w:rFonts w:ascii="Arial" w:hAnsi="Arial" w:cs="Arial"/>
          <w:color w:val="000000" w:themeColor="text1"/>
          <w:sz w:val="24"/>
          <w:szCs w:val="24"/>
        </w:rPr>
        <w:t xml:space="preserve"> among</w:t>
      </w:r>
      <w:r w:rsidRPr="00B13CBE">
        <w:rPr>
          <w:rFonts w:ascii="Arial" w:hAnsi="Arial" w:cs="Arial"/>
          <w:color w:val="000000" w:themeColor="text1"/>
          <w:sz w:val="24"/>
          <w:szCs w:val="24"/>
        </w:rPr>
        <w:t xml:space="preserve"> international markets</w:t>
      </w:r>
      <w:r w:rsidR="00445D00"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only interdependence </w:t>
      </w:r>
      <w:r w:rsidR="00445D00" w:rsidRPr="00B13CBE">
        <w:rPr>
          <w:rFonts w:ascii="Arial" w:hAnsi="Arial" w:cs="Arial"/>
          <w:color w:val="000000" w:themeColor="text1"/>
          <w:sz w:val="24"/>
          <w:szCs w:val="24"/>
        </w:rPr>
        <w:t xml:space="preserve">which is </w:t>
      </w:r>
      <w:r w:rsidRPr="00B13CBE">
        <w:rPr>
          <w:rFonts w:ascii="Arial" w:hAnsi="Arial" w:cs="Arial"/>
          <w:color w:val="000000" w:themeColor="text1"/>
          <w:sz w:val="24"/>
          <w:szCs w:val="24"/>
        </w:rPr>
        <w:t xml:space="preserve">inter-market co-movement at all times not just periods of crisis. </w:t>
      </w:r>
    </w:p>
    <w:p w14:paraId="1E691D7F" w14:textId="77777777" w:rsidR="002C182F"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{"citationID":"QluY1H4U","properties":{"formattedCitation":"(Kaminsky, Reinhart and V\\uc0\\u233{}gh, 2003)","plainCitation":"(Kaminsky, Reinhart and Végh, 2003)","dontUpdate":true,"noteIndex":0},"citationItems":[{"id":390,"uris":["http://zotero.org/users/local/XXne8Mwc/items/LES6VVRY"],"uri":["http://zotero.org/users/local/XXne8Mwc/items/LES6VVRY"],"itemData":{"id":390,"type":"article-journal","abstract":"Over the last 20 years, some financial events, such as devaluations or defaults, have triggered an immediate adverse chain reaction in other countries--which we call fast and furious contagion. Yet, on other occasions, similar events have failed to trigger any immediate international reaction. We argue that fast and furious contagion episodes are characterized by \"the unholy trinity\": (i) they follow a large surge in capital flows; (ii) they come as a surprise; and (iii) they involve a leveraged common creditor. In contrast, when similar events have elicited little international reaction, they were widely anticipated and took place at a time when capital flows had already subsided.","container-title":"Journal of Economic Perspectives","DOI":"10.1257/089533003772034899","ISSN":"0895-3309","issue":"4","language":"en","page":"51-74","source":"www.aeaweb.org","title":"The Unholy Trinity of Financial Contagion","volume":"17","author":[{"family":"Kaminsky","given":"Graciela L."},{"family":"Reinhart","given":"Carmen M."},{"family":"Végh","given":"Carlos A."}],"issued":{"date-parts":[["2003",12]]}}}],"schema":"https://github.com/citation-style-language/schema/raw/master/csl-citation.json"}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Kaminsky, Reinhart</w:t>
      </w:r>
      <w:r w:rsidR="008714AD"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and Végh (2003)</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argue that due to globalization, there exists macroeconomic factors that affect many countries such as international interest rates or changes in oil prices. </w:t>
      </w:r>
      <w:r w:rsidRPr="00B13CBE">
        <w:rPr>
          <w:rFonts w:ascii="Arial" w:hAnsi="Arial" w:cs="Arial"/>
          <w:color w:val="000000" w:themeColor="text1"/>
          <w:sz w:val="24"/>
          <w:szCs w:val="24"/>
        </w:rPr>
        <w:fldChar w:fldCharType="begin"/>
      </w:r>
      <w:r w:rsidR="00030A83" w:rsidRPr="00B13CBE">
        <w:rPr>
          <w:rFonts w:ascii="Arial" w:hAnsi="Arial" w:cs="Arial"/>
          <w:color w:val="000000" w:themeColor="text1"/>
          <w:sz w:val="24"/>
          <w:szCs w:val="24"/>
        </w:rPr>
        <w:instrText xml:space="preserve"> ADDIN ZOTERO_ITEM CSL_CITATION {"citationID":"IT9RmcwZ","properties":{"formattedCitation":"(Forbes and Rigobon, 2002)","plainCitation":"(Forbes and Rigobon, 2002)","dontUpdate":true,"noteIndex":0},"citationItems":[{"id":116,"uris":["http://zotero.org/users/local/XXne8Mwc/items/RVVVIKK3"],"uri":["http://zotero.org/users/local/XXne8Mwc/items/RVVVIKK3"],"itemData":{"id":116,"type":"article-journal","abstract":"Heteroskedasticity biases tests for contagion based on correlation coefficients. When contagion is defined as a significant increase in market comovement after a shock to one country, previous work suggests contagion occurred during recent crises. This paper shows that correlation coefficients are conditional on market volatility. Under certain assumptions, it is possible to adjust for this bias. Using this adjustment, there was virtually no increase in unconditional correlation coefficients (i.e., no contagion) during the 1997 Asian crisis, 1994 Mexican devaluation, and 1987 U.S. market crash. There is a high level of market comovement in all periods, however, which we call interdependence.","container-title":"The Journal of Finance","ISSN":"0022-1082","issue":"5","note":"publisher: [American Finance Association, Wiley]","page":"2223-2261","source":"JSTOR","title":"No Contagion, Only Interdependence: Measuring Stock Market Comovements","title-short":"No Contagion, Only Interdependence","volume":"57","author":[{"family":"Forbes","given":"Kristin J."},{"family":"Rigobon","given":"Roberto"}],"issued":{"date-parts":[["2002"]]}}}],"schema":"https://github.com/citation-style-language/schema/raw/master/csl-citation.json"}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Forbes and Rigobon, </w:t>
      </w:r>
      <w:r w:rsidR="00445D00" w:rsidRPr="00B13CBE">
        <w:rPr>
          <w:rFonts w:ascii="Arial" w:hAnsi="Arial" w:cs="Arial"/>
          <w:color w:val="000000" w:themeColor="text1"/>
          <w:sz w:val="24"/>
          <w:szCs w:val="24"/>
        </w:rPr>
        <w:t>(</w:t>
      </w:r>
      <w:r w:rsidRPr="00B13CBE">
        <w:rPr>
          <w:rFonts w:ascii="Arial" w:hAnsi="Arial" w:cs="Arial"/>
          <w:color w:val="000000" w:themeColor="text1"/>
          <w:sz w:val="24"/>
          <w:szCs w:val="24"/>
        </w:rPr>
        <w:t>2002)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also mention the macroeconomic factors of decline in international demand and decline in </w:t>
      </w:r>
      <w:r w:rsidR="0044695A" w:rsidRPr="00B13CBE">
        <w:rPr>
          <w:rFonts w:ascii="Arial" w:hAnsi="Arial" w:cs="Arial"/>
          <w:color w:val="000000" w:themeColor="text1"/>
          <w:sz w:val="24"/>
          <w:szCs w:val="24"/>
        </w:rPr>
        <w:t>the global supply of credit</w:t>
      </w:r>
      <w:r w:rsidRPr="00B13CBE">
        <w:rPr>
          <w:rFonts w:ascii="Arial" w:hAnsi="Arial" w:cs="Arial"/>
          <w:color w:val="000000" w:themeColor="text1"/>
          <w:sz w:val="24"/>
          <w:szCs w:val="24"/>
        </w:rPr>
        <w:t>.</w:t>
      </w:r>
      <w:r w:rsidR="0044695A" w:rsidRPr="00B13CBE">
        <w:rPr>
          <w:rFonts w:ascii="Arial" w:hAnsi="Arial" w:cs="Arial"/>
          <w:color w:val="000000" w:themeColor="text1"/>
          <w:sz w:val="24"/>
          <w:szCs w:val="24"/>
        </w:rPr>
        <w:t xml:space="preserve"> According to</w:t>
      </w:r>
      <w:r w:rsidR="00FF0ED9" w:rsidRPr="00B13CBE">
        <w:rPr>
          <w:rFonts w:ascii="Arial" w:hAnsi="Arial" w:cs="Arial"/>
          <w:color w:val="000000" w:themeColor="text1"/>
          <w:sz w:val="24"/>
          <w:szCs w:val="24"/>
        </w:rPr>
        <w:t xml:space="preserve"> the authors</w:t>
      </w:r>
      <w:r w:rsidR="0044695A" w:rsidRPr="00B13CBE">
        <w:rPr>
          <w:rFonts w:ascii="Arial" w:hAnsi="Arial" w:cs="Arial"/>
          <w:color w:val="000000" w:themeColor="text1"/>
          <w:sz w:val="24"/>
          <w:szCs w:val="24"/>
        </w:rPr>
        <w:t>, macroeconomic factors</w:t>
      </w:r>
      <w:r w:rsidRPr="00B13CBE">
        <w:rPr>
          <w:rFonts w:ascii="Arial" w:hAnsi="Arial" w:cs="Arial"/>
          <w:color w:val="000000" w:themeColor="text1"/>
          <w:sz w:val="24"/>
          <w:szCs w:val="24"/>
        </w:rPr>
        <w:t xml:space="preserve"> such as these</w:t>
      </w:r>
      <w:r w:rsidR="0044695A" w:rsidRPr="00B13CBE">
        <w:rPr>
          <w:rFonts w:ascii="Arial" w:hAnsi="Arial" w:cs="Arial"/>
          <w:color w:val="000000" w:themeColor="text1"/>
          <w:sz w:val="24"/>
          <w:szCs w:val="24"/>
        </w:rPr>
        <w:t xml:space="preserve"> act as channels of </w:t>
      </w:r>
      <w:r w:rsidR="00445D00" w:rsidRPr="00B13CBE">
        <w:rPr>
          <w:rFonts w:ascii="Arial" w:hAnsi="Arial" w:cs="Arial"/>
          <w:color w:val="000000" w:themeColor="text1"/>
          <w:sz w:val="24"/>
          <w:szCs w:val="24"/>
        </w:rPr>
        <w:t xml:space="preserve">risk </w:t>
      </w:r>
      <w:r w:rsidR="0044695A" w:rsidRPr="00B13CBE">
        <w:rPr>
          <w:rFonts w:ascii="Arial" w:hAnsi="Arial" w:cs="Arial"/>
          <w:color w:val="000000" w:themeColor="text1"/>
          <w:sz w:val="24"/>
          <w:szCs w:val="24"/>
        </w:rPr>
        <w:t xml:space="preserve">transmission across markets and are the underlying cause of the observed interdependence between international financial markets. </w:t>
      </w:r>
    </w:p>
    <w:p w14:paraId="419D57DF" w14:textId="77777777" w:rsidR="001F6509"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{"citationID":"FRLy8MaU","properties":{"formattedCitation":"(Bri\\uc0\\u232{}re et al., 2012)","plainCitation":"(Brière et al., 2012)","dontUpdate":true,"noteIndex":0},"citationItems":[{"id":388,"uris":["http://zotero.org/users/local/XXne8Mwc/items/BT5QW9FW"],"uri":["http://zotero.org/users/local/XXne8Mwc/items/BT5QW9FW"],"itemData":{"id":388,"type":"article-journal","abstract":"In this article, tests for globalization and contagion are separated using an ex ante definition of crises, and contagion tests are neutralized with respect to globalization effects. A large database is constructed to study the stability of correlation matrices for four asset classes: equities, government bonds, investment grade corporate bonds, and high-yield corporate bonds, in four geographical zones. Overall, the results confirm the instability of correlations and point to a combination of globalization and flight to quality, while emphasizing that contagion on the equity markets appears as an artifact due to globalization.","container-title":"Journal of International Money and Finance","DOI":"10.1016/j.jimonfin.2012.03.010","ISSN":"0261-5606","issue":"6","journalAbbreviation":"Journal of International Money and Finance","language":"en","page":"1729-1744","source":"ScienceDirect","title":"No contagion, only globalization and flight to quality","volume":"31","author":[{"family":"Brière","given":"Marie"},{"family":"Chapelle","given":"Ariane"},{"family":"Szafarz","given":"Ariane"}],"issued":{"date-parts":[["2012",10,1]]}}}],"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Brière et al. (2012)</w:t>
      </w: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point out that contagion and interdependence are not mutually exclusive and are difficult to separate econometrically. </w:t>
      </w:r>
      <w:r w:rsidR="000A45AC" w:rsidRPr="00B13CBE">
        <w:rPr>
          <w:rFonts w:ascii="Arial" w:hAnsi="Arial" w:cs="Arial"/>
          <w:color w:val="000000" w:themeColor="text1"/>
          <w:sz w:val="24"/>
          <w:szCs w:val="24"/>
        </w:rPr>
        <w:t>T</w:t>
      </w:r>
      <w:r w:rsidRPr="00B13CBE">
        <w:rPr>
          <w:rFonts w:ascii="Arial" w:hAnsi="Arial" w:cs="Arial"/>
          <w:color w:val="000000" w:themeColor="text1"/>
          <w:sz w:val="24"/>
          <w:szCs w:val="24"/>
        </w:rPr>
        <w:t>his study ignore</w:t>
      </w:r>
      <w:r w:rsidR="000A45AC"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the cause of any observed correlation between markets and simply refers to such correlation as 'inter-relations' between the markets. </w:t>
      </w:r>
      <w:r w:rsidR="000A45AC" w:rsidRPr="00B13CBE">
        <w:rPr>
          <w:rFonts w:ascii="Arial" w:hAnsi="Arial" w:cs="Arial"/>
          <w:color w:val="000000" w:themeColor="text1"/>
          <w:sz w:val="24"/>
          <w:szCs w:val="24"/>
        </w:rPr>
        <w:t>T</w:t>
      </w:r>
      <w:r w:rsidRPr="00B13CBE">
        <w:rPr>
          <w:rFonts w:ascii="Arial" w:hAnsi="Arial" w:cs="Arial"/>
          <w:color w:val="000000" w:themeColor="text1"/>
          <w:sz w:val="24"/>
          <w:szCs w:val="24"/>
        </w:rPr>
        <w:t xml:space="preserve">he DCC-GARCH model of </w:t>
      </w:r>
      <w:r w:rsidRPr="00B13CBE">
        <w:rPr>
          <w:rFonts w:ascii="Arial" w:hAnsi="Arial" w:cs="Arial"/>
          <w:color w:val="000000" w:themeColor="text1"/>
          <w:sz w:val="24"/>
          <w:szCs w:val="24"/>
        </w:rPr>
        <w:fldChar w:fldCharType="begin"/>
      </w:r>
      <w:r w:rsidR="00FA45AF" w:rsidRPr="00B13CBE">
        <w:rPr>
          <w:rFonts w:ascii="Arial" w:hAnsi="Arial" w:cs="Arial"/>
          <w:color w:val="000000" w:themeColor="text1"/>
          <w:sz w:val="24"/>
          <w:szCs w:val="24"/>
        </w:rPr>
        <w:instrText xml:space="preserve"> ADDIN ZOTERO_ITEM CSL_CITATION {"citationID":"G0hgVjka","properties":{"formattedCitation":"(R. Engle, 2002)","plainCitation":"(R. Engle, 2002)","dontUpdate":true,"noteIndex":0},"citationItems":[{"id":173,"uris":["http://zotero.org/users/local/XXne8Mwc/items/DU76AHGB"],"uri":["http://zotero.org/users/local/XXne8Mwc/items/DU76AHGB"],"itemData":{"id":173,"type":"article-journal","abstract":"Time varying correlations are often estimated with multivariate generalized autoregressive conditional heteroskedasticity (GARCH) models that are linear in squares and cross products of the data. A new class of multivariate models called dynamic conditional correlation models is proposed. These have the flexibility of univariate GARCH models coupled with parsimonious parametric models for the correlations. They are not linear but can often be estimated very simply with univariate or two-step methods based on the likelihood function. It is shown that they perform well in a variety of situations and provide sensible empirical results.","container-title":"Journal of Business &amp; Economic Statistics","ISSN":"0735-0015","issue":"3","note":"publisher: [American Statistical Association, Taylor &amp; Francis, Ltd.]","page":"339-350","source":"JSTOR","title":"Dynamic Conditional Correlation: A Simple Class of Multivariate Generalized Autoregressive Conditional Heteroskedasticity Models","title-short":"Dynamic Conditional Correlation","volume":"20","author":[{"family":"Engle","given":"Robert"}],"issued":{"date-parts":[["2002"]]}}}],"schema":"https://github.com/citation-style-language/schema/raw/master/csl-citation.json"}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Engle (2002)</w:t>
      </w:r>
      <w:r w:rsidRPr="00B13CBE">
        <w:rPr>
          <w:rFonts w:ascii="Arial" w:hAnsi="Arial" w:cs="Arial"/>
          <w:color w:val="000000" w:themeColor="text1"/>
          <w:sz w:val="24"/>
          <w:szCs w:val="24"/>
        </w:rPr>
        <w:fldChar w:fldCharType="end"/>
      </w:r>
      <w:r w:rsidR="000A45AC" w:rsidRPr="00B13CBE">
        <w:rPr>
          <w:rFonts w:ascii="Arial" w:hAnsi="Arial" w:cs="Arial"/>
          <w:color w:val="000000" w:themeColor="text1"/>
          <w:sz w:val="24"/>
          <w:szCs w:val="24"/>
        </w:rPr>
        <w:t xml:space="preserve"> is employe</w:t>
      </w:r>
      <w:r w:rsidR="008714AD" w:rsidRPr="00B13CBE">
        <w:rPr>
          <w:rFonts w:ascii="Arial" w:hAnsi="Arial" w:cs="Arial"/>
          <w:color w:val="000000" w:themeColor="text1"/>
          <w:sz w:val="24"/>
          <w:szCs w:val="24"/>
        </w:rPr>
        <w:t>d</w:t>
      </w:r>
      <w:r w:rsidRPr="00B13CBE">
        <w:rPr>
          <w:rFonts w:ascii="Arial" w:hAnsi="Arial" w:cs="Arial"/>
          <w:color w:val="000000" w:themeColor="text1"/>
          <w:sz w:val="24"/>
          <w:szCs w:val="24"/>
        </w:rPr>
        <w:t xml:space="preserve"> to analyze the magnitude of 'inter-relations among international capital markets.</w:t>
      </w:r>
    </w:p>
    <w:p w14:paraId="4C40CB78" w14:textId="77777777" w:rsidR="001F6509" w:rsidRPr="00B13CBE" w:rsidRDefault="001F6509" w:rsidP="00781A3B">
      <w:pPr>
        <w:spacing w:line="360" w:lineRule="auto"/>
        <w:jc w:val="both"/>
        <w:rPr>
          <w:rFonts w:ascii="Arial" w:hAnsi="Arial" w:cs="Arial"/>
          <w:color w:val="000000" w:themeColor="text1"/>
          <w:sz w:val="24"/>
          <w:szCs w:val="24"/>
        </w:rPr>
      </w:pPr>
    </w:p>
    <w:p w14:paraId="6CCAA30B" w14:textId="77777777" w:rsidR="001F6509" w:rsidRPr="00B13CBE" w:rsidRDefault="001F6509" w:rsidP="00781A3B">
      <w:pPr>
        <w:spacing w:line="360" w:lineRule="auto"/>
        <w:jc w:val="both"/>
        <w:rPr>
          <w:rFonts w:ascii="Arial" w:hAnsi="Arial" w:cs="Arial"/>
          <w:color w:val="000000" w:themeColor="text1"/>
          <w:sz w:val="24"/>
          <w:szCs w:val="24"/>
        </w:rPr>
      </w:pPr>
    </w:p>
    <w:p w14:paraId="34DDBEC7" w14:textId="77777777" w:rsidR="003C2CE1" w:rsidRPr="00B13CBE" w:rsidRDefault="003C2CE1" w:rsidP="00781A3B">
      <w:pPr>
        <w:spacing w:line="360" w:lineRule="auto"/>
        <w:jc w:val="both"/>
        <w:rPr>
          <w:rFonts w:ascii="Arial" w:hAnsi="Arial" w:cs="Arial"/>
          <w:color w:val="000000" w:themeColor="text1"/>
          <w:sz w:val="24"/>
          <w:szCs w:val="24"/>
        </w:rPr>
      </w:pPr>
    </w:p>
    <w:p w14:paraId="48B9D12E" w14:textId="77777777" w:rsidR="003C2CE1" w:rsidRPr="00B13CBE" w:rsidRDefault="003C2CE1" w:rsidP="00781A3B">
      <w:pPr>
        <w:spacing w:line="360" w:lineRule="auto"/>
        <w:jc w:val="both"/>
        <w:rPr>
          <w:rFonts w:ascii="Arial" w:hAnsi="Arial" w:cs="Arial"/>
          <w:color w:val="000000" w:themeColor="text1"/>
          <w:sz w:val="24"/>
          <w:szCs w:val="24"/>
        </w:rPr>
      </w:pPr>
    </w:p>
    <w:p w14:paraId="158C2ABA" w14:textId="77777777" w:rsidR="001F6509" w:rsidRPr="00B13CBE" w:rsidRDefault="00C4772C" w:rsidP="00781A3B">
      <w:pPr>
        <w:pStyle w:val="Heading1"/>
        <w:numPr>
          <w:ilvl w:val="0"/>
          <w:numId w:val="18"/>
        </w:numPr>
        <w:spacing w:line="360" w:lineRule="auto"/>
        <w:jc w:val="both"/>
        <w:rPr>
          <w:rFonts w:ascii="Arial" w:hAnsi="Arial" w:cs="Arial"/>
          <w:b/>
          <w:bCs/>
          <w:color w:val="000000" w:themeColor="text1"/>
          <w:sz w:val="24"/>
          <w:szCs w:val="24"/>
        </w:rPr>
      </w:pPr>
      <w:bookmarkStart w:id="15" w:name="_Toc82603359"/>
      <w:r w:rsidRPr="00B13CBE">
        <w:rPr>
          <w:rFonts w:ascii="Arial" w:hAnsi="Arial" w:cs="Arial"/>
          <w:b/>
          <w:bCs/>
          <w:color w:val="000000" w:themeColor="text1"/>
          <w:sz w:val="24"/>
          <w:szCs w:val="24"/>
        </w:rPr>
        <w:lastRenderedPageBreak/>
        <w:t>DATA</w:t>
      </w:r>
      <w:bookmarkStart w:id="16" w:name="data"/>
      <w:bookmarkEnd w:id="15"/>
    </w:p>
    <w:p w14:paraId="3D4FEC93" w14:textId="77777777" w:rsidR="000C32D2" w:rsidRPr="00B13CBE" w:rsidRDefault="00C4772C" w:rsidP="00781A3B">
      <w:pPr>
        <w:pStyle w:val="Heading2"/>
      </w:pPr>
      <w:bookmarkStart w:id="17" w:name="_Toc82603360"/>
      <w:r w:rsidRPr="00B13CBE">
        <w:t>Data Description</w:t>
      </w:r>
      <w:bookmarkEnd w:id="17"/>
    </w:p>
    <w:p w14:paraId="3E33966C" w14:textId="5E3A10B2" w:rsidR="001F6509"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The financial data used in this study </w:t>
      </w:r>
      <w:r w:rsidR="003C2CE1" w:rsidRPr="00B13CBE">
        <w:rPr>
          <w:rFonts w:ascii="Arial" w:hAnsi="Arial" w:cs="Arial"/>
          <w:color w:val="000000" w:themeColor="text1"/>
        </w:rPr>
        <w:t>are</w:t>
      </w:r>
      <w:r w:rsidRPr="00B13CBE">
        <w:rPr>
          <w:rFonts w:ascii="Arial" w:hAnsi="Arial" w:cs="Arial"/>
          <w:color w:val="000000" w:themeColor="text1"/>
        </w:rPr>
        <w:t xml:space="preserve"> log-returns of 12 indices</w:t>
      </w:r>
      <w:r w:rsidR="003C2CE1" w:rsidRPr="00B13CBE">
        <w:rPr>
          <w:rFonts w:ascii="Arial" w:hAnsi="Arial" w:cs="Arial"/>
          <w:color w:val="000000" w:themeColor="text1"/>
        </w:rPr>
        <w:t xml:space="preserve"> namely</w:t>
      </w:r>
      <w:r w:rsidRPr="00B13CBE">
        <w:rPr>
          <w:rFonts w:ascii="Arial" w:hAnsi="Arial" w:cs="Arial"/>
          <w:color w:val="000000" w:themeColor="text1"/>
        </w:rPr>
        <w:t xml:space="preserve"> S&amp;P 500, Dow Jones, NASDAQ, Russel 2000, DAX Performance Index, CAC 40, FTSE 100, NIKKEI 225, Hang Seng, Shenzhen, IPC Mexico, and Jakarta Islamic Index. </w:t>
      </w:r>
      <w:r w:rsidR="003C2CE1" w:rsidRPr="00B13CBE">
        <w:rPr>
          <w:rFonts w:ascii="Arial" w:hAnsi="Arial" w:cs="Arial"/>
          <w:color w:val="000000" w:themeColor="text1"/>
        </w:rPr>
        <w:t>Prices</w:t>
      </w:r>
      <w:r w:rsidRPr="00B13CBE">
        <w:rPr>
          <w:rFonts w:ascii="Arial" w:hAnsi="Arial" w:cs="Arial"/>
          <w:color w:val="000000" w:themeColor="text1"/>
        </w:rPr>
        <w:t xml:space="preserve"> for the 12 indices from 31st December 2014 to 31st December 2020 were obtained from the Yahoo Finance database. Since the indices belong to different countries, missing values, </w:t>
      </w:r>
      <w:r w:rsidR="003C2CE1" w:rsidRPr="00B13CBE">
        <w:rPr>
          <w:rFonts w:ascii="Arial" w:hAnsi="Arial" w:cs="Arial"/>
          <w:color w:val="000000" w:themeColor="text1"/>
        </w:rPr>
        <w:t xml:space="preserve">which </w:t>
      </w:r>
      <w:r w:rsidRPr="00B13CBE">
        <w:rPr>
          <w:rFonts w:ascii="Arial" w:hAnsi="Arial" w:cs="Arial"/>
          <w:color w:val="000000" w:themeColor="text1"/>
        </w:rPr>
        <w:t>correspond to banking holidays, were not common to all the indices</w:t>
      </w:r>
      <w:r w:rsidR="003C2CE1" w:rsidRPr="00B13CBE">
        <w:rPr>
          <w:rFonts w:ascii="Arial" w:hAnsi="Arial" w:cs="Arial"/>
          <w:color w:val="000000" w:themeColor="text1"/>
        </w:rPr>
        <w:t xml:space="preserve"> and were therefore omitted to allow for the estimation of the DCC-GARCH model</w:t>
      </w:r>
      <w:r w:rsidRPr="00B13CBE">
        <w:rPr>
          <w:rFonts w:ascii="Arial" w:hAnsi="Arial" w:cs="Arial"/>
          <w:color w:val="000000" w:themeColor="text1"/>
        </w:rPr>
        <w:t xml:space="preserve">. Figure 1 below shows the price series for the 12 indices. </w:t>
      </w:r>
    </w:p>
    <w:p w14:paraId="749F7752" w14:textId="4584E145" w:rsidR="000C440B" w:rsidRPr="00B13CBE" w:rsidRDefault="000C440B" w:rsidP="000C440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It is evident from Figure 1 that some amount of correlation exists among the indices. The first quarter of 2020 saw large declines in financial markets due to the covid-19 pandemic. According to Mohsin et al (2020), the World Health </w:t>
      </w:r>
      <w:proofErr w:type="spellStart"/>
      <w:r w:rsidRPr="00B13CBE">
        <w:rPr>
          <w:rFonts w:ascii="Arial" w:hAnsi="Arial" w:cs="Arial"/>
          <w:color w:val="000000" w:themeColor="text1"/>
        </w:rPr>
        <w:t>Organisation</w:t>
      </w:r>
      <w:proofErr w:type="spellEnd"/>
      <w:r w:rsidRPr="00B13CBE">
        <w:rPr>
          <w:rFonts w:ascii="Arial" w:hAnsi="Arial" w:cs="Arial"/>
          <w:color w:val="000000" w:themeColor="text1"/>
        </w:rPr>
        <w:t xml:space="preserve"> (WHO) declared COVID-19 a global emergency on February 20, 2020, and a pandemic on March 11th the same year. According to the author, this event led to the S&amp;P 500 index falling by 30% in 16 trading days and this can be seen in Figure 1. Figure 1 also shows that other indices around the world also saw large declines during the same time which gives a visual depiction of inter-market correlation during a crisis. However, Figure 1 shows that there is some correlation among the financial markets that exist even in non-crisis periods.</w:t>
      </w:r>
    </w:p>
    <w:p w14:paraId="5C1E90F6" w14:textId="77777777" w:rsidR="00FF0ED9" w:rsidRPr="00B13CBE" w:rsidRDefault="00C4772C" w:rsidP="00781A3B">
      <w:pPr>
        <w:pStyle w:val="CaptionedFigure"/>
        <w:spacing w:line="360" w:lineRule="auto"/>
        <w:jc w:val="both"/>
        <w:rPr>
          <w:rFonts w:ascii="Arial" w:hAnsi="Arial" w:cs="Arial"/>
          <w:color w:val="000000" w:themeColor="text1"/>
        </w:rPr>
      </w:pPr>
      <w:r w:rsidRPr="00B13CBE">
        <w:rPr>
          <w:rFonts w:ascii="Arial" w:hAnsi="Arial" w:cs="Arial"/>
          <w:noProof/>
          <w:color w:val="000000" w:themeColor="text1"/>
        </w:rPr>
        <w:lastRenderedPageBreak/>
        <w:drawing>
          <wp:inline distT="0" distB="0" distL="0" distR="0" wp14:anchorId="03748735" wp14:editId="2873A850">
            <wp:extent cx="5334000" cy="3775982"/>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Documents\the_12_indices.png"/>
                    <pic:cNvPicPr>
                      <a:picLocks noChangeAspect="1" noChangeArrowheads="1"/>
                    </pic:cNvPicPr>
                  </pic:nvPicPr>
                  <pic:blipFill>
                    <a:blip r:embed="rId10"/>
                    <a:stretch>
                      <a:fillRect/>
                    </a:stretch>
                  </pic:blipFill>
                  <pic:spPr bwMode="auto">
                    <a:xfrm>
                      <a:off x="0" y="0"/>
                      <a:ext cx="5334000" cy="3775982"/>
                    </a:xfrm>
                    <a:prstGeom prst="rect">
                      <a:avLst/>
                    </a:prstGeom>
                    <a:noFill/>
                    <a:ln w="9525">
                      <a:noFill/>
                      <a:headEnd/>
                      <a:tailEnd/>
                    </a:ln>
                  </pic:spPr>
                </pic:pic>
              </a:graphicData>
            </a:graphic>
          </wp:inline>
        </w:drawing>
      </w:r>
    </w:p>
    <w:p w14:paraId="1BAC2481" w14:textId="77777777" w:rsidR="001F6509" w:rsidRPr="00B13CBE" w:rsidRDefault="00C4772C" w:rsidP="00781A3B">
      <w:pPr>
        <w:pStyle w:val="Caption"/>
        <w:spacing w:line="360" w:lineRule="auto"/>
        <w:jc w:val="both"/>
        <w:rPr>
          <w:rFonts w:ascii="Arial" w:hAnsi="Arial" w:cs="Arial"/>
          <w:color w:val="000000" w:themeColor="text1"/>
        </w:rPr>
      </w:pPr>
      <w:bookmarkStart w:id="18" w:name="_Toc82603424"/>
      <w:r w:rsidRPr="00B13CBE">
        <w:rPr>
          <w:rFonts w:ascii="Arial" w:hAnsi="Arial" w:cs="Arial"/>
          <w:color w:val="000000" w:themeColor="text1"/>
        </w:rPr>
        <w:t xml:space="preserve">Figure </w:t>
      </w:r>
      <w:r w:rsidRPr="00B13CBE">
        <w:rPr>
          <w:rFonts w:ascii="Arial" w:hAnsi="Arial" w:cs="Arial"/>
          <w:color w:val="000000" w:themeColor="text1"/>
        </w:rPr>
        <w:fldChar w:fldCharType="begin"/>
      </w:r>
      <w:r w:rsidRPr="00B13CBE">
        <w:rPr>
          <w:rFonts w:ascii="Arial" w:hAnsi="Arial" w:cs="Arial"/>
          <w:color w:val="000000" w:themeColor="text1"/>
        </w:rPr>
        <w:instrText xml:space="preserve"> SEQ Figure \* ARABIC </w:instrText>
      </w:r>
      <w:r w:rsidRPr="00B13CBE">
        <w:rPr>
          <w:rFonts w:ascii="Arial" w:hAnsi="Arial" w:cs="Arial"/>
          <w:color w:val="000000" w:themeColor="text1"/>
        </w:rPr>
        <w:fldChar w:fldCharType="separate"/>
      </w:r>
      <w:r w:rsidRPr="00B13CBE">
        <w:rPr>
          <w:rFonts w:ascii="Arial" w:hAnsi="Arial" w:cs="Arial"/>
          <w:noProof/>
          <w:color w:val="000000" w:themeColor="text1"/>
        </w:rPr>
        <w:t>1</w:t>
      </w:r>
      <w:r w:rsidRPr="00B13CBE">
        <w:rPr>
          <w:rFonts w:ascii="Arial" w:hAnsi="Arial" w:cs="Arial"/>
          <w:color w:val="000000" w:themeColor="text1"/>
        </w:rPr>
        <w:fldChar w:fldCharType="end"/>
      </w:r>
      <w:r w:rsidRPr="00B13CBE">
        <w:rPr>
          <w:rFonts w:ascii="Arial" w:hAnsi="Arial" w:cs="Arial"/>
          <w:color w:val="000000" w:themeColor="text1"/>
        </w:rPr>
        <w:t>: Price series of the 12 indices using in this study</w:t>
      </w:r>
      <w:bookmarkEnd w:id="18"/>
    </w:p>
    <w:p w14:paraId="684F11BC" w14:textId="77777777" w:rsidR="001F6509"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Adjusted closing prices were used to calculate log-returns are given by the formula:</w:t>
      </w:r>
    </w:p>
    <w:p w14:paraId="3C6846EB" w14:textId="77777777" w:rsidR="001F6509" w:rsidRPr="00B13CBE" w:rsidRDefault="00FC49CE" w:rsidP="00781A3B">
      <w:pPr>
        <w:pStyle w:val="BodyText"/>
        <w:spacing w:line="360" w:lineRule="auto"/>
        <w:jc w:val="both"/>
        <w:rPr>
          <w:rFonts w:ascii="Arial" w:hAnsi="Arial" w:cs="Arial"/>
          <w:color w:val="000000" w:themeColor="text1"/>
        </w:rPr>
      </w:pPr>
      <m:oMathPara>
        <m:oMathParaPr>
          <m:jc m:val="center"/>
        </m:oMathParaPr>
        <m:oMath>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it</m:t>
              </m:r>
            </m:sub>
          </m:sSub>
          <m:r>
            <m:rPr>
              <m:sty m:val="p"/>
            </m:rPr>
            <w:rPr>
              <w:rFonts w:ascii="Cambria Math" w:hAnsi="Cambria Math" w:cs="Arial"/>
              <w:color w:val="000000" w:themeColor="text1"/>
            </w:rPr>
            <m:t>=</m:t>
          </m:r>
          <m:r>
            <w:rPr>
              <w:rFonts w:ascii="Cambria Math" w:hAnsi="Cambria Math" w:cs="Arial"/>
              <w:color w:val="000000" w:themeColor="text1"/>
            </w:rPr>
            <m:t>log</m:t>
          </m:r>
          <m:d>
            <m:dPr>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m:t>
                  </m:r>
                  <m:d>
                    <m:dPr>
                      <m:ctrlPr>
                        <w:rPr>
                          <w:rFonts w:ascii="Cambria Math" w:hAnsi="Cambria Math" w:cs="Arial"/>
                          <w:color w:val="000000" w:themeColor="text1"/>
                        </w:rPr>
                      </m:ctrlPr>
                    </m:dPr>
                    <m:e>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e>
                  </m:d>
                </m:sub>
              </m:sSub>
            </m:e>
          </m:d>
        </m:oMath>
      </m:oMathPara>
    </w:p>
    <w:p w14:paraId="07757540" w14:textId="77777777" w:rsidR="000C32D2"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for </w:t>
      </w:r>
      <m:oMath>
        <m:r>
          <w:rPr>
            <w:rFonts w:ascii="Cambria Math" w:hAnsi="Cambria Math" w:cs="Arial"/>
            <w:color w:val="000000" w:themeColor="text1"/>
          </w:rPr>
          <m:t>i</m:t>
        </m:r>
        <m:r>
          <m:rPr>
            <m:sty m:val="p"/>
          </m:rPr>
          <w:rPr>
            <w:rFonts w:ascii="Cambria Math" w:hAnsi="Cambria Math" w:cs="Arial"/>
            <w:color w:val="000000" w:themeColor="text1"/>
          </w:rPr>
          <m:t>=</m:t>
        </m:r>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2</m:t>
        </m:r>
        <m:r>
          <m:rPr>
            <m:sty m:val="p"/>
          </m:rPr>
          <w:rPr>
            <w:rFonts w:ascii="Cambria Math" w:hAnsi="Cambria Math" w:cs="Arial"/>
            <w:color w:val="000000" w:themeColor="text1"/>
          </w:rPr>
          <m:t>,</m:t>
        </m:r>
        <m:r>
          <w:rPr>
            <w:rFonts w:ascii="Cambria Math" w:hAnsi="Cambria Math" w:cs="Arial"/>
            <w:color w:val="000000" w:themeColor="text1"/>
          </w:rPr>
          <m:t>3</m:t>
        </m:r>
        <m:r>
          <m:rPr>
            <m:sty m:val="p"/>
          </m:rPr>
          <w:rPr>
            <w:rFonts w:ascii="Cambria Math" w:hAnsi="Cambria Math" w:cs="Arial"/>
            <w:color w:val="000000" w:themeColor="text1"/>
          </w:rPr>
          <m:t>…,</m:t>
        </m:r>
        <m:r>
          <w:rPr>
            <w:rFonts w:ascii="Cambria Math" w:hAnsi="Cambria Math" w:cs="Arial"/>
            <w:color w:val="000000" w:themeColor="text1"/>
          </w:rPr>
          <m:t>12</m:t>
        </m:r>
      </m:oMath>
      <w:r w:rsidRPr="00B13CBE">
        <w:rPr>
          <w:rFonts w:ascii="Arial" w:hAnsi="Arial" w:cs="Arial"/>
          <w:color w:val="000000" w:themeColor="text1"/>
        </w:rPr>
        <w:t xml:space="preserve"> where </w:t>
      </w:r>
      <m:oMath>
        <m:sSub>
          <m:sSubPr>
            <m:ctrlPr>
              <w:rPr>
                <w:rFonts w:ascii="Cambria Math" w:hAnsi="Cambria Math" w:cs="Arial"/>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it</m:t>
            </m:r>
          </m:sub>
        </m:sSub>
      </m:oMath>
      <w:r w:rsidRPr="00B13CBE">
        <w:rPr>
          <w:rFonts w:ascii="Arial" w:hAnsi="Arial" w:cs="Arial"/>
          <w:color w:val="000000" w:themeColor="text1"/>
        </w:rPr>
        <w:t xml:space="preserve"> was the price of index </w:t>
      </w:r>
      <m:oMath>
        <m:r>
          <w:rPr>
            <w:rFonts w:ascii="Cambria Math" w:hAnsi="Cambria Math" w:cs="Arial"/>
            <w:color w:val="000000" w:themeColor="text1"/>
          </w:rPr>
          <m:t>i</m:t>
        </m:r>
      </m:oMath>
      <w:r w:rsidRPr="00B13CBE">
        <w:rPr>
          <w:rFonts w:ascii="Arial" w:hAnsi="Arial" w:cs="Arial"/>
          <w:color w:val="000000" w:themeColor="text1"/>
        </w:rPr>
        <w:t xml:space="preserve"> at time </w:t>
      </w:r>
      <m:oMath>
        <m:r>
          <w:rPr>
            <w:rFonts w:ascii="Cambria Math" w:hAnsi="Cambria Math" w:cs="Arial"/>
            <w:color w:val="000000" w:themeColor="text1"/>
          </w:rPr>
          <m:t>t</m:t>
        </m:r>
      </m:oMath>
      <w:r w:rsidRPr="00B13CBE">
        <w:rPr>
          <w:rFonts w:ascii="Arial" w:hAnsi="Arial" w:cs="Arial"/>
          <w:color w:val="000000" w:themeColor="text1"/>
        </w:rPr>
        <w:t xml:space="preserve"> and </w:t>
      </w:r>
      <m:oMath>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it</m:t>
            </m:r>
          </m:sub>
        </m:sSub>
      </m:oMath>
      <w:r w:rsidRPr="00B13CBE">
        <w:rPr>
          <w:rFonts w:ascii="Arial" w:hAnsi="Arial" w:cs="Arial"/>
          <w:color w:val="000000" w:themeColor="text1"/>
        </w:rPr>
        <w:t xml:space="preserve"> was the log return of index </w:t>
      </w:r>
      <m:oMath>
        <m:r>
          <w:rPr>
            <w:rFonts w:ascii="Cambria Math" w:hAnsi="Cambria Math" w:cs="Arial"/>
            <w:color w:val="000000" w:themeColor="text1"/>
          </w:rPr>
          <m:t>i</m:t>
        </m:r>
      </m:oMath>
      <w:r w:rsidRPr="00B13CBE">
        <w:rPr>
          <w:rFonts w:ascii="Arial" w:hAnsi="Arial" w:cs="Arial"/>
          <w:color w:val="000000" w:themeColor="text1"/>
        </w:rPr>
        <w:t xml:space="preserve"> at time </w:t>
      </w:r>
      <m:oMath>
        <m:r>
          <w:rPr>
            <w:rFonts w:ascii="Cambria Math" w:hAnsi="Cambria Math" w:cs="Arial"/>
            <w:color w:val="000000" w:themeColor="text1"/>
          </w:rPr>
          <m:t>t</m:t>
        </m:r>
      </m:oMath>
      <w:r w:rsidRPr="00B13CBE">
        <w:rPr>
          <w:rFonts w:ascii="Arial" w:hAnsi="Arial" w:cs="Arial"/>
          <w:color w:val="000000" w:themeColor="text1"/>
        </w:rPr>
        <w:t>. The resulting data, therefore, had 12 log return series with 1189 observations.</w:t>
      </w:r>
    </w:p>
    <w:p w14:paraId="401FBD7D" w14:textId="77777777" w:rsidR="000C32D2" w:rsidRPr="00B13CBE" w:rsidRDefault="00C4772C" w:rsidP="00781A3B">
      <w:pPr>
        <w:pStyle w:val="Heading2"/>
        <w:spacing w:before="0"/>
      </w:pPr>
      <w:bookmarkStart w:id="19" w:name="_Toc82603361"/>
      <w:r w:rsidRPr="00B13CBE">
        <w:lastRenderedPageBreak/>
        <w:t>Summary Statistics</w:t>
      </w:r>
      <w:bookmarkEnd w:id="19"/>
    </w:p>
    <w:p w14:paraId="1CB548D1" w14:textId="77777777" w:rsidR="001F6509"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 Table </w:t>
      </w:r>
      <w:r w:rsidR="008E428F" w:rsidRPr="00B13CBE">
        <w:rPr>
          <w:rFonts w:ascii="Arial" w:hAnsi="Arial" w:cs="Arial"/>
          <w:color w:val="000000" w:themeColor="text1"/>
        </w:rPr>
        <w:t>1</w:t>
      </w:r>
      <w:r w:rsidRPr="00B13CBE">
        <w:rPr>
          <w:rFonts w:ascii="Arial" w:hAnsi="Arial" w:cs="Arial"/>
          <w:color w:val="000000" w:themeColor="text1"/>
        </w:rPr>
        <w:t xml:space="preserve"> shows some descriptive statistics of the log return series for the 12 indices.</w:t>
      </w:r>
    </w:p>
    <w:p w14:paraId="71B73CAF" w14:textId="77777777" w:rsidR="00FF0ED9" w:rsidRPr="00B13CBE" w:rsidRDefault="00C4772C" w:rsidP="00781A3B">
      <w:pPr>
        <w:pStyle w:val="Caption"/>
        <w:keepNext/>
        <w:spacing w:line="360" w:lineRule="auto"/>
        <w:jc w:val="both"/>
        <w:rPr>
          <w:rFonts w:ascii="Arial" w:hAnsi="Arial" w:cs="Arial"/>
          <w:color w:val="000000" w:themeColor="text1"/>
        </w:rPr>
      </w:pPr>
      <w:bookmarkStart w:id="20" w:name="_Toc82603412"/>
      <w:r w:rsidRPr="00B13CBE">
        <w:rPr>
          <w:rFonts w:ascii="Arial" w:hAnsi="Arial" w:cs="Arial"/>
          <w:color w:val="000000" w:themeColor="text1"/>
        </w:rPr>
        <w:t xml:space="preserve">Table </w:t>
      </w:r>
      <w:r w:rsidRPr="00B13CBE">
        <w:rPr>
          <w:rFonts w:ascii="Arial" w:hAnsi="Arial" w:cs="Arial"/>
          <w:color w:val="000000" w:themeColor="text1"/>
        </w:rPr>
        <w:fldChar w:fldCharType="begin"/>
      </w:r>
      <w:r w:rsidRPr="00B13CBE">
        <w:rPr>
          <w:rFonts w:ascii="Arial" w:hAnsi="Arial" w:cs="Arial"/>
          <w:color w:val="000000" w:themeColor="text1"/>
        </w:rPr>
        <w:instrText xml:space="preserve"> SEQ Table \* ARABIC </w:instrText>
      </w:r>
      <w:r w:rsidRPr="00B13CBE">
        <w:rPr>
          <w:rFonts w:ascii="Arial" w:hAnsi="Arial" w:cs="Arial"/>
          <w:color w:val="000000" w:themeColor="text1"/>
        </w:rPr>
        <w:fldChar w:fldCharType="separate"/>
      </w:r>
      <w:r w:rsidR="00D04AA9" w:rsidRPr="00B13CBE">
        <w:rPr>
          <w:rFonts w:ascii="Arial" w:hAnsi="Arial" w:cs="Arial"/>
          <w:noProof/>
          <w:color w:val="000000" w:themeColor="text1"/>
        </w:rPr>
        <w:t>1</w:t>
      </w:r>
      <w:r w:rsidRPr="00B13CBE">
        <w:rPr>
          <w:rFonts w:ascii="Arial" w:hAnsi="Arial" w:cs="Arial"/>
          <w:color w:val="000000" w:themeColor="text1"/>
        </w:rPr>
        <w:fldChar w:fldCharType="end"/>
      </w:r>
      <w:r w:rsidRPr="00B13CBE">
        <w:rPr>
          <w:rFonts w:ascii="Arial" w:hAnsi="Arial" w:cs="Arial"/>
          <w:color w:val="000000" w:themeColor="text1"/>
        </w:rPr>
        <w:t>: Summary statistics of the 12 indices used in this study</w:t>
      </w:r>
      <w:bookmarkEnd w:id="20"/>
    </w:p>
    <w:tbl>
      <w:tblPr>
        <w:tblStyle w:val="Table"/>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1575"/>
        <w:gridCol w:w="914"/>
        <w:gridCol w:w="1067"/>
        <w:gridCol w:w="1241"/>
        <w:gridCol w:w="1264"/>
        <w:gridCol w:w="1657"/>
        <w:gridCol w:w="922"/>
      </w:tblGrid>
      <w:tr w:rsidR="004379AD" w:rsidRPr="00B13CBE" w14:paraId="228CD945" w14:textId="77777777" w:rsidTr="00581A28">
        <w:trPr>
          <w:cnfStyle w:val="100000000000" w:firstRow="1" w:lastRow="0" w:firstColumn="0" w:lastColumn="0" w:oddVBand="0" w:evenVBand="0" w:oddHBand="0" w:evenHBand="0" w:firstRowFirstColumn="0" w:firstRowLastColumn="0" w:lastRowFirstColumn="0" w:lastRowLastColumn="0"/>
          <w:trHeight w:val="836"/>
        </w:trPr>
        <w:tc>
          <w:tcPr>
            <w:tcW w:w="0" w:type="auto"/>
          </w:tcPr>
          <w:p w14:paraId="1D9FFFB6" w14:textId="77777777" w:rsidR="001F6509" w:rsidRPr="00B13CBE" w:rsidRDefault="00C4772C" w:rsidP="00781A3B">
            <w:pPr>
              <w:pStyle w:val="Compact"/>
              <w:spacing w:line="360" w:lineRule="auto"/>
              <w:jc w:val="both"/>
              <w:rPr>
                <w:rFonts w:ascii="Arial" w:hAnsi="Arial" w:cs="Arial"/>
                <w:b/>
                <w:bCs/>
                <w:color w:val="000000" w:themeColor="text1"/>
                <w:sz w:val="20"/>
                <w:szCs w:val="20"/>
              </w:rPr>
            </w:pPr>
            <w:r w:rsidRPr="00B13CBE">
              <w:rPr>
                <w:rFonts w:ascii="Arial" w:hAnsi="Arial" w:cs="Arial"/>
                <w:b/>
                <w:bCs/>
                <w:color w:val="000000" w:themeColor="text1"/>
                <w:sz w:val="20"/>
                <w:szCs w:val="20"/>
              </w:rPr>
              <w:t>Index</w:t>
            </w:r>
          </w:p>
        </w:tc>
        <w:tc>
          <w:tcPr>
            <w:tcW w:w="0" w:type="auto"/>
          </w:tcPr>
          <w:p w14:paraId="1E219F9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S&amp;P 500</w:t>
            </w:r>
          </w:p>
        </w:tc>
        <w:tc>
          <w:tcPr>
            <w:tcW w:w="0" w:type="auto"/>
          </w:tcPr>
          <w:p w14:paraId="0AF43FB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Dow Jones</w:t>
            </w:r>
          </w:p>
        </w:tc>
        <w:tc>
          <w:tcPr>
            <w:tcW w:w="0" w:type="auto"/>
          </w:tcPr>
          <w:p w14:paraId="573D43D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NASDAQ</w:t>
            </w:r>
          </w:p>
        </w:tc>
        <w:tc>
          <w:tcPr>
            <w:tcW w:w="0" w:type="auto"/>
          </w:tcPr>
          <w:p w14:paraId="646092A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Russel 2000</w:t>
            </w:r>
          </w:p>
        </w:tc>
        <w:tc>
          <w:tcPr>
            <w:tcW w:w="0" w:type="auto"/>
          </w:tcPr>
          <w:p w14:paraId="67E7F58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DAX Performance</w:t>
            </w:r>
          </w:p>
        </w:tc>
        <w:tc>
          <w:tcPr>
            <w:tcW w:w="0" w:type="auto"/>
          </w:tcPr>
          <w:p w14:paraId="48C401F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CAC 40</w:t>
            </w:r>
          </w:p>
        </w:tc>
      </w:tr>
      <w:tr w:rsidR="004379AD" w:rsidRPr="00B13CBE" w14:paraId="184A5240" w14:textId="77777777" w:rsidTr="00581A28">
        <w:trPr>
          <w:trHeight w:val="448"/>
        </w:trPr>
        <w:tc>
          <w:tcPr>
            <w:tcW w:w="0" w:type="auto"/>
          </w:tcPr>
          <w:p w14:paraId="1077F2C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Mean</w:t>
            </w:r>
          </w:p>
        </w:tc>
        <w:tc>
          <w:tcPr>
            <w:tcW w:w="0" w:type="auto"/>
          </w:tcPr>
          <w:p w14:paraId="64AA67EE"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7861FDE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6256B56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337AF216"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0EA6078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127B1E6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r>
      <w:tr w:rsidR="004379AD" w:rsidRPr="00B13CBE" w14:paraId="29FB6098" w14:textId="77777777" w:rsidTr="00581A28">
        <w:trPr>
          <w:trHeight w:val="448"/>
        </w:trPr>
        <w:tc>
          <w:tcPr>
            <w:tcW w:w="0" w:type="auto"/>
          </w:tcPr>
          <w:p w14:paraId="76422C40" w14:textId="77777777" w:rsidR="000C32D2" w:rsidRPr="00B13CBE" w:rsidRDefault="00C4772C" w:rsidP="00781A3B">
            <w:pPr>
              <w:pStyle w:val="Compact"/>
              <w:spacing w:line="360" w:lineRule="auto"/>
              <w:jc w:val="both"/>
              <w:rPr>
                <w:rFonts w:ascii="Arial" w:hAnsi="Arial" w:cs="Arial"/>
                <w:b/>
                <w:bCs/>
                <w:color w:val="000000" w:themeColor="text1"/>
                <w:sz w:val="20"/>
                <w:szCs w:val="20"/>
              </w:rPr>
            </w:pPr>
            <w:r w:rsidRPr="00B13CBE">
              <w:rPr>
                <w:rFonts w:ascii="Arial" w:hAnsi="Arial" w:cs="Arial"/>
                <w:b/>
                <w:bCs/>
                <w:color w:val="000000" w:themeColor="text1"/>
                <w:sz w:val="20"/>
                <w:szCs w:val="20"/>
              </w:rPr>
              <w:t>Standard Deviation</w:t>
            </w:r>
          </w:p>
        </w:tc>
        <w:tc>
          <w:tcPr>
            <w:tcW w:w="0" w:type="auto"/>
          </w:tcPr>
          <w:p w14:paraId="63A88CA2"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0.013</w:t>
            </w:r>
          </w:p>
        </w:tc>
        <w:tc>
          <w:tcPr>
            <w:tcW w:w="0" w:type="auto"/>
          </w:tcPr>
          <w:p w14:paraId="54280695"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0.013</w:t>
            </w:r>
          </w:p>
        </w:tc>
        <w:tc>
          <w:tcPr>
            <w:tcW w:w="0" w:type="auto"/>
          </w:tcPr>
          <w:p w14:paraId="1E9152E7"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0.014</w:t>
            </w:r>
          </w:p>
        </w:tc>
        <w:tc>
          <w:tcPr>
            <w:tcW w:w="0" w:type="auto"/>
          </w:tcPr>
          <w:p w14:paraId="48263A6A"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0.016</w:t>
            </w:r>
          </w:p>
        </w:tc>
        <w:tc>
          <w:tcPr>
            <w:tcW w:w="0" w:type="auto"/>
          </w:tcPr>
          <w:p w14:paraId="7D9BCDD2"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0.014</w:t>
            </w:r>
          </w:p>
        </w:tc>
        <w:tc>
          <w:tcPr>
            <w:tcW w:w="0" w:type="auto"/>
          </w:tcPr>
          <w:p w14:paraId="5D33DEE8"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0.014</w:t>
            </w:r>
          </w:p>
        </w:tc>
      </w:tr>
      <w:tr w:rsidR="004379AD" w:rsidRPr="00B13CBE" w14:paraId="73832F4C" w14:textId="77777777" w:rsidTr="00581A28">
        <w:trPr>
          <w:trHeight w:val="448"/>
        </w:trPr>
        <w:tc>
          <w:tcPr>
            <w:tcW w:w="0" w:type="auto"/>
          </w:tcPr>
          <w:p w14:paraId="2BB579C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Min</w:t>
            </w:r>
          </w:p>
        </w:tc>
        <w:tc>
          <w:tcPr>
            <w:tcW w:w="0" w:type="auto"/>
          </w:tcPr>
          <w:p w14:paraId="6C0E1AAA"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-0.100</w:t>
            </w:r>
          </w:p>
        </w:tc>
        <w:tc>
          <w:tcPr>
            <w:tcW w:w="0" w:type="auto"/>
          </w:tcPr>
          <w:p w14:paraId="7421D541"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-0.105</w:t>
            </w:r>
          </w:p>
        </w:tc>
        <w:tc>
          <w:tcPr>
            <w:tcW w:w="0" w:type="auto"/>
          </w:tcPr>
          <w:p w14:paraId="50FF153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-0.099</w:t>
            </w:r>
          </w:p>
        </w:tc>
        <w:tc>
          <w:tcPr>
            <w:tcW w:w="0" w:type="auto"/>
          </w:tcPr>
          <w:p w14:paraId="64DE1A3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-0.119</w:t>
            </w:r>
          </w:p>
        </w:tc>
        <w:tc>
          <w:tcPr>
            <w:tcW w:w="0" w:type="auto"/>
          </w:tcPr>
          <w:p w14:paraId="37A0F9D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-0.131</w:t>
            </w:r>
          </w:p>
        </w:tc>
        <w:tc>
          <w:tcPr>
            <w:tcW w:w="0" w:type="auto"/>
          </w:tcPr>
          <w:p w14:paraId="359D6D9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-0.131</w:t>
            </w:r>
          </w:p>
        </w:tc>
      </w:tr>
      <w:tr w:rsidR="004379AD" w:rsidRPr="00B13CBE" w14:paraId="6AEFB04E" w14:textId="77777777" w:rsidTr="00581A28">
        <w:trPr>
          <w:trHeight w:val="448"/>
        </w:trPr>
        <w:tc>
          <w:tcPr>
            <w:tcW w:w="0" w:type="auto"/>
          </w:tcPr>
          <w:p w14:paraId="0ABA5BD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Max</w:t>
            </w:r>
          </w:p>
        </w:tc>
        <w:tc>
          <w:tcPr>
            <w:tcW w:w="0" w:type="auto"/>
          </w:tcPr>
          <w:p w14:paraId="2A6209DE"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0.090</w:t>
            </w:r>
          </w:p>
        </w:tc>
        <w:tc>
          <w:tcPr>
            <w:tcW w:w="0" w:type="auto"/>
          </w:tcPr>
          <w:p w14:paraId="0E215D6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0.108</w:t>
            </w:r>
          </w:p>
        </w:tc>
        <w:tc>
          <w:tcPr>
            <w:tcW w:w="0" w:type="auto"/>
          </w:tcPr>
          <w:p w14:paraId="3109AE8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0.089</w:t>
            </w:r>
          </w:p>
        </w:tc>
        <w:tc>
          <w:tcPr>
            <w:tcW w:w="0" w:type="auto"/>
          </w:tcPr>
          <w:p w14:paraId="5B7A71E0"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0.090</w:t>
            </w:r>
          </w:p>
        </w:tc>
        <w:tc>
          <w:tcPr>
            <w:tcW w:w="0" w:type="auto"/>
          </w:tcPr>
          <w:p w14:paraId="036F749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0.104</w:t>
            </w:r>
          </w:p>
        </w:tc>
        <w:tc>
          <w:tcPr>
            <w:tcW w:w="0" w:type="auto"/>
          </w:tcPr>
          <w:p w14:paraId="65D9ADD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0.081</w:t>
            </w:r>
          </w:p>
        </w:tc>
      </w:tr>
      <w:tr w:rsidR="004379AD" w:rsidRPr="00B13CBE" w14:paraId="5494675F" w14:textId="77777777" w:rsidTr="00581A28">
        <w:trPr>
          <w:trHeight w:val="456"/>
        </w:trPr>
        <w:tc>
          <w:tcPr>
            <w:tcW w:w="0" w:type="auto"/>
          </w:tcPr>
          <w:p w14:paraId="084B82F2"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Median</w:t>
            </w:r>
          </w:p>
        </w:tc>
        <w:tc>
          <w:tcPr>
            <w:tcW w:w="0" w:type="auto"/>
          </w:tcPr>
          <w:p w14:paraId="53EB32E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010C186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48116E3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0.002</w:t>
            </w:r>
          </w:p>
        </w:tc>
        <w:tc>
          <w:tcPr>
            <w:tcW w:w="0" w:type="auto"/>
          </w:tcPr>
          <w:p w14:paraId="5FBD969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0747BC30"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660B24E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r>
      <w:tr w:rsidR="004379AD" w:rsidRPr="00B13CBE" w14:paraId="0F14C4C3" w14:textId="77777777" w:rsidTr="00581A28">
        <w:trPr>
          <w:trHeight w:val="448"/>
        </w:trPr>
        <w:tc>
          <w:tcPr>
            <w:tcW w:w="0" w:type="auto"/>
          </w:tcPr>
          <w:p w14:paraId="5C4E881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Skewness</w:t>
            </w:r>
          </w:p>
        </w:tc>
        <w:tc>
          <w:tcPr>
            <w:tcW w:w="0" w:type="auto"/>
          </w:tcPr>
          <w:p w14:paraId="4BC7DFBA"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-0.532</w:t>
            </w:r>
          </w:p>
        </w:tc>
        <w:tc>
          <w:tcPr>
            <w:tcW w:w="0" w:type="auto"/>
          </w:tcPr>
          <w:p w14:paraId="4DDEC8B2"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-0.481</w:t>
            </w:r>
          </w:p>
        </w:tc>
        <w:tc>
          <w:tcPr>
            <w:tcW w:w="0" w:type="auto"/>
          </w:tcPr>
          <w:p w14:paraId="76C6449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-0.493</w:t>
            </w:r>
          </w:p>
        </w:tc>
        <w:tc>
          <w:tcPr>
            <w:tcW w:w="0" w:type="auto"/>
          </w:tcPr>
          <w:p w14:paraId="2F42D66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-0.841</w:t>
            </w:r>
          </w:p>
        </w:tc>
        <w:tc>
          <w:tcPr>
            <w:tcW w:w="0" w:type="auto"/>
          </w:tcPr>
          <w:p w14:paraId="322752F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-0.681</w:t>
            </w:r>
          </w:p>
        </w:tc>
        <w:tc>
          <w:tcPr>
            <w:tcW w:w="0" w:type="auto"/>
          </w:tcPr>
          <w:p w14:paraId="29A737C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-0.927</w:t>
            </w:r>
          </w:p>
        </w:tc>
      </w:tr>
      <w:tr w:rsidR="004379AD" w:rsidRPr="00B13CBE" w14:paraId="01D7B656" w14:textId="77777777" w:rsidTr="00581A28">
        <w:trPr>
          <w:trHeight w:val="456"/>
        </w:trPr>
        <w:tc>
          <w:tcPr>
            <w:tcW w:w="0" w:type="auto"/>
          </w:tcPr>
          <w:p w14:paraId="2ACD280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Kurtosis</w:t>
            </w:r>
          </w:p>
        </w:tc>
        <w:tc>
          <w:tcPr>
            <w:tcW w:w="0" w:type="auto"/>
          </w:tcPr>
          <w:p w14:paraId="1B85A7C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13.528</w:t>
            </w:r>
          </w:p>
        </w:tc>
        <w:tc>
          <w:tcPr>
            <w:tcW w:w="0" w:type="auto"/>
          </w:tcPr>
          <w:p w14:paraId="71825435"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16.296</w:t>
            </w:r>
          </w:p>
        </w:tc>
        <w:tc>
          <w:tcPr>
            <w:tcW w:w="0" w:type="auto"/>
          </w:tcPr>
          <w:p w14:paraId="2FE56A12"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7.689</w:t>
            </w:r>
          </w:p>
        </w:tc>
        <w:tc>
          <w:tcPr>
            <w:tcW w:w="0" w:type="auto"/>
          </w:tcPr>
          <w:p w14:paraId="0F22EEE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10.842</w:t>
            </w:r>
          </w:p>
        </w:tc>
        <w:tc>
          <w:tcPr>
            <w:tcW w:w="0" w:type="auto"/>
          </w:tcPr>
          <w:p w14:paraId="4A34273A"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11.016</w:t>
            </w:r>
          </w:p>
        </w:tc>
        <w:tc>
          <w:tcPr>
            <w:tcW w:w="0" w:type="auto"/>
          </w:tcPr>
          <w:p w14:paraId="4DD1B9F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11.383</w:t>
            </w:r>
          </w:p>
        </w:tc>
      </w:tr>
      <w:tr w:rsidR="004379AD" w:rsidRPr="00B13CBE" w14:paraId="3A4E69C0" w14:textId="77777777" w:rsidTr="00581A28">
        <w:trPr>
          <w:trHeight w:val="836"/>
        </w:trPr>
        <w:tc>
          <w:tcPr>
            <w:tcW w:w="0" w:type="auto"/>
          </w:tcPr>
          <w:p w14:paraId="4B7ABBE9" w14:textId="77777777" w:rsidR="000C32D2" w:rsidRPr="00B13CBE" w:rsidRDefault="00C4772C" w:rsidP="00781A3B">
            <w:pPr>
              <w:pStyle w:val="Compact"/>
              <w:spacing w:line="360" w:lineRule="auto"/>
              <w:jc w:val="both"/>
              <w:rPr>
                <w:rFonts w:ascii="Arial" w:hAnsi="Arial" w:cs="Arial"/>
                <w:b/>
                <w:bCs/>
                <w:color w:val="000000" w:themeColor="text1"/>
                <w:sz w:val="20"/>
                <w:szCs w:val="20"/>
              </w:rPr>
            </w:pPr>
            <w:r w:rsidRPr="00B13CBE">
              <w:rPr>
                <w:rFonts w:ascii="Arial" w:hAnsi="Arial" w:cs="Arial"/>
                <w:b/>
                <w:bCs/>
                <w:color w:val="000000" w:themeColor="text1"/>
                <w:sz w:val="20"/>
                <w:szCs w:val="20"/>
              </w:rPr>
              <w:t>Index</w:t>
            </w:r>
          </w:p>
        </w:tc>
        <w:tc>
          <w:tcPr>
            <w:tcW w:w="0" w:type="auto"/>
          </w:tcPr>
          <w:p w14:paraId="3E87BC1A"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FTSE</w:t>
            </w:r>
          </w:p>
        </w:tc>
        <w:tc>
          <w:tcPr>
            <w:tcW w:w="0" w:type="auto"/>
          </w:tcPr>
          <w:p w14:paraId="784815D9"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NIKKEI</w:t>
            </w:r>
          </w:p>
        </w:tc>
        <w:tc>
          <w:tcPr>
            <w:tcW w:w="0" w:type="auto"/>
          </w:tcPr>
          <w:p w14:paraId="007B0EF6"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HANG SENG</w:t>
            </w:r>
          </w:p>
        </w:tc>
        <w:tc>
          <w:tcPr>
            <w:tcW w:w="0" w:type="auto"/>
          </w:tcPr>
          <w:p w14:paraId="0BF9A0DA"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SHENZEN</w:t>
            </w:r>
          </w:p>
        </w:tc>
        <w:tc>
          <w:tcPr>
            <w:tcW w:w="0" w:type="auto"/>
          </w:tcPr>
          <w:p w14:paraId="029C887E"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IPC Mexico</w:t>
            </w:r>
          </w:p>
        </w:tc>
        <w:tc>
          <w:tcPr>
            <w:tcW w:w="0" w:type="auto"/>
          </w:tcPr>
          <w:p w14:paraId="4A2CF8B7"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Jakarta</w:t>
            </w:r>
          </w:p>
        </w:tc>
      </w:tr>
      <w:tr w:rsidR="004379AD" w:rsidRPr="00B13CBE" w14:paraId="23D338E9" w14:textId="77777777" w:rsidTr="00581A28">
        <w:trPr>
          <w:trHeight w:val="448"/>
        </w:trPr>
        <w:tc>
          <w:tcPr>
            <w:tcW w:w="0" w:type="auto"/>
          </w:tcPr>
          <w:p w14:paraId="6D3BB4B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Mean</w:t>
            </w:r>
          </w:p>
        </w:tc>
        <w:tc>
          <w:tcPr>
            <w:tcW w:w="0" w:type="auto"/>
          </w:tcPr>
          <w:p w14:paraId="269041F2"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073EB1C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0B365F4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3FF3088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699B1109"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7CE978F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r>
      <w:tr w:rsidR="004379AD" w:rsidRPr="00B13CBE" w14:paraId="574FEFD8" w14:textId="77777777" w:rsidTr="00581A28">
        <w:trPr>
          <w:trHeight w:val="448"/>
        </w:trPr>
        <w:tc>
          <w:tcPr>
            <w:tcW w:w="0" w:type="auto"/>
          </w:tcPr>
          <w:p w14:paraId="793B02B4" w14:textId="77777777" w:rsidR="000C32D2" w:rsidRPr="00B13CBE" w:rsidRDefault="00C4772C" w:rsidP="00781A3B">
            <w:pPr>
              <w:pStyle w:val="Compact"/>
              <w:spacing w:line="360" w:lineRule="auto"/>
              <w:jc w:val="both"/>
              <w:rPr>
                <w:rFonts w:ascii="Arial" w:hAnsi="Arial" w:cs="Arial"/>
                <w:b/>
                <w:bCs/>
                <w:color w:val="000000" w:themeColor="text1"/>
                <w:sz w:val="20"/>
                <w:szCs w:val="20"/>
              </w:rPr>
            </w:pPr>
            <w:r w:rsidRPr="00B13CBE">
              <w:rPr>
                <w:rFonts w:ascii="Arial" w:hAnsi="Arial" w:cs="Arial"/>
                <w:b/>
                <w:bCs/>
                <w:color w:val="000000" w:themeColor="text1"/>
                <w:sz w:val="20"/>
                <w:szCs w:val="20"/>
              </w:rPr>
              <w:t>Standard Deviation</w:t>
            </w:r>
          </w:p>
        </w:tc>
        <w:tc>
          <w:tcPr>
            <w:tcW w:w="0" w:type="auto"/>
          </w:tcPr>
          <w:p w14:paraId="67E3BF34"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0.012</w:t>
            </w:r>
          </w:p>
        </w:tc>
        <w:tc>
          <w:tcPr>
            <w:tcW w:w="0" w:type="auto"/>
          </w:tcPr>
          <w:p w14:paraId="272B2BFF"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0.014</w:t>
            </w:r>
          </w:p>
        </w:tc>
        <w:tc>
          <w:tcPr>
            <w:tcW w:w="0" w:type="auto"/>
          </w:tcPr>
          <w:p w14:paraId="3E43A403"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0.013</w:t>
            </w:r>
          </w:p>
        </w:tc>
        <w:tc>
          <w:tcPr>
            <w:tcW w:w="0" w:type="auto"/>
          </w:tcPr>
          <w:p w14:paraId="43F7E0C7"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0.020</w:t>
            </w:r>
          </w:p>
        </w:tc>
        <w:tc>
          <w:tcPr>
            <w:tcW w:w="0" w:type="auto"/>
          </w:tcPr>
          <w:p w14:paraId="17771C65"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0.011</w:t>
            </w:r>
          </w:p>
        </w:tc>
        <w:tc>
          <w:tcPr>
            <w:tcW w:w="0" w:type="auto"/>
          </w:tcPr>
          <w:p w14:paraId="4F8909F6" w14:textId="77777777" w:rsidR="000C32D2"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0.015</w:t>
            </w:r>
          </w:p>
        </w:tc>
      </w:tr>
      <w:tr w:rsidR="004379AD" w:rsidRPr="00B13CBE" w14:paraId="39B1FD1E" w14:textId="77777777" w:rsidTr="00581A28">
        <w:trPr>
          <w:trHeight w:val="448"/>
        </w:trPr>
        <w:tc>
          <w:tcPr>
            <w:tcW w:w="0" w:type="auto"/>
          </w:tcPr>
          <w:p w14:paraId="30B1044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Min</w:t>
            </w:r>
          </w:p>
        </w:tc>
        <w:tc>
          <w:tcPr>
            <w:tcW w:w="0" w:type="auto"/>
          </w:tcPr>
          <w:p w14:paraId="11FD738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-0.115</w:t>
            </w:r>
          </w:p>
        </w:tc>
        <w:tc>
          <w:tcPr>
            <w:tcW w:w="0" w:type="auto"/>
          </w:tcPr>
          <w:p w14:paraId="4345DF2E"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-0.083</w:t>
            </w:r>
          </w:p>
        </w:tc>
        <w:tc>
          <w:tcPr>
            <w:tcW w:w="0" w:type="auto"/>
          </w:tcPr>
          <w:p w14:paraId="6A8FB915"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-0.064</w:t>
            </w:r>
          </w:p>
        </w:tc>
        <w:tc>
          <w:tcPr>
            <w:tcW w:w="0" w:type="auto"/>
          </w:tcPr>
          <w:p w14:paraId="26BC3E8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-0.104</w:t>
            </w:r>
          </w:p>
        </w:tc>
        <w:tc>
          <w:tcPr>
            <w:tcW w:w="0" w:type="auto"/>
          </w:tcPr>
          <w:p w14:paraId="1EB6DFF0"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-0.066</w:t>
            </w:r>
          </w:p>
        </w:tc>
        <w:tc>
          <w:tcPr>
            <w:tcW w:w="0" w:type="auto"/>
          </w:tcPr>
          <w:p w14:paraId="68B9C470"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-0.129</w:t>
            </w:r>
          </w:p>
        </w:tc>
      </w:tr>
      <w:tr w:rsidR="004379AD" w:rsidRPr="00B13CBE" w14:paraId="3B56B894" w14:textId="77777777" w:rsidTr="00581A28">
        <w:trPr>
          <w:trHeight w:val="448"/>
        </w:trPr>
        <w:tc>
          <w:tcPr>
            <w:tcW w:w="0" w:type="auto"/>
          </w:tcPr>
          <w:p w14:paraId="7C48281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Max</w:t>
            </w:r>
          </w:p>
        </w:tc>
        <w:tc>
          <w:tcPr>
            <w:tcW w:w="0" w:type="auto"/>
          </w:tcPr>
          <w:p w14:paraId="7737AD8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0.087</w:t>
            </w:r>
          </w:p>
        </w:tc>
        <w:tc>
          <w:tcPr>
            <w:tcW w:w="0" w:type="auto"/>
          </w:tcPr>
          <w:p w14:paraId="2E0A3CAA"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0.074</w:t>
            </w:r>
          </w:p>
        </w:tc>
        <w:tc>
          <w:tcPr>
            <w:tcW w:w="0" w:type="auto"/>
          </w:tcPr>
          <w:p w14:paraId="59C60705"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0.070</w:t>
            </w:r>
          </w:p>
        </w:tc>
        <w:tc>
          <w:tcPr>
            <w:tcW w:w="0" w:type="auto"/>
          </w:tcPr>
          <w:p w14:paraId="1D082CA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0.101</w:t>
            </w:r>
          </w:p>
        </w:tc>
        <w:tc>
          <w:tcPr>
            <w:tcW w:w="0" w:type="auto"/>
          </w:tcPr>
          <w:p w14:paraId="5DA6A4D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0.049</w:t>
            </w:r>
          </w:p>
        </w:tc>
        <w:tc>
          <w:tcPr>
            <w:tcW w:w="0" w:type="auto"/>
          </w:tcPr>
          <w:p w14:paraId="5D0F9F1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0.121</w:t>
            </w:r>
          </w:p>
        </w:tc>
      </w:tr>
      <w:tr w:rsidR="004379AD" w:rsidRPr="00B13CBE" w14:paraId="0ACE24C9" w14:textId="77777777" w:rsidTr="00581A28">
        <w:trPr>
          <w:trHeight w:val="456"/>
        </w:trPr>
        <w:tc>
          <w:tcPr>
            <w:tcW w:w="0" w:type="auto"/>
          </w:tcPr>
          <w:p w14:paraId="08F3D85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Median</w:t>
            </w:r>
          </w:p>
        </w:tc>
        <w:tc>
          <w:tcPr>
            <w:tcW w:w="0" w:type="auto"/>
          </w:tcPr>
          <w:p w14:paraId="0DBF3B8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7C5B6D2D"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5A784DF5"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54539E86"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c>
          <w:tcPr>
            <w:tcW w:w="0" w:type="auto"/>
          </w:tcPr>
          <w:p w14:paraId="26F5517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0.000</w:t>
            </w:r>
          </w:p>
        </w:tc>
        <w:tc>
          <w:tcPr>
            <w:tcW w:w="0" w:type="auto"/>
          </w:tcPr>
          <w:p w14:paraId="2C42694B"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0.001</w:t>
            </w:r>
          </w:p>
        </w:tc>
      </w:tr>
      <w:tr w:rsidR="004379AD" w:rsidRPr="00B13CBE" w14:paraId="1F825D07" w14:textId="77777777" w:rsidTr="00581A28">
        <w:trPr>
          <w:trHeight w:val="448"/>
        </w:trPr>
        <w:tc>
          <w:tcPr>
            <w:tcW w:w="0" w:type="auto"/>
          </w:tcPr>
          <w:p w14:paraId="2165F1E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lastRenderedPageBreak/>
              <w:t>Skewness</w:t>
            </w:r>
          </w:p>
        </w:tc>
        <w:tc>
          <w:tcPr>
            <w:tcW w:w="0" w:type="auto"/>
          </w:tcPr>
          <w:p w14:paraId="5EFD5426"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-0.774</w:t>
            </w:r>
          </w:p>
        </w:tc>
        <w:tc>
          <w:tcPr>
            <w:tcW w:w="0" w:type="auto"/>
          </w:tcPr>
          <w:p w14:paraId="379228F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-0.335</w:t>
            </w:r>
          </w:p>
        </w:tc>
        <w:tc>
          <w:tcPr>
            <w:tcW w:w="0" w:type="auto"/>
          </w:tcPr>
          <w:p w14:paraId="7D3A92E6"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-0.377</w:t>
            </w:r>
          </w:p>
        </w:tc>
        <w:tc>
          <w:tcPr>
            <w:tcW w:w="0" w:type="auto"/>
          </w:tcPr>
          <w:p w14:paraId="4B227578"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-0.828</w:t>
            </w:r>
          </w:p>
        </w:tc>
        <w:tc>
          <w:tcPr>
            <w:tcW w:w="0" w:type="auto"/>
          </w:tcPr>
          <w:p w14:paraId="04015670"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-0.591</w:t>
            </w:r>
          </w:p>
        </w:tc>
        <w:tc>
          <w:tcPr>
            <w:tcW w:w="0" w:type="auto"/>
          </w:tcPr>
          <w:p w14:paraId="425DB1FF"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-0.428</w:t>
            </w:r>
          </w:p>
        </w:tc>
      </w:tr>
      <w:tr w:rsidR="004379AD" w:rsidRPr="00B13CBE" w14:paraId="77E1E3DC" w14:textId="77777777" w:rsidTr="00581A28">
        <w:trPr>
          <w:trHeight w:val="52"/>
        </w:trPr>
        <w:tc>
          <w:tcPr>
            <w:tcW w:w="0" w:type="auto"/>
          </w:tcPr>
          <w:p w14:paraId="6737A3C4"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b/>
                <w:bCs/>
                <w:color w:val="000000" w:themeColor="text1"/>
                <w:sz w:val="20"/>
                <w:szCs w:val="20"/>
              </w:rPr>
              <w:t>Kurtosis</w:t>
            </w:r>
          </w:p>
        </w:tc>
        <w:tc>
          <w:tcPr>
            <w:tcW w:w="0" w:type="auto"/>
          </w:tcPr>
          <w:p w14:paraId="5C928851"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12.365</w:t>
            </w:r>
          </w:p>
        </w:tc>
        <w:tc>
          <w:tcPr>
            <w:tcW w:w="0" w:type="auto"/>
          </w:tcPr>
          <w:p w14:paraId="7C847DC3"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4.950</w:t>
            </w:r>
          </w:p>
        </w:tc>
        <w:tc>
          <w:tcPr>
            <w:tcW w:w="0" w:type="auto"/>
          </w:tcPr>
          <w:p w14:paraId="01D9A91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3.245</w:t>
            </w:r>
          </w:p>
        </w:tc>
        <w:tc>
          <w:tcPr>
            <w:tcW w:w="0" w:type="auto"/>
          </w:tcPr>
          <w:p w14:paraId="16388597"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4.315</w:t>
            </w:r>
          </w:p>
        </w:tc>
        <w:tc>
          <w:tcPr>
            <w:tcW w:w="0" w:type="auto"/>
          </w:tcPr>
          <w:p w14:paraId="1169A81C"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4.724</w:t>
            </w:r>
          </w:p>
        </w:tc>
        <w:tc>
          <w:tcPr>
            <w:tcW w:w="0" w:type="auto"/>
          </w:tcPr>
          <w:p w14:paraId="1D62F1C5" w14:textId="77777777" w:rsidR="001F6509" w:rsidRPr="00B13CBE" w:rsidRDefault="00C4772C" w:rsidP="00781A3B">
            <w:pPr>
              <w:pStyle w:val="Compact"/>
              <w:spacing w:line="360" w:lineRule="auto"/>
              <w:jc w:val="both"/>
              <w:rPr>
                <w:rFonts w:ascii="Arial" w:hAnsi="Arial" w:cs="Arial"/>
                <w:color w:val="000000" w:themeColor="text1"/>
                <w:sz w:val="20"/>
                <w:szCs w:val="20"/>
              </w:rPr>
            </w:pPr>
            <w:r w:rsidRPr="00B13CBE">
              <w:rPr>
                <w:rFonts w:ascii="Arial" w:hAnsi="Arial" w:cs="Arial"/>
                <w:color w:val="000000" w:themeColor="text1"/>
                <w:sz w:val="20"/>
                <w:szCs w:val="20"/>
              </w:rPr>
              <w:t>10.275</w:t>
            </w:r>
          </w:p>
        </w:tc>
      </w:tr>
    </w:tbl>
    <w:p w14:paraId="2FEF7233" w14:textId="77777777" w:rsidR="001F6509"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Table 1 shows that all the indices apart from the NASDAQ had </w:t>
      </w:r>
      <w:r w:rsidR="003C2CE1" w:rsidRPr="00B13CBE">
        <w:rPr>
          <w:rFonts w:ascii="Arial" w:hAnsi="Arial" w:cs="Arial"/>
          <w:color w:val="000000" w:themeColor="text1"/>
        </w:rPr>
        <w:t>a</w:t>
      </w:r>
      <w:r w:rsidRPr="00B13CBE">
        <w:rPr>
          <w:rFonts w:ascii="Arial" w:hAnsi="Arial" w:cs="Arial"/>
          <w:color w:val="000000" w:themeColor="text1"/>
        </w:rPr>
        <w:t xml:space="preserve">n average return of </w:t>
      </w:r>
      <w:r w:rsidR="003C2CE1" w:rsidRPr="00B13CBE">
        <w:rPr>
          <w:rFonts w:ascii="Arial" w:hAnsi="Arial" w:cs="Arial"/>
          <w:color w:val="000000" w:themeColor="text1"/>
        </w:rPr>
        <w:t xml:space="preserve">zero which is consistent with </w:t>
      </w:r>
      <w:r w:rsidR="000C32D2" w:rsidRPr="00B13CBE">
        <w:rPr>
          <w:rFonts w:ascii="Arial" w:hAnsi="Arial" w:cs="Arial"/>
          <w:color w:val="000000" w:themeColor="text1"/>
        </w:rPr>
        <w:t xml:space="preserve">findings of </w:t>
      </w:r>
      <w:r w:rsidR="003C2CE1" w:rsidRPr="00B13CBE">
        <w:rPr>
          <w:rFonts w:ascii="Arial" w:hAnsi="Arial" w:cs="Arial"/>
          <w:color w:val="000000" w:themeColor="text1"/>
        </w:rPr>
        <w:t xml:space="preserve">literature </w:t>
      </w:r>
      <w:r w:rsidR="000C32D2" w:rsidRPr="00B13CBE">
        <w:rPr>
          <w:rFonts w:ascii="Arial" w:hAnsi="Arial" w:cs="Arial"/>
          <w:color w:val="000000" w:themeColor="text1"/>
        </w:rPr>
        <w:t xml:space="preserve">such as </w:t>
      </w:r>
      <w:r w:rsidR="003C2CE1" w:rsidRPr="00B13CBE">
        <w:rPr>
          <w:rFonts w:ascii="Arial" w:hAnsi="Arial" w:cs="Arial"/>
          <w:color w:val="000000" w:themeColor="text1"/>
        </w:rPr>
        <w:fldChar w:fldCharType="begin"/>
      </w:r>
      <w:r w:rsidR="003C2CE1" w:rsidRPr="00B13CBE">
        <w:rPr>
          <w:rFonts w:ascii="Arial" w:hAnsi="Arial" w:cs="Arial"/>
          <w:color w:val="000000" w:themeColor="text1"/>
        </w:rPr>
        <w:instrText xml:space="preserve"> ADDIN ZOTERO_ITEM CSL_CITATION {"citationID":"QuuWYAtU","properties":{"formattedCitation":"(Hull, 2012)","plainCitation":"(Hull, 2012)","noteIndex":0},"citationItems":[{"id":888,"uris":["http://zotero.org/users/local/XXne8Mwc/items/M8DDBEYG"],"uri":["http://zotero.org/users/local/XXne8Mwc/items/M8DDBEYG"],"itemData":{"id":888,"type":"book","abstract":"The essential guide to managing financial institution risk, fully revised and updated The dangers inherent in the financial system make understanding risk management essential for anyone working in, or planning to work in, the financial sector. A practical resource for financial professionals and students alike, Risk Management and Financial Institutions, Third Edition explains all aspects of financial risk as well as the way financial institutions are regulated, to help readers better understand financial markets and potential dangers. Fully revised and updated, this new edition features coverage of Basel 2.5, Basel III and Dodd-Frank as well as expanded sections on counterparty credit risk, central clearing, and collateralization. In addition, end-of-chapter practice problems and a website featuring supplemental materials designed to provide a more comprehensive learning experience make this the ultimate learning resource. Written by acclaimed risk management expert, John Hull, Risk Management and Financial Institutions is the only book you need to understand—and respond to—financial risk.  The new edition of the financial risk management bestseller Describes the activities of different types of financial institutions, explains how they are regulated, and covers market risk, credit risk, operational risk, liquidity risk, and model risk Features new coverage of Basel III, Dodd-Frank, counterparty credit risk, central clearing, collateralization, and much more Provides readers with access to a supplementary website offering software and unique learning aids Author John Hull is one of the most respected authorities on financial risk management  A timely update to the definitive resource on risk in the financial system, Risk Management and Financial Institutions + Web Site, Third Edition is an indispensable resource from internationally renowned expert John Hull.","ISBN":"978-1-118-26903-9","language":"en","note":"Google-Books-ID: ixLD1gjPfoMC","number-of-pages":"674","publisher":"John Wiley &amp; Sons","source":"Google Books","title":"Risk Management and Financial Institutions, + Web Site","author":[{"family":"Hull","given":"John"}],"issued":{"date-parts":[["2012",5,8]]}}}],"schema":"https://github.com/citation-style-language/schema/raw/master/csl-citation.json"} </w:instrText>
      </w:r>
      <w:r w:rsidR="003C2CE1" w:rsidRPr="00B13CBE">
        <w:rPr>
          <w:rFonts w:ascii="Arial" w:hAnsi="Arial" w:cs="Arial"/>
          <w:color w:val="000000" w:themeColor="text1"/>
        </w:rPr>
        <w:fldChar w:fldCharType="separate"/>
      </w:r>
      <w:r w:rsidR="003C2CE1" w:rsidRPr="00B13CBE">
        <w:rPr>
          <w:rFonts w:ascii="Arial" w:hAnsi="Arial" w:cs="Arial"/>
          <w:color w:val="000000" w:themeColor="text1"/>
        </w:rPr>
        <w:t>Hull, (2012)</w:t>
      </w:r>
      <w:r w:rsidR="003C2CE1" w:rsidRPr="00B13CBE">
        <w:rPr>
          <w:rFonts w:ascii="Arial" w:hAnsi="Arial" w:cs="Arial"/>
          <w:color w:val="000000" w:themeColor="text1"/>
        </w:rPr>
        <w:fldChar w:fldCharType="end"/>
      </w:r>
      <w:r w:rsidRPr="00B13CBE">
        <w:rPr>
          <w:rFonts w:ascii="Arial" w:hAnsi="Arial" w:cs="Arial"/>
          <w:color w:val="000000" w:themeColor="text1"/>
        </w:rPr>
        <w:t>. This shows that throughout the study, positive and negative returns canceled each other in all but the NASDAQ index which had a</w:t>
      </w:r>
      <w:r w:rsidR="003C2CE1" w:rsidRPr="00B13CBE">
        <w:rPr>
          <w:rFonts w:ascii="Arial" w:hAnsi="Arial" w:cs="Arial"/>
          <w:color w:val="000000" w:themeColor="text1"/>
        </w:rPr>
        <w:t xml:space="preserve"> slightly higher</w:t>
      </w:r>
      <w:r w:rsidRPr="00B13CBE">
        <w:rPr>
          <w:rFonts w:ascii="Arial" w:hAnsi="Arial" w:cs="Arial"/>
          <w:color w:val="000000" w:themeColor="text1"/>
        </w:rPr>
        <w:t xml:space="preserve"> mean return of 0.001. The IPC Mexico was the least volatile index with a standard deviation of 1.1% while the Jakarta Islamic index was the most volatile index with a standard deviation of 1.5%. The indexes that experienced the biggest daily loss during the period of the study were the DAX Performance and CAC 40 indices which had a minimum log return of 13.1%. The DAX Performance had the biggest daily gain of 10.4%. All the indices were negatively skewed, a sign of leverage effects discussed in section 2.1, with the CAC 40 having the largest skew of -0.927. All the indices had fatter tails than the normal distribution which is one of the stylized facts discussed in section 2.1. This is evidenced by the kurtosis of greater than 3 which every index had for the study period. </w:t>
      </w:r>
    </w:p>
    <w:p w14:paraId="0FFCCAFF" w14:textId="77777777" w:rsidR="00E37EFE" w:rsidRPr="00B13CBE" w:rsidRDefault="00C4772C" w:rsidP="00781A3B">
      <w:pPr>
        <w:pStyle w:val="Heading2"/>
      </w:pPr>
      <w:bookmarkStart w:id="21" w:name="_Toc82603362"/>
      <w:r w:rsidRPr="00B13CBE">
        <w:lastRenderedPageBreak/>
        <w:t>Sample Correlations</w:t>
      </w:r>
      <w:bookmarkEnd w:id="21"/>
    </w:p>
    <w:p w14:paraId="70046283" w14:textId="77777777" w:rsidR="00FF0ED9" w:rsidRPr="00B13CBE" w:rsidRDefault="00C4772C" w:rsidP="00781A3B">
      <w:pPr>
        <w:pStyle w:val="CaptionedFigure"/>
        <w:spacing w:line="360" w:lineRule="auto"/>
        <w:jc w:val="both"/>
        <w:rPr>
          <w:rFonts w:ascii="Arial" w:hAnsi="Arial" w:cs="Arial"/>
          <w:color w:val="000000" w:themeColor="text1"/>
        </w:rPr>
      </w:pPr>
      <w:r w:rsidRPr="00B13CBE">
        <w:rPr>
          <w:rFonts w:ascii="Arial" w:hAnsi="Arial" w:cs="Arial"/>
          <w:noProof/>
          <w:color w:val="000000" w:themeColor="text1"/>
        </w:rPr>
        <w:drawing>
          <wp:inline distT="0" distB="0" distL="0" distR="0" wp14:anchorId="780CD768" wp14:editId="0D121B33">
            <wp:extent cx="5913120" cy="4183380"/>
            <wp:effectExtent l="0" t="0" r="0" b="7620"/>
            <wp:docPr id="2" name="Picture"/>
            <wp:cNvGraphicFramePr/>
            <a:graphic xmlns:a="http://schemas.openxmlformats.org/drawingml/2006/main">
              <a:graphicData uri="http://schemas.openxmlformats.org/drawingml/2006/picture">
                <pic:pic xmlns:pic="http://schemas.openxmlformats.org/drawingml/2006/picture">
                  <pic:nvPicPr>
                    <pic:cNvPr id="2" name="Picture" descr="D:\Documents\correlations.png"/>
                    <pic:cNvPicPr>
                      <a:picLocks noChangeAspect="1" noChangeArrowheads="1"/>
                    </pic:cNvPicPr>
                  </pic:nvPicPr>
                  <pic:blipFill>
                    <a:blip r:embed="rId11"/>
                    <a:stretch>
                      <a:fillRect/>
                    </a:stretch>
                  </pic:blipFill>
                  <pic:spPr bwMode="auto">
                    <a:xfrm>
                      <a:off x="0" y="0"/>
                      <a:ext cx="5913714" cy="4183800"/>
                    </a:xfrm>
                    <a:prstGeom prst="rect">
                      <a:avLst/>
                    </a:prstGeom>
                    <a:noFill/>
                    <a:ln w="9525">
                      <a:noFill/>
                      <a:headEnd/>
                      <a:tailEnd/>
                    </a:ln>
                  </pic:spPr>
                </pic:pic>
              </a:graphicData>
            </a:graphic>
          </wp:inline>
        </w:drawing>
      </w:r>
    </w:p>
    <w:p w14:paraId="73443F89" w14:textId="77777777" w:rsidR="001F6509" w:rsidRPr="00B13CBE" w:rsidRDefault="00C4772C" w:rsidP="00781A3B">
      <w:pPr>
        <w:pStyle w:val="Caption"/>
        <w:spacing w:line="360" w:lineRule="auto"/>
        <w:jc w:val="both"/>
        <w:rPr>
          <w:rFonts w:ascii="Arial" w:hAnsi="Arial" w:cs="Arial"/>
          <w:color w:val="000000" w:themeColor="text1"/>
        </w:rPr>
      </w:pPr>
      <w:bookmarkStart w:id="22" w:name="_Toc82603425"/>
      <w:r w:rsidRPr="00B13CBE">
        <w:rPr>
          <w:rFonts w:ascii="Arial" w:hAnsi="Arial" w:cs="Arial"/>
          <w:color w:val="000000" w:themeColor="text1"/>
        </w:rPr>
        <w:t xml:space="preserve">Figure </w:t>
      </w:r>
      <w:r w:rsidRPr="00B13CBE">
        <w:rPr>
          <w:rFonts w:ascii="Arial" w:hAnsi="Arial" w:cs="Arial"/>
          <w:color w:val="000000" w:themeColor="text1"/>
        </w:rPr>
        <w:fldChar w:fldCharType="begin"/>
      </w:r>
      <w:r w:rsidRPr="00B13CBE">
        <w:rPr>
          <w:rFonts w:ascii="Arial" w:hAnsi="Arial" w:cs="Arial"/>
          <w:color w:val="000000" w:themeColor="text1"/>
        </w:rPr>
        <w:instrText xml:space="preserve"> SEQ Figure \* ARABIC </w:instrText>
      </w:r>
      <w:r w:rsidRPr="00B13CBE">
        <w:rPr>
          <w:rFonts w:ascii="Arial" w:hAnsi="Arial" w:cs="Arial"/>
          <w:color w:val="000000" w:themeColor="text1"/>
        </w:rPr>
        <w:fldChar w:fldCharType="separate"/>
      </w:r>
      <w:r w:rsidRPr="00B13CBE">
        <w:rPr>
          <w:rFonts w:ascii="Arial" w:hAnsi="Arial" w:cs="Arial"/>
          <w:noProof/>
          <w:color w:val="000000" w:themeColor="text1"/>
        </w:rPr>
        <w:t>2</w:t>
      </w:r>
      <w:r w:rsidRPr="00B13CBE">
        <w:rPr>
          <w:rFonts w:ascii="Arial" w:hAnsi="Arial" w:cs="Arial"/>
          <w:color w:val="000000" w:themeColor="text1"/>
        </w:rPr>
        <w:fldChar w:fldCharType="end"/>
      </w:r>
      <w:r w:rsidRPr="00B13CBE">
        <w:rPr>
          <w:rFonts w:ascii="Arial" w:hAnsi="Arial" w:cs="Arial"/>
          <w:color w:val="000000" w:themeColor="text1"/>
        </w:rPr>
        <w:t>: Correlations among the 12 indices used in this study</w:t>
      </w:r>
      <w:bookmarkEnd w:id="22"/>
    </w:p>
    <w:p w14:paraId="1C466607" w14:textId="77777777" w:rsidR="001F6509"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Figure </w:t>
      </w:r>
      <w:r w:rsidR="008E428F" w:rsidRPr="00B13CBE">
        <w:rPr>
          <w:rFonts w:ascii="Arial" w:hAnsi="Arial" w:cs="Arial"/>
          <w:color w:val="000000" w:themeColor="text1"/>
        </w:rPr>
        <w:t>2</w:t>
      </w:r>
      <w:r w:rsidRPr="00B13CBE">
        <w:rPr>
          <w:rFonts w:ascii="Arial" w:hAnsi="Arial" w:cs="Arial"/>
          <w:color w:val="000000" w:themeColor="text1"/>
        </w:rPr>
        <w:t xml:space="preserve"> shows the correlation matrix of the 12 indices. All correlations are positive. The </w:t>
      </w:r>
      <w:r w:rsidR="008E428F" w:rsidRPr="00B13CBE">
        <w:rPr>
          <w:rFonts w:ascii="Arial" w:hAnsi="Arial" w:cs="Arial"/>
          <w:color w:val="000000" w:themeColor="text1"/>
        </w:rPr>
        <w:t>four</w:t>
      </w:r>
      <w:r w:rsidRPr="00B13CBE">
        <w:rPr>
          <w:rFonts w:ascii="Arial" w:hAnsi="Arial" w:cs="Arial"/>
          <w:color w:val="000000" w:themeColor="text1"/>
        </w:rPr>
        <w:t xml:space="preserve"> U.S indices</w:t>
      </w:r>
      <w:r w:rsidR="00E37EFE" w:rsidRPr="00B13CBE">
        <w:rPr>
          <w:rFonts w:ascii="Arial" w:hAnsi="Arial" w:cs="Arial"/>
          <w:color w:val="000000" w:themeColor="text1"/>
        </w:rPr>
        <w:t xml:space="preserve"> namely</w:t>
      </w:r>
      <w:r w:rsidRPr="00B13CBE">
        <w:rPr>
          <w:rFonts w:ascii="Arial" w:hAnsi="Arial" w:cs="Arial"/>
          <w:color w:val="000000" w:themeColor="text1"/>
        </w:rPr>
        <w:t xml:space="preserve"> S&amp;P 500, Dow Jones, NASDAQ, and Russel 2000, are highly correlated. Among the four indices, the least correlation belongs to Russel 2000 and NASDAQ at 0.84 and the highest correlation is between the Dow Jones and the S&amp;P 500 at 0.97. The European Indices</w:t>
      </w:r>
      <w:r w:rsidR="00E37EFE" w:rsidRPr="00B13CBE">
        <w:rPr>
          <w:rFonts w:ascii="Arial" w:hAnsi="Arial" w:cs="Arial"/>
          <w:color w:val="000000" w:themeColor="text1"/>
        </w:rPr>
        <w:t xml:space="preserve"> </w:t>
      </w:r>
      <w:r w:rsidRPr="00B13CBE">
        <w:rPr>
          <w:rFonts w:ascii="Arial" w:hAnsi="Arial" w:cs="Arial"/>
          <w:color w:val="000000" w:themeColor="text1"/>
        </w:rPr>
        <w:t xml:space="preserve">DAX and CAC 40 </w:t>
      </w:r>
      <w:r w:rsidR="00E37EFE" w:rsidRPr="00B13CBE">
        <w:rPr>
          <w:rFonts w:ascii="Arial" w:hAnsi="Arial" w:cs="Arial"/>
          <w:color w:val="000000" w:themeColor="text1"/>
        </w:rPr>
        <w:t xml:space="preserve">have a </w:t>
      </w:r>
      <w:r w:rsidR="00E37EFE" w:rsidRPr="00B13CBE">
        <w:rPr>
          <w:rFonts w:ascii="Arial" w:hAnsi="Arial" w:cs="Arial"/>
          <w:color w:val="000000" w:themeColor="text1"/>
        </w:rPr>
        <w:lastRenderedPageBreak/>
        <w:t>high correlation of</w:t>
      </w:r>
      <w:r w:rsidRPr="00B13CBE">
        <w:rPr>
          <w:rFonts w:ascii="Arial" w:hAnsi="Arial" w:cs="Arial"/>
          <w:color w:val="000000" w:themeColor="text1"/>
        </w:rPr>
        <w:t xml:space="preserve"> 0.94. The U.K's index FTSE 100 is highly correlated with indices from Neighboring European countries</w:t>
      </w:r>
      <w:r w:rsidR="00E37EFE" w:rsidRPr="00B13CBE">
        <w:rPr>
          <w:rFonts w:ascii="Arial" w:hAnsi="Arial" w:cs="Arial"/>
          <w:color w:val="000000" w:themeColor="text1"/>
        </w:rPr>
        <w:t xml:space="preserve"> Germany and France. FTSE has correlations of 0.83 and 0.87 with </w:t>
      </w:r>
      <w:r w:rsidRPr="00B13CBE">
        <w:rPr>
          <w:rFonts w:ascii="Arial" w:hAnsi="Arial" w:cs="Arial"/>
          <w:color w:val="000000" w:themeColor="text1"/>
        </w:rPr>
        <w:t xml:space="preserve">DAX and CAC 40 </w:t>
      </w:r>
      <w:r w:rsidR="00E37EFE" w:rsidRPr="00B13CBE">
        <w:rPr>
          <w:rFonts w:ascii="Arial" w:hAnsi="Arial" w:cs="Arial"/>
          <w:color w:val="000000" w:themeColor="text1"/>
        </w:rPr>
        <w:t xml:space="preserve">indices </w:t>
      </w:r>
      <w:r w:rsidRPr="00B13CBE">
        <w:rPr>
          <w:rFonts w:ascii="Arial" w:hAnsi="Arial" w:cs="Arial"/>
          <w:color w:val="000000" w:themeColor="text1"/>
        </w:rPr>
        <w:t>respectively. Hong Kong's index Hang Seng is correlated with Japan's index NIKKEI more than any other index with a correlation coefficient of 0.58. Shenz</w:t>
      </w:r>
      <w:r w:rsidR="008E428F" w:rsidRPr="00B13CBE">
        <w:rPr>
          <w:rFonts w:ascii="Arial" w:hAnsi="Arial" w:cs="Arial"/>
          <w:color w:val="000000" w:themeColor="text1"/>
        </w:rPr>
        <w:t>h</w:t>
      </w:r>
      <w:r w:rsidRPr="00B13CBE">
        <w:rPr>
          <w:rFonts w:ascii="Arial" w:hAnsi="Arial" w:cs="Arial"/>
          <w:color w:val="000000" w:themeColor="text1"/>
        </w:rPr>
        <w:t xml:space="preserve">en, a </w:t>
      </w:r>
      <w:r w:rsidR="008E428F" w:rsidRPr="00B13CBE">
        <w:rPr>
          <w:rFonts w:ascii="Arial" w:hAnsi="Arial" w:cs="Arial"/>
          <w:color w:val="000000" w:themeColor="text1"/>
        </w:rPr>
        <w:t>C</w:t>
      </w:r>
      <w:r w:rsidRPr="00B13CBE">
        <w:rPr>
          <w:rFonts w:ascii="Arial" w:hAnsi="Arial" w:cs="Arial"/>
          <w:color w:val="000000" w:themeColor="text1"/>
        </w:rPr>
        <w:t>hinese index</w:t>
      </w:r>
      <w:r w:rsidR="008E428F" w:rsidRPr="00B13CBE">
        <w:rPr>
          <w:rFonts w:ascii="Arial" w:hAnsi="Arial" w:cs="Arial"/>
          <w:color w:val="000000" w:themeColor="text1"/>
        </w:rPr>
        <w:t>,</w:t>
      </w:r>
      <w:r w:rsidRPr="00B13CBE">
        <w:rPr>
          <w:rFonts w:ascii="Arial" w:hAnsi="Arial" w:cs="Arial"/>
          <w:color w:val="000000" w:themeColor="text1"/>
        </w:rPr>
        <w:t xml:space="preserve"> is most correlated with Hang Seng as well as the Jakarta index with correlations of 0.53 and 0.46 respectively. Out of the 12 indices, the IPC Mexico which is an emerging market index is most correlated with the S&amp;P 500 with a correlation of 0.62</w:t>
      </w:r>
      <w:r w:rsidR="008E428F" w:rsidRPr="00B13CBE">
        <w:rPr>
          <w:rFonts w:ascii="Arial" w:hAnsi="Arial" w:cs="Arial"/>
          <w:color w:val="000000" w:themeColor="text1"/>
        </w:rPr>
        <w:t>.</w:t>
      </w:r>
      <w:r w:rsidRPr="00B13CBE">
        <w:rPr>
          <w:rFonts w:ascii="Arial" w:hAnsi="Arial" w:cs="Arial"/>
          <w:color w:val="000000" w:themeColor="text1"/>
        </w:rPr>
        <w:t xml:space="preserve"> </w:t>
      </w:r>
      <w:r w:rsidR="008E428F" w:rsidRPr="00B13CBE">
        <w:rPr>
          <w:rFonts w:ascii="Arial" w:hAnsi="Arial" w:cs="Arial"/>
          <w:color w:val="000000" w:themeColor="text1"/>
        </w:rPr>
        <w:t>H</w:t>
      </w:r>
      <w:r w:rsidRPr="00B13CBE">
        <w:rPr>
          <w:rFonts w:ascii="Arial" w:hAnsi="Arial" w:cs="Arial"/>
          <w:color w:val="000000" w:themeColor="text1"/>
        </w:rPr>
        <w:t>owever</w:t>
      </w:r>
      <w:r w:rsidR="008E428F" w:rsidRPr="00B13CBE">
        <w:rPr>
          <w:rFonts w:ascii="Arial" w:hAnsi="Arial" w:cs="Arial"/>
          <w:color w:val="000000" w:themeColor="text1"/>
        </w:rPr>
        <w:t>,</w:t>
      </w:r>
      <w:r w:rsidRPr="00B13CBE">
        <w:rPr>
          <w:rFonts w:ascii="Arial" w:hAnsi="Arial" w:cs="Arial"/>
          <w:color w:val="000000" w:themeColor="text1"/>
        </w:rPr>
        <w:t xml:space="preserve"> it has over 0.5 correlation with the indices from the U.S</w:t>
      </w:r>
      <w:r w:rsidR="008E428F" w:rsidRPr="00B13CBE">
        <w:rPr>
          <w:rFonts w:ascii="Arial" w:hAnsi="Arial" w:cs="Arial"/>
          <w:color w:val="000000" w:themeColor="text1"/>
        </w:rPr>
        <w:t>.</w:t>
      </w:r>
      <w:r w:rsidRPr="00B13CBE">
        <w:rPr>
          <w:rFonts w:ascii="Arial" w:hAnsi="Arial" w:cs="Arial"/>
          <w:color w:val="000000" w:themeColor="text1"/>
        </w:rPr>
        <w:t xml:space="preserve">, U.K, and Europe. It is evident that correlation exists among the indices and that the correlation is highest among geographical close markets. However, as discussed in the literature review, correlation among markets is time-varying and this requires the use of a time-varying correlation model to investigate the correlations among the 12 indices. </w:t>
      </w:r>
    </w:p>
    <w:p w14:paraId="53C4ECBD" w14:textId="77777777" w:rsidR="001F6509" w:rsidRPr="00B13CBE" w:rsidRDefault="001F6509" w:rsidP="00781A3B">
      <w:pPr>
        <w:pStyle w:val="BodyText"/>
        <w:spacing w:line="360" w:lineRule="auto"/>
        <w:jc w:val="both"/>
        <w:rPr>
          <w:rFonts w:ascii="Arial" w:hAnsi="Arial" w:cs="Arial"/>
          <w:color w:val="000000" w:themeColor="text1"/>
        </w:rPr>
      </w:pPr>
    </w:p>
    <w:p w14:paraId="44BAF277" w14:textId="77777777" w:rsidR="001F6509" w:rsidRPr="00B13CBE" w:rsidRDefault="001F6509" w:rsidP="00781A3B">
      <w:pPr>
        <w:pStyle w:val="BodyText"/>
        <w:spacing w:line="360" w:lineRule="auto"/>
        <w:jc w:val="both"/>
        <w:rPr>
          <w:rFonts w:ascii="Arial" w:hAnsi="Arial" w:cs="Arial"/>
          <w:color w:val="000000" w:themeColor="text1"/>
        </w:rPr>
      </w:pPr>
    </w:p>
    <w:p w14:paraId="52F496F8" w14:textId="77777777" w:rsidR="001F6509" w:rsidRPr="00B13CBE" w:rsidRDefault="001F6509" w:rsidP="00781A3B">
      <w:pPr>
        <w:pStyle w:val="BodyText"/>
        <w:spacing w:line="360" w:lineRule="auto"/>
        <w:jc w:val="both"/>
        <w:rPr>
          <w:rFonts w:ascii="Arial" w:hAnsi="Arial" w:cs="Arial"/>
          <w:color w:val="000000" w:themeColor="text1"/>
        </w:rPr>
      </w:pPr>
    </w:p>
    <w:p w14:paraId="0C509CD6" w14:textId="77777777" w:rsidR="001F6509" w:rsidRPr="00B13CBE" w:rsidRDefault="001F6509" w:rsidP="00781A3B">
      <w:pPr>
        <w:pStyle w:val="BodyText"/>
        <w:spacing w:line="360" w:lineRule="auto"/>
        <w:jc w:val="both"/>
        <w:rPr>
          <w:rFonts w:ascii="Arial" w:hAnsi="Arial" w:cs="Arial"/>
          <w:color w:val="000000" w:themeColor="text1"/>
        </w:rPr>
      </w:pPr>
    </w:p>
    <w:p w14:paraId="0B9D7112" w14:textId="77777777" w:rsidR="001F6509" w:rsidRPr="00B13CBE" w:rsidRDefault="001F6509" w:rsidP="00781A3B">
      <w:pPr>
        <w:pStyle w:val="BodyText"/>
        <w:spacing w:line="360" w:lineRule="auto"/>
        <w:jc w:val="both"/>
        <w:rPr>
          <w:rFonts w:ascii="Arial" w:hAnsi="Arial" w:cs="Arial"/>
          <w:color w:val="000000" w:themeColor="text1"/>
        </w:rPr>
      </w:pPr>
    </w:p>
    <w:p w14:paraId="32078347" w14:textId="77777777" w:rsidR="001F6509" w:rsidRPr="00B13CBE" w:rsidRDefault="001F6509" w:rsidP="00781A3B">
      <w:pPr>
        <w:pStyle w:val="BodyText"/>
        <w:spacing w:line="360" w:lineRule="auto"/>
        <w:jc w:val="both"/>
        <w:rPr>
          <w:rFonts w:ascii="Arial" w:hAnsi="Arial" w:cs="Arial"/>
          <w:color w:val="000000" w:themeColor="text1"/>
        </w:rPr>
      </w:pPr>
    </w:p>
    <w:p w14:paraId="648F59B2" w14:textId="77777777" w:rsidR="00E37EFE" w:rsidRPr="00B13CBE" w:rsidRDefault="00E37EFE" w:rsidP="00781A3B">
      <w:pPr>
        <w:pStyle w:val="BodyText"/>
        <w:spacing w:line="360" w:lineRule="auto"/>
        <w:jc w:val="both"/>
        <w:rPr>
          <w:rFonts w:ascii="Arial" w:hAnsi="Arial" w:cs="Arial"/>
          <w:color w:val="000000" w:themeColor="text1"/>
        </w:rPr>
      </w:pPr>
    </w:p>
    <w:p w14:paraId="6A71011D" w14:textId="77777777" w:rsidR="001F6509" w:rsidRPr="00B13CBE" w:rsidRDefault="00C4772C" w:rsidP="00781A3B">
      <w:pPr>
        <w:pStyle w:val="Heading1"/>
        <w:numPr>
          <w:ilvl w:val="0"/>
          <w:numId w:val="18"/>
        </w:numPr>
        <w:spacing w:before="0" w:line="360" w:lineRule="auto"/>
        <w:jc w:val="both"/>
        <w:rPr>
          <w:rFonts w:ascii="Arial" w:hAnsi="Arial" w:cs="Arial"/>
          <w:b/>
          <w:bCs/>
          <w:color w:val="000000" w:themeColor="text1"/>
          <w:sz w:val="24"/>
          <w:szCs w:val="24"/>
        </w:rPr>
      </w:pPr>
      <w:bookmarkStart w:id="23" w:name="_Toc82603363"/>
      <w:bookmarkStart w:id="24" w:name="methodology"/>
      <w:bookmarkEnd w:id="16"/>
      <w:r w:rsidRPr="00B13CBE">
        <w:rPr>
          <w:rFonts w:ascii="Arial" w:hAnsi="Arial" w:cs="Arial"/>
          <w:b/>
          <w:bCs/>
          <w:color w:val="000000" w:themeColor="text1"/>
          <w:sz w:val="24"/>
          <w:szCs w:val="24"/>
        </w:rPr>
        <w:lastRenderedPageBreak/>
        <w:t>METHODOLOGY</w:t>
      </w:r>
      <w:bookmarkEnd w:id="23"/>
    </w:p>
    <w:p w14:paraId="0C44B49E" w14:textId="77777777"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This study applied the DCC (1,1)-GARCH model of Engle</w:t>
      </w:r>
      <w:r w:rsidR="008E428F" w:rsidRPr="00B13CBE">
        <w:rPr>
          <w:rFonts w:ascii="Arial" w:hAnsi="Arial" w:cs="Arial"/>
          <w:color w:val="000000" w:themeColor="text1"/>
        </w:rPr>
        <w:t xml:space="preserve"> </w:t>
      </w:r>
      <w:r w:rsidRPr="00B13CBE">
        <w:rPr>
          <w:rFonts w:ascii="Arial" w:hAnsi="Arial" w:cs="Arial"/>
          <w:color w:val="000000" w:themeColor="text1"/>
        </w:rPr>
        <w:t xml:space="preserve">(2002) to study the interrelations among 12 indices: S&amp;P 500, Dow Jones, NASDAQ, Russel 2000, DAX Performance Index, CAC 40, FTSE 100, NIKKEI 225, Hang Seng, Shenzhen, IPC Mexico, and Jakarta Islamic Index. This section details the models used and the </w:t>
      </w:r>
      <w:r w:rsidR="00E37EFE" w:rsidRPr="00B13CBE">
        <w:rPr>
          <w:rFonts w:ascii="Arial" w:hAnsi="Arial" w:cs="Arial"/>
          <w:color w:val="000000" w:themeColor="text1"/>
        </w:rPr>
        <w:t xml:space="preserve">evaluation </w:t>
      </w:r>
      <w:r w:rsidRPr="00B13CBE">
        <w:rPr>
          <w:rFonts w:ascii="Arial" w:hAnsi="Arial" w:cs="Arial"/>
          <w:color w:val="000000" w:themeColor="text1"/>
        </w:rPr>
        <w:t xml:space="preserve">procedure applied to </w:t>
      </w:r>
      <w:r w:rsidR="00E37EFE" w:rsidRPr="00B13CBE">
        <w:rPr>
          <w:rFonts w:ascii="Arial" w:hAnsi="Arial" w:cs="Arial"/>
          <w:color w:val="000000" w:themeColor="text1"/>
        </w:rPr>
        <w:t>obtain</w:t>
      </w:r>
      <w:r w:rsidRPr="00B13CBE">
        <w:rPr>
          <w:rFonts w:ascii="Arial" w:hAnsi="Arial" w:cs="Arial"/>
          <w:color w:val="000000" w:themeColor="text1"/>
        </w:rPr>
        <w:t xml:space="preserve"> the </w:t>
      </w:r>
      <w:r w:rsidR="00E37EFE" w:rsidRPr="00B13CBE">
        <w:rPr>
          <w:rFonts w:ascii="Arial" w:hAnsi="Arial" w:cs="Arial"/>
          <w:color w:val="000000" w:themeColor="text1"/>
        </w:rPr>
        <w:t>findings</w:t>
      </w:r>
      <w:r w:rsidRPr="00B13CBE">
        <w:rPr>
          <w:rFonts w:ascii="Arial" w:hAnsi="Arial" w:cs="Arial"/>
          <w:color w:val="000000" w:themeColor="text1"/>
        </w:rPr>
        <w:t xml:space="preserve">. </w:t>
      </w:r>
    </w:p>
    <w:p w14:paraId="42D1C746" w14:textId="77777777" w:rsidR="001F4CEB" w:rsidRPr="00B13CBE" w:rsidRDefault="00C4772C" w:rsidP="00781A3B">
      <w:pPr>
        <w:pStyle w:val="Heading2"/>
      </w:pPr>
      <w:bookmarkStart w:id="25" w:name="_Toc82603364"/>
      <w:bookmarkStart w:id="26" w:name="testing-for-garch-requirements"/>
      <w:r w:rsidRPr="00B13CBE">
        <w:t xml:space="preserve">Testing </w:t>
      </w:r>
      <w:r w:rsidR="008E428F" w:rsidRPr="00B13CBE">
        <w:t xml:space="preserve">for </w:t>
      </w:r>
      <w:r w:rsidRPr="00B13CBE">
        <w:t>GARCH Requirements</w:t>
      </w:r>
      <w:bookmarkEnd w:id="25"/>
      <w:r w:rsidRPr="00B13CBE">
        <w:t xml:space="preserve"> </w:t>
      </w:r>
    </w:p>
    <w:p w14:paraId="04D692EA" w14:textId="77777777"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According to</w:t>
      </w:r>
      <w:r w:rsidR="00E37EFE" w:rsidRPr="00B13CBE">
        <w:rPr>
          <w:rFonts w:ascii="Arial" w:hAnsi="Arial" w:cs="Arial"/>
          <w:color w:val="000000" w:themeColor="text1"/>
        </w:rPr>
        <w:t xml:space="preserve"> </w:t>
      </w:r>
      <w:r w:rsidR="00E37EFE" w:rsidRPr="00B13CBE">
        <w:rPr>
          <w:rFonts w:ascii="Arial" w:hAnsi="Arial" w:cs="Arial"/>
          <w:color w:val="000000" w:themeColor="text1"/>
        </w:rPr>
        <w:fldChar w:fldCharType="begin"/>
      </w:r>
      <w:r w:rsidR="00E37EFE" w:rsidRPr="00B13CBE">
        <w:rPr>
          <w:rFonts w:ascii="Arial" w:hAnsi="Arial" w:cs="Arial"/>
          <w:color w:val="000000" w:themeColor="text1"/>
        </w:rPr>
        <w:instrText xml:space="preserve"> ADDIN ZOTERO_ITEM CSL_CITATION {"citationID":"VVNOF7nu","properties":{"formattedCitation":"(Orskaug, 2009)","plainCitation":"(Orskaug, 2009)","noteIndex":0},"citationItems":[{"id":737,"uris":["http://zotero.org/users/local/XXne8Mwc/items/NWVQL3UR"],"uri":["http://zotero.org/users/local/XXne8Mwc/items/NWVQL3UR"],"itemData":{"id":737,"type":"article-journal","abstract":"In this thesis we have studied the DCC-GARCH model with Gaussian, Student's $t$ and skew Student's t-distributed errors. For a basic understanding of the GARCH model, the univariate GARCH and  multivariate GARCH models in general were discussed before the DCC-GARCH model was considered.  The Maximum likelihood method is used to estimate the parameters. The estimation of the correctly specified likelihood is difficult, and hence the DCC-model was designed to allow for two stage estimation. Usually Gaussian distributed errors are assumed in the first stage independent of the choice of the error distribution in the correctly specified likelihood. In the second stage, the parameters $a$ and $b$ of the dynamic correlation matrix, and the parameters of the error distribution, are estimated using the correctly specified likelihood.  After the parameters of the DCC-model have been estimated, the forecast of the conditional covariance matrix is obtained by forecasting the conditional variances and the conditional correlation matrix separately. The forecasts of the conditional variances is done by assuming Gaussian distributed errors. The forecast of the conditional correlation matrix can not be directly calculated. In this thesis, two different methods of approximating this matrix have been discussed. An important issue is how to evaluate goodness of fit for the DCC-GARCH model. This might be done by checking both the marginal and multivariate goodness of fit. One specific approach considered is the backtesting of Value-at-Risk, this is used to measure risk of loss of a portfolio of financial asset series. After precenting the theory, DCC-GARCH models were fit to a portfolio consisting of European, American and Japanese stocks assuming three different error distributions; Gaussian, Student's t and skew Student's t. The European, American and Japanese series seemed to have a bit different marginal distributions. The DCC-GARCH model with skew Student's t-distributed errors performed best. But even the DCC-GARCH with skew Student's t-distributed errors did explain all of the asymmetry in the asset series. Hence even better models may be considered. Comparing the DCC-GARCH model with the CCC-GARCH model using the Kupiec test showed that the first model gave a better fit to the data.There are several possible directions for future work. It might be better to use other marginal models such as the EGARCH, QGARCH and GJR GARCH, that capture the asymmetry in the conditional variances. If the univariate GARCH models are more correct, the DCC-GARCH model might yield better results. Other error distributions, such as a Normal Inverse Gaussian (NIG) might also give a better fit. When we fitted the Gaussian, Student's t- and skew Student's t-distibutions to the data, we assumed all the distributions to be the same for the three series. This might be a too restrictive criteria. A model where the marginal distributions is allowed to be different for each of the asset series might give a better fit. One then might use a Copula to link the marginals together.","container-title":"84","language":"eng","note":"Accepted: 2014-12-19T14:00:27Z\npublisher: Institutt for matematiske fag","source":"ntnuopen.ntnu.no","title":"Multivariate DCC-GARCH Model: -With Various Error Distributions","title-short":"Multivariate DCC-GARCH Model","URL":"https://ntnuopen.ntnu.no/ntnu-xmlui/handle/11250/259296","author":[{"family":"Orskaug","given":"Elisabeth"}],"accessed":{"date-parts":[["2021",8,7]]},"issued":{"date-parts":[["2009"]]}}}],"schema":"https://github.com/citation-style-language/schema/raw/master/csl-citation.json"} </w:instrText>
      </w:r>
      <w:r w:rsidR="00E37EFE" w:rsidRPr="00B13CBE">
        <w:rPr>
          <w:rFonts w:ascii="Arial" w:hAnsi="Arial" w:cs="Arial"/>
          <w:color w:val="000000" w:themeColor="text1"/>
        </w:rPr>
        <w:fldChar w:fldCharType="separate"/>
      </w:r>
      <w:r w:rsidR="00E37EFE" w:rsidRPr="00B13CBE">
        <w:rPr>
          <w:rFonts w:ascii="Arial" w:hAnsi="Arial" w:cs="Arial"/>
          <w:color w:val="000000" w:themeColor="text1"/>
        </w:rPr>
        <w:t>(Orskaug, 2009)</w:t>
      </w:r>
      <w:r w:rsidR="00E37EFE" w:rsidRPr="00B13CBE">
        <w:rPr>
          <w:rFonts w:ascii="Arial" w:hAnsi="Arial" w:cs="Arial"/>
          <w:color w:val="000000" w:themeColor="text1"/>
        </w:rPr>
        <w:fldChar w:fldCharType="end"/>
      </w:r>
      <w:r w:rsidRPr="00B13CBE">
        <w:rPr>
          <w:rFonts w:ascii="Arial" w:hAnsi="Arial" w:cs="Arial"/>
          <w:color w:val="000000" w:themeColor="text1"/>
        </w:rPr>
        <w:t xml:space="preserve">, applying GARCH models requires that the series is stationary and possesses ARCH effects. </w:t>
      </w:r>
    </w:p>
    <w:p w14:paraId="36CEBD40" w14:textId="77777777" w:rsidR="001F4CEB" w:rsidRPr="00B13CBE" w:rsidRDefault="00C4772C" w:rsidP="00781A3B">
      <w:pPr>
        <w:pStyle w:val="Heading3"/>
        <w:numPr>
          <w:ilvl w:val="2"/>
          <w:numId w:val="18"/>
        </w:numPr>
        <w:spacing w:before="0" w:line="360" w:lineRule="auto"/>
        <w:jc w:val="both"/>
        <w:rPr>
          <w:rFonts w:ascii="Arial" w:hAnsi="Arial" w:cs="Arial"/>
          <w:b/>
          <w:bCs/>
          <w:color w:val="000000" w:themeColor="text1"/>
        </w:rPr>
      </w:pPr>
      <w:bookmarkStart w:id="27" w:name="_Toc82603365"/>
      <w:bookmarkStart w:id="28" w:name="stationarity"/>
      <w:r w:rsidRPr="00B13CBE">
        <w:rPr>
          <w:rFonts w:ascii="Arial" w:hAnsi="Arial" w:cs="Arial"/>
          <w:b/>
          <w:bCs/>
          <w:color w:val="000000" w:themeColor="text1"/>
        </w:rPr>
        <w:t>Stationarity</w:t>
      </w:r>
      <w:bookmarkEnd w:id="27"/>
    </w:p>
    <w:p w14:paraId="343F1A77" w14:textId="77777777" w:rsidR="001F4CEB" w:rsidRPr="00B13CBE" w:rsidRDefault="00C4772C" w:rsidP="00781A3B">
      <w:pPr>
        <w:pStyle w:val="FirstParagraph"/>
        <w:spacing w:before="0" w:line="360" w:lineRule="auto"/>
        <w:jc w:val="both"/>
        <w:rPr>
          <w:rFonts w:ascii="Arial" w:hAnsi="Arial" w:cs="Arial"/>
          <w:color w:val="000000" w:themeColor="text1"/>
        </w:rPr>
      </w:pPr>
      <w:r w:rsidRPr="00B13CBE">
        <w:rPr>
          <w:rFonts w:ascii="Arial" w:hAnsi="Arial" w:cs="Arial"/>
          <w:color w:val="000000" w:themeColor="text1"/>
        </w:rPr>
        <w:fldChar w:fldCharType="begin"/>
      </w:r>
      <w:r w:rsidRPr="00B13CBE">
        <w:rPr>
          <w:rFonts w:ascii="Arial" w:hAnsi="Arial" w:cs="Arial"/>
          <w:color w:val="000000" w:themeColor="text1"/>
        </w:rPr>
        <w:instrText xml:space="preserve"> ADDIN ZOTERO_ITEM CSL_CITATION {"citationID":"1KkcQUZx","properties":{"formattedCitation":"(Gu\\uc0\\u233{}gan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hAnsi="Arial" w:cs="Arial"/>
          <w:color w:val="000000" w:themeColor="text1"/>
        </w:rPr>
        <w:fldChar w:fldCharType="separate"/>
      </w:r>
      <w:r w:rsidRPr="00B13CBE">
        <w:rPr>
          <w:rFonts w:ascii="Arial" w:hAnsi="Arial" w:cs="Arial"/>
          <w:color w:val="000000" w:themeColor="text1"/>
        </w:rPr>
        <w:t>Guégan and Hassani (2019)</w:t>
      </w:r>
      <w:r w:rsidRPr="00B13CBE">
        <w:rPr>
          <w:rFonts w:ascii="Arial" w:hAnsi="Arial" w:cs="Arial"/>
          <w:color w:val="000000" w:themeColor="text1"/>
        </w:rPr>
        <w:fldChar w:fldCharType="end"/>
      </w:r>
      <w:r w:rsidRPr="00B13CBE">
        <w:rPr>
          <w:rFonts w:ascii="Arial" w:hAnsi="Arial" w:cs="Arial"/>
          <w:color w:val="000000" w:themeColor="text1"/>
        </w:rPr>
        <w:t xml:space="preserve"> argue that</w:t>
      </w:r>
      <w:r w:rsidR="00C32DCA" w:rsidRPr="00B13CBE">
        <w:rPr>
          <w:rFonts w:ascii="Arial" w:hAnsi="Arial" w:cs="Arial"/>
          <w:color w:val="000000" w:themeColor="text1"/>
        </w:rPr>
        <w:t xml:space="preserve"> a time series can be considered as one realization of a stochastic process which is a set of time-indexed random variables. The authors point out that there exists only one realization of the underlying stochastic process, the observed time series, and therefore no analysis can be done. To facilitate the analysis, a time series is required to be stationary.</w:t>
      </w:r>
      <w:r w:rsidRPr="00B13CBE">
        <w:rPr>
          <w:rFonts w:ascii="Arial" w:hAnsi="Arial" w:cs="Arial"/>
          <w:color w:val="000000" w:themeColor="text1"/>
        </w:rPr>
        <w:t xml:space="preserve"> The authors </w:t>
      </w:r>
      <w:r w:rsidR="00C32DCA" w:rsidRPr="00B13CBE">
        <w:rPr>
          <w:rFonts w:ascii="Arial" w:hAnsi="Arial" w:cs="Arial"/>
          <w:color w:val="000000" w:themeColor="text1"/>
        </w:rPr>
        <w:t>point out that two forms of stationarity exist</w:t>
      </w:r>
      <w:r w:rsidRPr="00B13CBE">
        <w:rPr>
          <w:rFonts w:ascii="Arial" w:hAnsi="Arial" w:cs="Arial"/>
          <w:color w:val="000000" w:themeColor="text1"/>
        </w:rPr>
        <w:t xml:space="preserve"> namely</w:t>
      </w:r>
      <w:r w:rsidR="00C32DCA" w:rsidRPr="00B13CBE">
        <w:rPr>
          <w:rFonts w:ascii="Arial" w:hAnsi="Arial" w:cs="Arial"/>
          <w:color w:val="000000" w:themeColor="text1"/>
        </w:rPr>
        <w:t xml:space="preserve"> strong stationarity and weak stationarity. </w:t>
      </w:r>
      <w:r w:rsidRPr="00B13CBE">
        <w:rPr>
          <w:rFonts w:ascii="Arial" w:hAnsi="Arial" w:cs="Arial"/>
          <w:color w:val="000000" w:themeColor="text1"/>
        </w:rPr>
        <w:t>S</w:t>
      </w:r>
      <w:r w:rsidR="00C32DCA" w:rsidRPr="00B13CBE">
        <w:rPr>
          <w:rFonts w:ascii="Arial" w:hAnsi="Arial" w:cs="Arial"/>
          <w:color w:val="000000" w:themeColor="text1"/>
        </w:rPr>
        <w:t>trong stationarity means that the graphs of</w:t>
      </w:r>
      <w:r w:rsidRPr="00B13CBE">
        <w:rPr>
          <w:rFonts w:ascii="Arial" w:hAnsi="Arial" w:cs="Arial"/>
          <w:color w:val="000000" w:themeColor="text1"/>
        </w:rPr>
        <w:t xml:space="preserve"> asset returns at two</w:t>
      </w:r>
      <w:r w:rsidR="00C32DCA" w:rsidRPr="00B13CBE">
        <w:rPr>
          <w:rFonts w:ascii="Arial" w:hAnsi="Arial" w:cs="Arial"/>
          <w:color w:val="000000" w:themeColor="text1"/>
        </w:rPr>
        <w:t xml:space="preserve"> </w:t>
      </w:r>
      <w:r w:rsidRPr="00B13CBE">
        <w:rPr>
          <w:rFonts w:ascii="Arial" w:hAnsi="Arial" w:cs="Arial"/>
          <w:color w:val="000000" w:themeColor="text1"/>
        </w:rPr>
        <w:t xml:space="preserve">different </w:t>
      </w:r>
      <w:r w:rsidR="00C32DCA" w:rsidRPr="00B13CBE">
        <w:rPr>
          <w:rFonts w:ascii="Arial" w:hAnsi="Arial" w:cs="Arial"/>
          <w:color w:val="000000" w:themeColor="text1"/>
        </w:rPr>
        <w:t>time intervals of equal length have the same statistical properties. This is very difficult to test empirically which is weak stationarity is used instead.</w:t>
      </w:r>
      <w:r w:rsidRPr="00B13CBE">
        <w:rPr>
          <w:rFonts w:ascii="Arial" w:hAnsi="Arial" w:cs="Arial"/>
          <w:color w:val="000000" w:themeColor="text1"/>
        </w:rPr>
        <w:t xml:space="preserve"> </w:t>
      </w:r>
      <w:r w:rsidRPr="00B13CBE">
        <w:rPr>
          <w:rFonts w:ascii="Arial" w:hAnsi="Arial" w:cs="Arial"/>
          <w:color w:val="000000" w:themeColor="text1"/>
        </w:rPr>
        <w:fldChar w:fldCharType="begin"/>
      </w:r>
      <w:r w:rsidRPr="00B13CBE">
        <w:rPr>
          <w:rFonts w:ascii="Arial" w:hAnsi="Arial" w:cs="Arial"/>
          <w:color w:val="000000" w:themeColor="text1"/>
        </w:rPr>
        <w:instrText xml:space="preserve"> ADDIN ZOTERO_ITEM CSL_CITATION {"citationID":"9Og8K80u","properties":{"formattedCitation":"(Gu\\uc0\\u233{}gan and Hassani, 2019)","plainCitation":"(Guégan and Hassani, 2019)","noteIndex":0},"citationItems":[{"id":419,"uris":["http://zotero.org/users/local/XXne8Mwc/items/5E5MKTYV"],"uri":["http://zotero.org/users/local/XXne8Mwc/items/5E5MKTYV"],"itemData":{"id":419,"type":"webpage","title":"Risk Measurement - From Quantitative Measures to Management Decisions","URL":"https://www.springer.com/gp/book/9783030026790","author":[{"family":"Guégan","given":"Dominique"},{"family":"Hassani","given":"Bertrand"}],"accessed":{"date-parts":[["2021",7,29]]},"issued":{"date-parts":[["2019"]]}}}],"schema":"https://github.com/citation-style-language/schema/raw/master/csl-citation.json"} </w:instrText>
      </w:r>
      <w:r w:rsidRPr="00B13CBE">
        <w:rPr>
          <w:rFonts w:ascii="Arial" w:hAnsi="Arial" w:cs="Arial"/>
          <w:color w:val="000000" w:themeColor="text1"/>
        </w:rPr>
        <w:fldChar w:fldCharType="separate"/>
      </w:r>
      <w:r w:rsidRPr="00B13CBE">
        <w:rPr>
          <w:rFonts w:ascii="Arial" w:hAnsi="Arial" w:cs="Arial"/>
          <w:color w:val="000000" w:themeColor="text1"/>
        </w:rPr>
        <w:t>Guégan and Hassani, (2019)</w:t>
      </w:r>
      <w:r w:rsidRPr="00B13CBE">
        <w:rPr>
          <w:rFonts w:ascii="Arial" w:hAnsi="Arial" w:cs="Arial"/>
          <w:color w:val="000000" w:themeColor="text1"/>
        </w:rPr>
        <w:fldChar w:fldCharType="end"/>
      </w:r>
      <w:r w:rsidRPr="00B13CBE">
        <w:rPr>
          <w:rFonts w:ascii="Arial" w:hAnsi="Arial" w:cs="Arial"/>
          <w:color w:val="000000" w:themeColor="text1"/>
        </w:rPr>
        <w:t xml:space="preserve"> </w:t>
      </w:r>
      <w:r w:rsidR="00C32DCA" w:rsidRPr="00B13CBE">
        <w:rPr>
          <w:rFonts w:ascii="Arial" w:hAnsi="Arial" w:cs="Arial"/>
          <w:color w:val="000000" w:themeColor="text1"/>
        </w:rPr>
        <w:t xml:space="preserve"> </w:t>
      </w:r>
      <w:r w:rsidRPr="00B13CBE">
        <w:rPr>
          <w:rFonts w:ascii="Arial" w:hAnsi="Arial" w:cs="Arial"/>
          <w:color w:val="000000" w:themeColor="text1"/>
        </w:rPr>
        <w:t>define weak stationarity as follows.</w:t>
      </w:r>
    </w:p>
    <w:p w14:paraId="73E71561" w14:textId="77777777" w:rsidR="00E37EFE" w:rsidRPr="00B13CBE" w:rsidRDefault="00C4772C" w:rsidP="00781A3B">
      <w:pPr>
        <w:pStyle w:val="Heading4"/>
        <w:spacing w:line="360" w:lineRule="auto"/>
        <w:jc w:val="both"/>
        <w:rPr>
          <w:rFonts w:ascii="Arial" w:hAnsi="Arial" w:cs="Arial"/>
          <w:b/>
          <w:bCs/>
          <w:color w:val="000000" w:themeColor="text1"/>
          <w:sz w:val="24"/>
          <w:szCs w:val="24"/>
        </w:rPr>
      </w:pPr>
      <w:r w:rsidRPr="00B13CBE">
        <w:rPr>
          <w:rFonts w:ascii="Arial" w:hAnsi="Arial" w:cs="Arial"/>
          <w:b/>
          <w:bCs/>
          <w:color w:val="000000" w:themeColor="text1"/>
          <w:sz w:val="24"/>
          <w:szCs w:val="24"/>
        </w:rPr>
        <w:t>Definition 4.1.1.1 Weak Stationarity</w:t>
      </w:r>
    </w:p>
    <w:p w14:paraId="032C1564" w14:textId="77777777" w:rsidR="001F4CEB" w:rsidRPr="00B13CBE" w:rsidRDefault="00C4772C" w:rsidP="00781A3B">
      <w:pPr>
        <w:pStyle w:val="BodyText"/>
        <w:spacing w:line="360" w:lineRule="auto"/>
        <w:jc w:val="both"/>
        <w:rPr>
          <w:rFonts w:ascii="Arial" w:hAnsi="Arial" w:cs="Arial"/>
          <w:i/>
          <w:iCs/>
          <w:color w:val="000000" w:themeColor="text1"/>
        </w:rPr>
      </w:pPr>
      <w:r w:rsidRPr="00B13CBE">
        <w:rPr>
          <w:rFonts w:ascii="Arial" w:hAnsi="Arial" w:cs="Arial"/>
          <w:i/>
          <w:iCs/>
          <w:color w:val="000000" w:themeColor="text1"/>
        </w:rPr>
        <w:t xml:space="preserve">A second-order stochastic process </w:t>
      </w:r>
      <m:oMath>
        <m:d>
          <m:dPr>
            <m:ctrlPr>
              <w:rPr>
                <w:rFonts w:ascii="Cambria Math" w:hAnsi="Cambria Math" w:cs="Arial"/>
                <w:i/>
                <w:iCs/>
                <w:color w:val="000000" w:themeColor="text1"/>
              </w:rPr>
            </m:ctrlPr>
          </m:dPr>
          <m:e>
            <m:sSub>
              <m:sSubPr>
                <m:ctrlPr>
                  <w:rPr>
                    <w:rFonts w:ascii="Cambria Math" w:hAnsi="Cambria Math" w:cs="Arial"/>
                    <w:i/>
                    <w:iCs/>
                    <w:color w:val="000000" w:themeColor="text1"/>
                  </w:rPr>
                </m:ctrlPr>
              </m:sSubPr>
              <m:e>
                <m:r>
                  <w:rPr>
                    <w:rFonts w:ascii="Cambria Math" w:hAnsi="Cambria Math" w:cs="Arial"/>
                    <w:color w:val="000000" w:themeColor="text1"/>
                  </w:rPr>
                  <m:t>Y</m:t>
                </m:r>
              </m:e>
              <m:sub>
                <m:r>
                  <w:rPr>
                    <w:rFonts w:ascii="Cambria Math" w:hAnsi="Cambria Math" w:cs="Arial"/>
                    <w:color w:val="000000" w:themeColor="text1"/>
                  </w:rPr>
                  <m:t>t</m:t>
                </m:r>
              </m:sub>
            </m:sSub>
          </m:e>
        </m:d>
        <m:r>
          <w:rPr>
            <w:rFonts w:ascii="Cambria Math" w:hAnsi="Cambria Math" w:cs="Arial"/>
            <w:color w:val="000000" w:themeColor="text1"/>
          </w:rPr>
          <m:t>t</m:t>
        </m:r>
      </m:oMath>
      <w:r w:rsidRPr="00B13CBE">
        <w:rPr>
          <w:rFonts w:ascii="Arial" w:hAnsi="Arial" w:cs="Arial"/>
          <w:i/>
          <w:iCs/>
          <w:color w:val="000000" w:themeColor="text1"/>
        </w:rPr>
        <w:t xml:space="preserve"> has weak stationarity if:</w:t>
      </w:r>
    </w:p>
    <w:p w14:paraId="4D3D4736" w14:textId="77777777" w:rsidR="001F4CEB" w:rsidRPr="00B13CBE" w:rsidRDefault="00C4772C" w:rsidP="00781A3B">
      <w:pPr>
        <w:numPr>
          <w:ilvl w:val="0"/>
          <w:numId w:val="31"/>
        </w:numPr>
        <w:spacing w:after="200" w:line="360" w:lineRule="auto"/>
        <w:jc w:val="both"/>
        <w:rPr>
          <w:rFonts w:ascii="Arial" w:hAnsi="Arial" w:cs="Arial"/>
          <w:i/>
          <w:iCs/>
          <w:color w:val="000000" w:themeColor="text1"/>
          <w:sz w:val="24"/>
          <w:szCs w:val="24"/>
        </w:rPr>
      </w:pPr>
      <m:oMath>
        <m:r>
          <w:rPr>
            <w:rFonts w:ascii="Cambria Math" w:hAnsi="Cambria Math" w:cs="Arial"/>
            <w:color w:val="000000" w:themeColor="text1"/>
            <w:sz w:val="24"/>
            <w:szCs w:val="24"/>
          </w:rPr>
          <m:t>E</m:t>
        </m:r>
        <m:d>
          <m:dPr>
            <m:ctrlPr>
              <w:rPr>
                <w:rFonts w:ascii="Cambria Math" w:hAnsi="Cambria Math" w:cs="Arial"/>
                <w:i/>
                <w:iCs/>
                <w:color w:val="000000" w:themeColor="text1"/>
                <w:sz w:val="24"/>
                <w:szCs w:val="24"/>
              </w:rPr>
            </m:ctrlPr>
          </m:dPr>
          <m:e>
            <m:sSub>
              <m:sSubPr>
                <m:ctrlPr>
                  <w:rPr>
                    <w:rFonts w:ascii="Cambria Math" w:hAnsi="Cambria Math" w:cs="Arial"/>
                    <w:i/>
                    <w:iCs/>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t</m:t>
                </m:r>
              </m:sub>
            </m:sSub>
          </m:e>
        </m:d>
        <m:r>
          <w:rPr>
            <w:rFonts w:ascii="Cambria Math" w:hAnsi="Cambria Math" w:cs="Arial"/>
            <w:color w:val="000000" w:themeColor="text1"/>
            <w:sz w:val="24"/>
            <w:szCs w:val="24"/>
          </w:rPr>
          <m:t>=μ ∀t</m:t>
        </m:r>
      </m:oMath>
    </w:p>
    <w:p w14:paraId="42E1D110" w14:textId="77777777" w:rsidR="001F4CEB" w:rsidRPr="00B13CBE" w:rsidRDefault="00C4772C" w:rsidP="00781A3B">
      <w:pPr>
        <w:numPr>
          <w:ilvl w:val="0"/>
          <w:numId w:val="31"/>
        </w:numPr>
        <w:spacing w:after="200" w:line="360" w:lineRule="auto"/>
        <w:jc w:val="both"/>
        <w:rPr>
          <w:rFonts w:ascii="Arial" w:hAnsi="Arial" w:cs="Arial"/>
          <w:i/>
          <w:iCs/>
          <w:color w:val="000000" w:themeColor="text1"/>
          <w:sz w:val="24"/>
          <w:szCs w:val="24"/>
        </w:rPr>
      </w:pPr>
      <m:oMath>
        <m:r>
          <w:rPr>
            <w:rFonts w:ascii="Cambria Math" w:hAnsi="Cambria Math" w:cs="Arial"/>
            <w:color w:val="000000" w:themeColor="text1"/>
            <w:sz w:val="24"/>
            <w:szCs w:val="24"/>
          </w:rPr>
          <w:lastRenderedPageBreak/>
          <m:t>Var</m:t>
        </m:r>
        <m:d>
          <m:dPr>
            <m:ctrlPr>
              <w:rPr>
                <w:rFonts w:ascii="Cambria Math" w:hAnsi="Cambria Math" w:cs="Arial"/>
                <w:i/>
                <w:iCs/>
                <w:color w:val="000000" w:themeColor="text1"/>
                <w:sz w:val="24"/>
                <w:szCs w:val="24"/>
              </w:rPr>
            </m:ctrlPr>
          </m:dPr>
          <m:e>
            <m:sSub>
              <m:sSubPr>
                <m:ctrlPr>
                  <w:rPr>
                    <w:rFonts w:ascii="Cambria Math" w:hAnsi="Cambria Math" w:cs="Arial"/>
                    <w:i/>
                    <w:iCs/>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t</m:t>
                </m:r>
              </m:sub>
            </m:sSub>
          </m:e>
        </m:d>
        <m:r>
          <w:rPr>
            <w:rFonts w:ascii="Cambria Math" w:hAnsi="Cambria Math" w:cs="Arial"/>
            <w:color w:val="000000" w:themeColor="text1"/>
            <w:sz w:val="24"/>
            <w:szCs w:val="24"/>
          </w:rPr>
          <m:t>=</m:t>
        </m:r>
        <m:sSup>
          <m:sSupPr>
            <m:ctrlPr>
              <w:rPr>
                <w:rFonts w:ascii="Cambria Math" w:hAnsi="Cambria Math" w:cs="Arial"/>
                <w:i/>
                <w:iCs/>
                <w:color w:val="000000" w:themeColor="text1"/>
                <w:sz w:val="24"/>
                <w:szCs w:val="24"/>
              </w:rPr>
            </m:ctrlPr>
          </m:sSupPr>
          <m:e>
            <m:r>
              <w:rPr>
                <w:rFonts w:ascii="Cambria Math" w:hAnsi="Cambria Math" w:cs="Arial"/>
                <w:color w:val="000000" w:themeColor="text1"/>
                <w:sz w:val="24"/>
                <w:szCs w:val="24"/>
              </w:rPr>
              <m:t>σ</m:t>
            </m:r>
          </m:e>
          <m:sup>
            <m:r>
              <w:rPr>
                <w:rFonts w:ascii="Cambria Math" w:hAnsi="Cambria Math" w:cs="Arial"/>
                <w:color w:val="000000" w:themeColor="text1"/>
                <w:sz w:val="24"/>
                <w:szCs w:val="24"/>
              </w:rPr>
              <m:t>2</m:t>
            </m:r>
          </m:sup>
        </m:sSup>
        <m:r>
          <w:rPr>
            <w:rFonts w:ascii="Cambria Math" w:hAnsi="Cambria Math" w:cs="Arial"/>
            <w:color w:val="000000" w:themeColor="text1"/>
            <w:sz w:val="24"/>
            <w:szCs w:val="24"/>
          </w:rPr>
          <m:t> ∀t</m:t>
        </m:r>
      </m:oMath>
    </w:p>
    <w:p w14:paraId="6C1E399D" w14:textId="77777777" w:rsidR="00E37EFE" w:rsidRPr="00B13CBE" w:rsidRDefault="00C4772C" w:rsidP="00781A3B">
      <w:pPr>
        <w:numPr>
          <w:ilvl w:val="0"/>
          <w:numId w:val="31"/>
        </w:numPr>
        <w:spacing w:after="200" w:line="360" w:lineRule="auto"/>
        <w:jc w:val="both"/>
        <w:rPr>
          <w:rFonts w:ascii="Arial" w:hAnsi="Arial" w:cs="Arial"/>
          <w:i/>
          <w:iCs/>
          <w:color w:val="000000" w:themeColor="text1"/>
          <w:sz w:val="24"/>
          <w:szCs w:val="24"/>
        </w:rPr>
      </w:pPr>
      <m:oMath>
        <m:r>
          <w:rPr>
            <w:rFonts w:ascii="Cambria Math" w:hAnsi="Cambria Math" w:cs="Arial"/>
            <w:color w:val="000000" w:themeColor="text1"/>
            <w:sz w:val="24"/>
            <w:szCs w:val="24"/>
          </w:rPr>
          <m:t>Cov</m:t>
        </m:r>
        <m:d>
          <m:dPr>
            <m:ctrlPr>
              <w:rPr>
                <w:rFonts w:ascii="Cambria Math" w:hAnsi="Cambria Math" w:cs="Arial"/>
                <w:i/>
                <w:iCs/>
                <w:color w:val="000000" w:themeColor="text1"/>
                <w:sz w:val="24"/>
                <w:szCs w:val="24"/>
              </w:rPr>
            </m:ctrlPr>
          </m:dPr>
          <m:e>
            <m:sSub>
              <m:sSubPr>
                <m:ctrlPr>
                  <w:rPr>
                    <w:rFonts w:ascii="Cambria Math" w:hAnsi="Cambria Math" w:cs="Arial"/>
                    <w:i/>
                    <w:iCs/>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t</m:t>
                </m:r>
              </m:sub>
            </m:sSub>
            <m:r>
              <w:rPr>
                <w:rFonts w:ascii="Cambria Math" w:hAnsi="Cambria Math" w:cs="Arial"/>
                <w:color w:val="000000" w:themeColor="text1"/>
                <w:sz w:val="24"/>
                <w:szCs w:val="24"/>
              </w:rPr>
              <m:t>,</m:t>
            </m:r>
            <m:sSub>
              <m:sSubPr>
                <m:ctrlPr>
                  <w:rPr>
                    <w:rFonts w:ascii="Cambria Math" w:hAnsi="Cambria Math" w:cs="Arial"/>
                    <w:i/>
                    <w:iCs/>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t+h</m:t>
                </m:r>
              </m:sub>
            </m:sSub>
          </m:e>
        </m:d>
        <m:r>
          <w:rPr>
            <w:rFonts w:ascii="Cambria Math" w:hAnsi="Cambria Math" w:cs="Arial"/>
            <w:color w:val="000000" w:themeColor="text1"/>
            <w:sz w:val="24"/>
            <w:szCs w:val="24"/>
          </w:rPr>
          <m:t>=γ</m:t>
        </m:r>
        <m:d>
          <m:dPr>
            <m:ctrlPr>
              <w:rPr>
                <w:rFonts w:ascii="Cambria Math" w:hAnsi="Cambria Math" w:cs="Arial"/>
                <w:i/>
                <w:iCs/>
                <w:color w:val="000000" w:themeColor="text1"/>
                <w:sz w:val="24"/>
                <w:szCs w:val="24"/>
              </w:rPr>
            </m:ctrlPr>
          </m:dPr>
          <m:e>
            <m:r>
              <w:rPr>
                <w:rFonts w:ascii="Cambria Math" w:hAnsi="Cambria Math" w:cs="Arial"/>
                <w:color w:val="000000" w:themeColor="text1"/>
                <w:sz w:val="24"/>
                <w:szCs w:val="24"/>
              </w:rPr>
              <m:t>h</m:t>
            </m:r>
          </m:e>
        </m:d>
        <m:r>
          <w:rPr>
            <w:rFonts w:ascii="Cambria Math" w:hAnsi="Cambria Math" w:cs="Arial"/>
            <w:color w:val="000000" w:themeColor="text1"/>
            <w:sz w:val="24"/>
            <w:szCs w:val="24"/>
          </w:rPr>
          <m:t> ∀t</m:t>
        </m:r>
      </m:oMath>
    </w:p>
    <w:p w14:paraId="5E951DF7" w14:textId="77777777"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Weak stationarity simply means that a time series should have a constant mean, constant variance, and covariance should be non-zero. According to Tsay (2005), volatility of asset returns varies within a fixed range and</w:t>
      </w:r>
      <w:r w:rsidR="008E428F" w:rsidRPr="00B13CBE">
        <w:rPr>
          <w:rFonts w:ascii="Arial" w:hAnsi="Arial" w:cs="Arial"/>
          <w:color w:val="000000" w:themeColor="text1"/>
        </w:rPr>
        <w:t xml:space="preserve"> </w:t>
      </w:r>
      <w:r w:rsidRPr="00B13CBE">
        <w:rPr>
          <w:rFonts w:ascii="Arial" w:hAnsi="Arial" w:cs="Arial"/>
          <w:color w:val="000000" w:themeColor="text1"/>
        </w:rPr>
        <w:t>is therefore</w:t>
      </w:r>
      <w:r w:rsidR="008E428F" w:rsidRPr="00B13CBE">
        <w:rPr>
          <w:rFonts w:ascii="Arial" w:hAnsi="Arial" w:cs="Arial"/>
          <w:color w:val="000000" w:themeColor="text1"/>
        </w:rPr>
        <w:t xml:space="preserve"> of </w:t>
      </w:r>
      <w:r w:rsidRPr="00B13CBE">
        <w:rPr>
          <w:rFonts w:ascii="Arial" w:hAnsi="Arial" w:cs="Arial"/>
          <w:color w:val="000000" w:themeColor="text1"/>
        </w:rPr>
        <w:t>weak stationar</w:t>
      </w:r>
      <w:r w:rsidR="008E428F" w:rsidRPr="00B13CBE">
        <w:rPr>
          <w:rFonts w:ascii="Arial" w:hAnsi="Arial" w:cs="Arial"/>
          <w:color w:val="000000" w:themeColor="text1"/>
        </w:rPr>
        <w:t>it</w:t>
      </w:r>
      <w:r w:rsidRPr="00B13CBE">
        <w:rPr>
          <w:rFonts w:ascii="Arial" w:hAnsi="Arial" w:cs="Arial"/>
          <w:color w:val="000000" w:themeColor="text1"/>
        </w:rPr>
        <w:t xml:space="preserve">y. GARCH models require a time series to </w:t>
      </w:r>
      <w:r w:rsidR="008E428F" w:rsidRPr="00B13CBE">
        <w:rPr>
          <w:rFonts w:ascii="Arial" w:hAnsi="Arial" w:cs="Arial"/>
          <w:color w:val="000000" w:themeColor="text1"/>
        </w:rPr>
        <w:t>have</w:t>
      </w:r>
      <w:r w:rsidRPr="00B13CBE">
        <w:rPr>
          <w:rFonts w:ascii="Arial" w:hAnsi="Arial" w:cs="Arial"/>
          <w:color w:val="000000" w:themeColor="text1"/>
        </w:rPr>
        <w:t xml:space="preserve"> weak stationar</w:t>
      </w:r>
      <w:r w:rsidR="008E428F" w:rsidRPr="00B13CBE">
        <w:rPr>
          <w:rFonts w:ascii="Arial" w:hAnsi="Arial" w:cs="Arial"/>
          <w:color w:val="000000" w:themeColor="text1"/>
        </w:rPr>
        <w:t>it</w:t>
      </w:r>
      <w:r w:rsidRPr="00B13CBE">
        <w:rPr>
          <w:rFonts w:ascii="Arial" w:hAnsi="Arial" w:cs="Arial"/>
          <w:color w:val="000000" w:themeColor="text1"/>
        </w:rPr>
        <w:t xml:space="preserve">y for parameter estimates to converge. </w:t>
      </w:r>
    </w:p>
    <w:p w14:paraId="19AB7628" w14:textId="77777777" w:rsidR="001F4CEB" w:rsidRPr="00B13CBE" w:rsidRDefault="00C4772C" w:rsidP="00781A3B">
      <w:pPr>
        <w:pStyle w:val="Heading4"/>
        <w:numPr>
          <w:ilvl w:val="3"/>
          <w:numId w:val="18"/>
        </w:numPr>
        <w:spacing w:before="0" w:line="360" w:lineRule="auto"/>
        <w:jc w:val="both"/>
        <w:rPr>
          <w:rFonts w:ascii="Arial" w:hAnsi="Arial" w:cs="Arial"/>
          <w:b/>
          <w:bCs/>
          <w:i w:val="0"/>
          <w:iCs w:val="0"/>
          <w:color w:val="000000" w:themeColor="text1"/>
          <w:sz w:val="24"/>
          <w:szCs w:val="24"/>
        </w:rPr>
      </w:pPr>
      <w:r w:rsidRPr="00B13CBE">
        <w:rPr>
          <w:rFonts w:ascii="Arial" w:hAnsi="Arial" w:cs="Arial"/>
          <w:b/>
          <w:bCs/>
          <w:i w:val="0"/>
          <w:iCs w:val="0"/>
          <w:color w:val="000000" w:themeColor="text1"/>
          <w:sz w:val="24"/>
          <w:szCs w:val="24"/>
        </w:rPr>
        <w:t xml:space="preserve">Testing </w:t>
      </w:r>
      <w:r w:rsidR="00AF71BE" w:rsidRPr="00B13CBE">
        <w:rPr>
          <w:rFonts w:ascii="Arial" w:hAnsi="Arial" w:cs="Arial"/>
          <w:b/>
          <w:bCs/>
          <w:i w:val="0"/>
          <w:iCs w:val="0"/>
          <w:color w:val="000000" w:themeColor="text1"/>
          <w:sz w:val="24"/>
          <w:szCs w:val="24"/>
        </w:rPr>
        <w:t>f</w:t>
      </w:r>
      <w:r w:rsidR="008E428F" w:rsidRPr="00B13CBE">
        <w:rPr>
          <w:rFonts w:ascii="Arial" w:hAnsi="Arial" w:cs="Arial"/>
          <w:b/>
          <w:bCs/>
          <w:i w:val="0"/>
          <w:iCs w:val="0"/>
          <w:color w:val="000000" w:themeColor="text1"/>
          <w:sz w:val="24"/>
          <w:szCs w:val="24"/>
        </w:rPr>
        <w:t xml:space="preserve">or </w:t>
      </w:r>
      <w:r w:rsidRPr="00B13CBE">
        <w:rPr>
          <w:rFonts w:ascii="Arial" w:hAnsi="Arial" w:cs="Arial"/>
          <w:b/>
          <w:bCs/>
          <w:i w:val="0"/>
          <w:iCs w:val="0"/>
          <w:color w:val="000000" w:themeColor="text1"/>
          <w:sz w:val="24"/>
          <w:szCs w:val="24"/>
        </w:rPr>
        <w:t>Stationarity</w:t>
      </w:r>
      <w:r w:rsidR="008E428F" w:rsidRPr="00B13CBE">
        <w:rPr>
          <w:rFonts w:ascii="Arial" w:hAnsi="Arial" w:cs="Arial"/>
          <w:b/>
          <w:bCs/>
          <w:i w:val="0"/>
          <w:iCs w:val="0"/>
          <w:color w:val="000000" w:themeColor="text1"/>
          <w:sz w:val="24"/>
          <w:szCs w:val="24"/>
        </w:rPr>
        <w:t xml:space="preserve">: </w:t>
      </w:r>
      <w:r w:rsidRPr="00B13CBE">
        <w:rPr>
          <w:rFonts w:ascii="Arial" w:hAnsi="Arial" w:cs="Arial"/>
          <w:b/>
          <w:bCs/>
          <w:i w:val="0"/>
          <w:iCs w:val="0"/>
          <w:color w:val="000000" w:themeColor="text1"/>
          <w:sz w:val="24"/>
          <w:szCs w:val="24"/>
        </w:rPr>
        <w:t xml:space="preserve">Augmented Dickey-Fuller </w:t>
      </w:r>
      <w:r w:rsidR="008E428F" w:rsidRPr="00B13CBE">
        <w:rPr>
          <w:rFonts w:ascii="Arial" w:hAnsi="Arial" w:cs="Arial"/>
          <w:b/>
          <w:bCs/>
          <w:i w:val="0"/>
          <w:iCs w:val="0"/>
          <w:color w:val="000000" w:themeColor="text1"/>
          <w:sz w:val="24"/>
          <w:szCs w:val="24"/>
        </w:rPr>
        <w:t>Test</w:t>
      </w:r>
    </w:p>
    <w:p w14:paraId="61E0A5CF" w14:textId="77777777"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Unit root tests are used to test for stationarity. For models that are autoregressive such as the GARCH models, the sum of the estimated parameters must lie within the unit circle (Alexander, 2008). The null hypothesis of a unit root test is that the time series is not stationary (has a unit root) and the alternative is that it is stationary (does not have a unit root). In this study, the Augmented Dickey-Fuller (ADF) unit root test is used to test for the stationarity of each of the log return series. </w:t>
      </w:r>
    </w:p>
    <w:p w14:paraId="0245E8C5" w14:textId="72BDB2E4"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According to Alexander</w:t>
      </w:r>
      <w:r w:rsidR="00756235" w:rsidRPr="00B13CBE">
        <w:rPr>
          <w:rFonts w:ascii="Arial" w:hAnsi="Arial" w:cs="Arial"/>
          <w:color w:val="000000" w:themeColor="text1"/>
        </w:rPr>
        <w:t xml:space="preserve"> </w:t>
      </w:r>
      <w:r w:rsidRPr="00B13CBE">
        <w:rPr>
          <w:rFonts w:ascii="Arial" w:hAnsi="Arial" w:cs="Arial"/>
          <w:color w:val="000000" w:themeColor="text1"/>
        </w:rPr>
        <w:t>(2008), the ADF(q) test is based on the regression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6362CF9D" w14:textId="77777777" w:rsidTr="00DA4541">
        <w:tc>
          <w:tcPr>
            <w:tcW w:w="805" w:type="dxa"/>
            <w:vAlign w:val="center"/>
          </w:tcPr>
          <w:p w14:paraId="6E01593C" w14:textId="77777777" w:rsidR="00DA4541" w:rsidRPr="00B13CBE" w:rsidRDefault="00DA4541" w:rsidP="00FC6236">
            <w:pPr>
              <w:pStyle w:val="BodyText"/>
              <w:jc w:val="center"/>
              <w:rPr>
                <w:rFonts w:ascii="Arial" w:hAnsi="Arial" w:cs="Arial"/>
              </w:rPr>
            </w:pPr>
          </w:p>
        </w:tc>
        <w:tc>
          <w:tcPr>
            <w:tcW w:w="6840" w:type="dxa"/>
            <w:vAlign w:val="center"/>
          </w:tcPr>
          <w:p w14:paraId="44C94D9B" w14:textId="0656BF67" w:rsidR="00DA4541" w:rsidRPr="00B13CBE" w:rsidRDefault="00DA4541" w:rsidP="00DA4541">
            <w:pPr>
              <w:pStyle w:val="BodyText"/>
              <w:spacing w:line="360" w:lineRule="auto"/>
              <w:jc w:val="both"/>
              <w:rPr>
                <w:rFonts w:ascii="Arial" w:hAnsi="Arial" w:cs="Arial"/>
                <w:color w:val="000000" w:themeColor="text1"/>
              </w:rPr>
            </w:pPr>
            <m:oMathPara>
              <m:oMath>
                <m:r>
                  <w:rPr>
                    <w:rFonts w:ascii="Cambria Math" w:hAnsi="Cambria Math" w:cs="Arial"/>
                    <w:color w:val="000000" w:themeColor="text1"/>
                  </w:rPr>
                  <m:t>Δ</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sub>
                </m:sSub>
                <m:r>
                  <m:rPr>
                    <m:sty m:val="p"/>
                  </m:rPr>
                  <w:rPr>
                    <w:rFonts w:ascii="Cambria Math" w:hAnsi="Cambria Math" w:cs="Arial"/>
                    <w:color w:val="000000" w:themeColor="text1"/>
                  </w:rPr>
                  <m:t>=</m:t>
                </m:r>
                <m:r>
                  <w:rPr>
                    <w:rFonts w:ascii="Cambria Math" w:hAnsi="Cambria Math" w:cs="Arial"/>
                    <w:color w:val="000000" w:themeColor="text1"/>
                  </w:rPr>
                  <m:t>α</m:t>
                </m:r>
                <m:r>
                  <m:rPr>
                    <m:sty m:val="p"/>
                  </m:rPr>
                  <w:rPr>
                    <w:rFonts w:ascii="Cambria Math" w:hAnsi="Cambria Math" w:cs="Arial"/>
                    <w:color w:val="000000" w:themeColor="text1"/>
                  </w:rPr>
                  <m:t>+</m:t>
                </m:r>
                <m:r>
                  <w:rPr>
                    <w:rFonts w:ascii="Cambria Math" w:hAnsi="Cambria Math" w:cs="Arial"/>
                    <w:color w:val="000000" w:themeColor="text1"/>
                  </w:rPr>
                  <m:t>β</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γ</m:t>
                    </m:r>
                  </m:e>
                  <m:sub>
                    <m:r>
                      <w:rPr>
                        <w:rFonts w:ascii="Cambria Math" w:hAnsi="Cambria Math" w:cs="Arial"/>
                        <w:color w:val="000000" w:themeColor="text1"/>
                      </w:rPr>
                      <m:t>1</m:t>
                    </m:r>
                  </m:sub>
                </m:sSub>
                <m:r>
                  <w:rPr>
                    <w:rFonts w:ascii="Cambria Math" w:hAnsi="Cambria Math" w:cs="Arial"/>
                    <w:color w:val="000000" w:themeColor="text1"/>
                  </w:rPr>
                  <m:t>Δ</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γ</m:t>
                    </m:r>
                  </m:e>
                  <m:sub>
                    <m:r>
                      <w:rPr>
                        <w:rFonts w:ascii="Cambria Math" w:hAnsi="Cambria Math" w:cs="Arial"/>
                        <w:color w:val="000000" w:themeColor="text1"/>
                      </w:rPr>
                      <m:t>q</m:t>
                    </m:r>
                  </m:sub>
                </m:sSub>
                <m:r>
                  <w:rPr>
                    <w:rFonts w:ascii="Cambria Math" w:hAnsi="Cambria Math" w:cs="Arial"/>
                    <w:color w:val="000000" w:themeColor="text1"/>
                  </w:rPr>
                  <m:t>Δ</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q</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ϵ</m:t>
                    </m:r>
                  </m:e>
                  <m:sub>
                    <m:r>
                      <w:rPr>
                        <w:rFonts w:ascii="Cambria Math" w:hAnsi="Cambria Math" w:cs="Arial"/>
                        <w:color w:val="000000" w:themeColor="text1"/>
                      </w:rPr>
                      <m:t>t</m:t>
                    </m:r>
                  </m:sub>
                </m:sSub>
              </m:oMath>
            </m:oMathPara>
          </w:p>
        </w:tc>
        <w:tc>
          <w:tcPr>
            <w:tcW w:w="985" w:type="dxa"/>
            <w:vAlign w:val="center"/>
          </w:tcPr>
          <w:p w14:paraId="79B3020E" w14:textId="1768BF8E"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7</w:t>
            </w:r>
            <w:r w:rsidR="00FC6236" w:rsidRPr="00B13CBE">
              <w:rPr>
                <w:rFonts w:ascii="Arial" w:hAnsi="Arial" w:cs="Arial"/>
                <w:noProof/>
              </w:rPr>
              <w:fldChar w:fldCharType="end"/>
            </w:r>
            <w:r w:rsidRPr="00B13CBE">
              <w:rPr>
                <w:rFonts w:ascii="Arial" w:hAnsi="Arial" w:cs="Arial"/>
              </w:rPr>
              <w:t>)</w:t>
            </w:r>
          </w:p>
        </w:tc>
      </w:tr>
    </w:tbl>
    <w:p w14:paraId="3976C6A6" w14:textId="22EC6071"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 where </w:t>
      </w:r>
      <m:oMath>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sub>
        </m:sSub>
      </m:oMath>
      <w:r w:rsidRPr="00B13CBE">
        <w:rPr>
          <w:rFonts w:ascii="Arial" w:hAnsi="Arial" w:cs="Arial"/>
          <w:color w:val="000000" w:themeColor="text1"/>
        </w:rPr>
        <w:t xml:space="preserve"> is the observation at time </w:t>
      </w:r>
      <m:oMath>
        <m:r>
          <w:rPr>
            <w:rFonts w:ascii="Cambria Math" w:hAnsi="Cambria Math" w:cs="Arial"/>
            <w:color w:val="000000" w:themeColor="text1"/>
          </w:rPr>
          <m:t>t</m:t>
        </m:r>
      </m:oMath>
      <w:r w:rsidRPr="00B13CBE">
        <w:rPr>
          <w:rFonts w:ascii="Arial" w:hAnsi="Arial" w:cs="Arial"/>
          <w:color w:val="000000" w:themeColor="text1"/>
        </w:rPr>
        <w:t xml:space="preserve"> and </w:t>
      </w:r>
      <m:oMath>
        <m:r>
          <w:rPr>
            <w:rFonts w:ascii="Cambria Math" w:hAnsi="Cambria Math" w:cs="Arial"/>
            <w:color w:val="000000" w:themeColor="text1"/>
          </w:rPr>
          <m:t>Δ</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q</m:t>
            </m:r>
          </m:sub>
        </m:sSub>
      </m:oMath>
      <w:r w:rsidRPr="00B13CBE">
        <w:rPr>
          <w:rFonts w:ascii="Arial" w:hAnsi="Arial" w:cs="Arial"/>
          <w:color w:val="000000" w:themeColor="text1"/>
        </w:rPr>
        <w:t xml:space="preserve"> is the difference series at lag </w:t>
      </w:r>
      <m:oMath>
        <m:r>
          <w:rPr>
            <w:rFonts w:ascii="Cambria Math" w:hAnsi="Cambria Math" w:cs="Arial"/>
            <w:color w:val="000000" w:themeColor="text1"/>
          </w:rPr>
          <m:t>q</m:t>
        </m:r>
      </m:oMath>
      <w:r w:rsidRPr="00B13CBE">
        <w:rPr>
          <w:rFonts w:ascii="Arial" w:hAnsi="Arial" w:cs="Arial"/>
          <w:color w:val="000000" w:themeColor="text1"/>
        </w:rPr>
        <w:t>. The ADF test statistic is the t statistic which: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24E0DEA7" w14:textId="77777777" w:rsidTr="00DA4541">
        <w:tc>
          <w:tcPr>
            <w:tcW w:w="805" w:type="dxa"/>
            <w:vAlign w:val="center"/>
          </w:tcPr>
          <w:p w14:paraId="696E0674" w14:textId="77777777" w:rsidR="00DA4541" w:rsidRPr="00B13CBE" w:rsidRDefault="00DA4541" w:rsidP="00FC6236">
            <w:pPr>
              <w:pStyle w:val="BodyText"/>
              <w:jc w:val="center"/>
              <w:rPr>
                <w:rFonts w:ascii="Arial" w:hAnsi="Arial" w:cs="Arial"/>
              </w:rPr>
            </w:pPr>
          </w:p>
        </w:tc>
        <w:tc>
          <w:tcPr>
            <w:tcW w:w="6840" w:type="dxa"/>
            <w:vAlign w:val="center"/>
          </w:tcPr>
          <w:p w14:paraId="3CFA87A7" w14:textId="23C015B7" w:rsidR="00DA4541" w:rsidRPr="00B13CBE" w:rsidRDefault="00DA4541" w:rsidP="00FC6236">
            <w:pPr>
              <w:pStyle w:val="BodyText"/>
              <w:jc w:val="center"/>
              <w:rPr>
                <w:rFonts w:ascii="Arial" w:hAnsi="Arial" w:cs="Arial"/>
              </w:rPr>
            </w:pPr>
            <m:oMathPara>
              <m:oMath>
                <m:r>
                  <w:rPr>
                    <w:rFonts w:ascii="Cambria Math" w:hAnsi="Cambria Math" w:cs="Arial"/>
                    <w:color w:val="000000" w:themeColor="text1"/>
                  </w:rPr>
                  <m:t>AD</m:t>
                </m:r>
                <m:sSub>
                  <m:sSubPr>
                    <m:ctrlPr>
                      <w:rPr>
                        <w:rFonts w:ascii="Cambria Math" w:hAnsi="Cambria Math" w:cs="Arial"/>
                        <w:color w:val="000000" w:themeColor="text1"/>
                      </w:rPr>
                    </m:ctrlPr>
                  </m:sSubPr>
                  <m:e>
                    <m:r>
                      <w:rPr>
                        <w:rFonts w:ascii="Cambria Math" w:hAnsi="Cambria Math" w:cs="Arial"/>
                        <w:color w:val="000000" w:themeColor="text1"/>
                      </w:rPr>
                      <m:t>F</m:t>
                    </m:r>
                  </m:e>
                  <m:sub>
                    <m:r>
                      <w:rPr>
                        <w:rFonts w:ascii="Cambria Math" w:hAnsi="Cambria Math" w:cs="Arial"/>
                        <w:color w:val="000000" w:themeColor="text1"/>
                      </w:rPr>
                      <m:t>statistic</m:t>
                    </m:r>
                  </m:sub>
                </m:sSub>
                <m:r>
                  <m:rPr>
                    <m:sty m:val="p"/>
                  </m:rPr>
                  <w:rPr>
                    <w:rFonts w:ascii="Cambria Math" w:hAnsi="Cambria Math" w:cs="Arial"/>
                    <w:color w:val="000000" w:themeColor="text1"/>
                  </w:rPr>
                  <m:t>=</m:t>
                </m:r>
                <m:f>
                  <m:fPr>
                    <m:ctrlPr>
                      <w:rPr>
                        <w:rFonts w:ascii="Cambria Math" w:hAnsi="Cambria Math" w:cs="Arial"/>
                        <w:color w:val="000000" w:themeColor="text1"/>
                      </w:rPr>
                    </m:ctrlPr>
                  </m:fPr>
                  <m:num>
                    <m:acc>
                      <m:accPr>
                        <m:ctrlPr>
                          <w:rPr>
                            <w:rFonts w:ascii="Cambria Math" w:hAnsi="Cambria Math" w:cs="Arial"/>
                            <w:color w:val="000000" w:themeColor="text1"/>
                          </w:rPr>
                        </m:ctrlPr>
                      </m:accPr>
                      <m:e>
                        <m:r>
                          <w:rPr>
                            <w:rFonts w:ascii="Cambria Math" w:hAnsi="Cambria Math" w:cs="Arial"/>
                            <w:color w:val="000000" w:themeColor="text1"/>
                          </w:rPr>
                          <m:t>β</m:t>
                        </m:r>
                      </m:e>
                    </m:acc>
                    <m:r>
                      <m:rPr>
                        <m:sty m:val="p"/>
                      </m:rPr>
                      <w:rPr>
                        <w:rFonts w:ascii="Cambria Math" w:hAnsi="Cambria Math" w:cs="Arial"/>
                        <w:color w:val="000000" w:themeColor="text1"/>
                      </w:rPr>
                      <m:t>-</m:t>
                    </m:r>
                    <m:r>
                      <w:rPr>
                        <w:rFonts w:ascii="Cambria Math" w:hAnsi="Cambria Math" w:cs="Arial"/>
                        <w:color w:val="000000" w:themeColor="text1"/>
                      </w:rPr>
                      <m:t>1</m:t>
                    </m:r>
                  </m:num>
                  <m:den>
                    <m:r>
                      <w:rPr>
                        <w:rFonts w:ascii="Cambria Math" w:hAnsi="Cambria Math" w:cs="Arial"/>
                        <w:color w:val="000000" w:themeColor="text1"/>
                      </w:rPr>
                      <m:t>std</m:t>
                    </m:r>
                    <m:d>
                      <m:dPr>
                        <m:ctrlPr>
                          <w:rPr>
                            <w:rFonts w:ascii="Cambria Math" w:hAnsi="Cambria Math" w:cs="Arial"/>
                            <w:color w:val="000000" w:themeColor="text1"/>
                          </w:rPr>
                        </m:ctrlPr>
                      </m:dPr>
                      <m:e>
                        <m:acc>
                          <m:accPr>
                            <m:ctrlPr>
                              <w:rPr>
                                <w:rFonts w:ascii="Cambria Math" w:hAnsi="Cambria Math" w:cs="Arial"/>
                                <w:color w:val="000000" w:themeColor="text1"/>
                              </w:rPr>
                            </m:ctrlPr>
                          </m:accPr>
                          <m:e>
                            <m:r>
                              <w:rPr>
                                <w:rFonts w:ascii="Cambria Math" w:hAnsi="Cambria Math" w:cs="Arial"/>
                                <w:color w:val="000000" w:themeColor="text1"/>
                              </w:rPr>
                              <m:t>β</m:t>
                            </m:r>
                          </m:e>
                        </m:acc>
                      </m:e>
                    </m:d>
                  </m:den>
                </m:f>
              </m:oMath>
            </m:oMathPara>
          </w:p>
        </w:tc>
        <w:tc>
          <w:tcPr>
            <w:tcW w:w="985" w:type="dxa"/>
            <w:vAlign w:val="center"/>
          </w:tcPr>
          <w:p w14:paraId="7232E0A4" w14:textId="036F28A8"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8</w:t>
            </w:r>
            <w:r w:rsidR="00FC6236" w:rsidRPr="00B13CBE">
              <w:rPr>
                <w:rFonts w:ascii="Arial" w:hAnsi="Arial" w:cs="Arial"/>
                <w:noProof/>
              </w:rPr>
              <w:fldChar w:fldCharType="end"/>
            </w:r>
            <w:r w:rsidRPr="00B13CBE">
              <w:rPr>
                <w:rFonts w:ascii="Arial" w:hAnsi="Arial" w:cs="Arial"/>
              </w:rPr>
              <w:t>)</w:t>
            </w:r>
          </w:p>
        </w:tc>
      </w:tr>
    </w:tbl>
    <w:p w14:paraId="170F44EE" w14:textId="77777777"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where </w:t>
      </w:r>
      <m:oMath>
        <m:acc>
          <m:accPr>
            <m:ctrlPr>
              <w:rPr>
                <w:rFonts w:ascii="Cambria Math" w:hAnsi="Cambria Math" w:cs="Arial"/>
                <w:color w:val="000000" w:themeColor="text1"/>
              </w:rPr>
            </m:ctrlPr>
          </m:accPr>
          <m:e>
            <m:r>
              <w:rPr>
                <w:rFonts w:ascii="Cambria Math" w:hAnsi="Cambria Math" w:cs="Arial"/>
                <w:color w:val="000000" w:themeColor="text1"/>
              </w:rPr>
              <m:t>β</m:t>
            </m:r>
          </m:e>
        </m:acc>
      </m:oMath>
      <w:r w:rsidRPr="00B13CBE">
        <w:rPr>
          <w:rFonts w:ascii="Arial" w:hAnsi="Arial" w:cs="Arial"/>
          <w:color w:val="000000" w:themeColor="text1"/>
        </w:rPr>
        <w:t xml:space="preserve"> are the OLS estimates of </w:t>
      </w:r>
      <m:oMath>
        <m:r>
          <w:rPr>
            <w:rFonts w:ascii="Cambria Math" w:hAnsi="Cambria Math" w:cs="Arial"/>
            <w:color w:val="000000" w:themeColor="text1"/>
          </w:rPr>
          <m:t>β</m:t>
        </m:r>
      </m:oMath>
      <w:r w:rsidRPr="00B13CBE">
        <w:rPr>
          <w:rFonts w:ascii="Arial" w:hAnsi="Arial" w:cs="Arial"/>
          <w:color w:val="000000" w:themeColor="text1"/>
        </w:rPr>
        <w:t xml:space="preserve">. If the ADF statistic is greater than the critical value, the null hypothesis is rejected and the time series is said to be stationary. </w:t>
      </w:r>
    </w:p>
    <w:p w14:paraId="3FD421D2" w14:textId="77777777" w:rsidR="001F4CEB" w:rsidRPr="00B13CBE" w:rsidRDefault="00C4772C" w:rsidP="00781A3B">
      <w:pPr>
        <w:pStyle w:val="Heading3"/>
        <w:numPr>
          <w:ilvl w:val="2"/>
          <w:numId w:val="18"/>
        </w:numPr>
        <w:spacing w:before="0" w:line="360" w:lineRule="auto"/>
        <w:jc w:val="both"/>
        <w:rPr>
          <w:rFonts w:ascii="Arial" w:hAnsi="Arial" w:cs="Arial"/>
          <w:b/>
          <w:bCs/>
          <w:color w:val="000000" w:themeColor="text1"/>
        </w:rPr>
      </w:pPr>
      <w:bookmarkStart w:id="29" w:name="_Toc82603366"/>
      <w:bookmarkStart w:id="30" w:name="arch-effects"/>
      <w:bookmarkEnd w:id="26"/>
      <w:bookmarkEnd w:id="28"/>
      <w:r w:rsidRPr="00B13CBE">
        <w:rPr>
          <w:rFonts w:ascii="Arial" w:hAnsi="Arial" w:cs="Arial"/>
          <w:b/>
          <w:bCs/>
          <w:color w:val="000000" w:themeColor="text1"/>
        </w:rPr>
        <w:t>ARCH Effects</w:t>
      </w:r>
      <w:bookmarkEnd w:id="29"/>
    </w:p>
    <w:p w14:paraId="48225A71" w14:textId="77777777"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As discussed in section 2.1, the volatility of asset returns posses</w:t>
      </w:r>
      <w:r w:rsidR="0078397F" w:rsidRPr="00B13CBE">
        <w:rPr>
          <w:rFonts w:ascii="Arial" w:hAnsi="Arial" w:cs="Arial"/>
          <w:color w:val="000000" w:themeColor="text1"/>
        </w:rPr>
        <w:t>ses</w:t>
      </w:r>
      <w:r w:rsidRPr="00B13CBE">
        <w:rPr>
          <w:rFonts w:ascii="Arial" w:hAnsi="Arial" w:cs="Arial"/>
          <w:color w:val="000000" w:themeColor="text1"/>
        </w:rPr>
        <w:t xml:space="preserve"> some stylized facts which created the need for special models. One of these stylized facts is conditional heteroscedasticity or nonconstant variance. Another stylized fact is that volatility is serially correlated, even if not linearly. These two stylized facts are called ARCH effects which stands for Autoregressive Conditional Heteroscedasticity effects. GARCH models are appropriate for time series that have these characteristics</w:t>
      </w:r>
      <w:r w:rsidR="0078397F" w:rsidRPr="00B13CBE">
        <w:rPr>
          <w:rFonts w:ascii="Arial" w:hAnsi="Arial" w:cs="Arial"/>
          <w:color w:val="000000" w:themeColor="text1"/>
        </w:rPr>
        <w:t xml:space="preserve"> </w:t>
      </w:r>
      <w:r w:rsidR="0078397F" w:rsidRPr="00B13CBE">
        <w:rPr>
          <w:rFonts w:ascii="Arial" w:hAnsi="Arial" w:cs="Arial"/>
          <w:color w:val="000000" w:themeColor="text1"/>
        </w:rPr>
        <w:fldChar w:fldCharType="begin"/>
      </w:r>
      <w:r w:rsidR="0078397F" w:rsidRPr="00B13CBE">
        <w:rPr>
          <w:rFonts w:ascii="Arial" w:hAnsi="Arial" w:cs="Arial"/>
          <w:color w:val="000000" w:themeColor="text1"/>
        </w:rPr>
        <w:instrText xml:space="preserve"> ADDIN ZOTERO_ITEM CSL_CITATION {"citationID":"vvbi94Ss","properties":{"formattedCitation":"(Tsay, 2005; Orskaug, 2009)","plainCitation":"(Tsay, 2005; Orskaug, 2009)","noteIndex":0},"citationItems":[{"id":338,"uris":["http://zotero.org/users/local/XXne8Mwc/items/YBJXGS2Q"],"uri":["http://zotero.org/users/local/XXne8Mwc/items/YBJXGS2Q"],"itemData":{"id":338,"type":"article-journal","language":"en","page":"638","source":"Zotero","title":"Analysis of Financial Time Series","author":[{"family":"Tsay","given":"Ruey S"}],"issued":{"date-parts":[["2005"]]}}},{"id":737,"uris":["http://zotero.org/users/local/XXne8Mwc/items/NWVQL3UR"],"uri":["http://zotero.org/users/local/XXne8Mwc/items/NWVQL3UR"],"itemData":{"id":737,"type":"article-journal","abstract":"In this thesis we have studied the DCC-GARCH model with Gaussian, Student's $t$ and skew Student's t-distributed errors. For a basic understanding of the GARCH model, the univariate GARCH and  multivariate GARCH models in general were discussed before the DCC-GARCH model was considered.  The Maximum likelihood method is used to estimate the parameters. The estimation of the correctly specified likelihood is difficult, and hence the DCC-model was designed to allow for two stage estimation. Usually Gaussian distributed errors are assumed in the first stage independent of the choice of the error distribution in the correctly specified likelihood. In the second stage, the parameters $a$ and $b$ of the dynamic correlation matrix, and the parameters of the error distribution, are estimated using the correctly specified likelihood.  After the parameters of the DCC-model have been estimated, the forecast of the conditional covariance matrix is obtained by forecasting the conditional variances and the conditional correlation matrix separately. The forecasts of the conditional variances is done by assuming Gaussian distributed errors. The forecast of the conditional correlation matrix can not be directly calculated. In this thesis, two different methods of approximating this matrix have been discussed. An important issue is how to evaluate goodness of fit for the DCC-GARCH model. This might be done by checking both the marginal and multivariate goodness of fit. One specific approach considered is the backtesting of Value-at-Risk, this is used to measure risk of loss of a portfolio of financial asset series. After precenting the theory, DCC-GARCH models were fit to a portfolio consisting of European, American and Japanese stocks assuming three different error distributions; Gaussian, Student's t and skew Student's t. The European, American and Japanese series seemed to have a bit different marginal distributions. The DCC-GARCH model with skew Student's t-distributed errors performed best. But even the DCC-GARCH with skew Student's t-distributed errors did explain all of the asymmetry in the asset series. Hence even better models may be considered. Comparing the DCC-GARCH model with the CCC-GARCH model using the Kupiec test showed that the first model gave a better fit to the data.There are several possible directions for future work. It might be better to use other marginal models such as the EGARCH, QGARCH and GJR GARCH, that capture the asymmetry in the conditional variances. If the univariate GARCH models are more correct, the DCC-GARCH model might yield better results. Other error distributions, such as a Normal Inverse Gaussian (NIG) might also give a better fit. When we fitted the Gaussian, Student's t- and skew Student's t-distibutions to the data, we assumed all the distributions to be the same for the three series. This might be a too restrictive criteria. A model where the marginal distributions is allowed to be different for each of the asset series might give a better fit. One then might use a Copula to link the marginals together.","container-title":"84","language":"eng","note":"Accepted: 2014-12-19T14:00:27Z\npublisher: Institutt for matematiske fag","source":"ntnuopen.ntnu.no","title":"Multivariate DCC-GARCH Model: -With Various Error Distributions","title-short":"Multivariate DCC-GARCH Model","URL":"https://ntnuopen.ntnu.no/ntnu-xmlui/handle/11250/259296","author":[{"family":"Orskaug","given":"Elisabeth"}],"accessed":{"date-parts":[["2021",8,7]]},"issued":{"date-parts":[["2009"]]}}}],"schema":"https://github.com/citation-style-language/schema/raw/master/csl-citation.json"} </w:instrText>
      </w:r>
      <w:r w:rsidR="0078397F" w:rsidRPr="00B13CBE">
        <w:rPr>
          <w:rFonts w:ascii="Arial" w:hAnsi="Arial" w:cs="Arial"/>
          <w:color w:val="000000" w:themeColor="text1"/>
        </w:rPr>
        <w:fldChar w:fldCharType="separate"/>
      </w:r>
      <w:r w:rsidR="0078397F" w:rsidRPr="00B13CBE">
        <w:rPr>
          <w:rFonts w:ascii="Arial" w:hAnsi="Arial" w:cs="Arial"/>
          <w:color w:val="000000" w:themeColor="text1"/>
        </w:rPr>
        <w:t>(Tsay, 2005; Orskaug, 2009)</w:t>
      </w:r>
      <w:r w:rsidR="0078397F" w:rsidRPr="00B13CBE">
        <w:rPr>
          <w:rFonts w:ascii="Arial" w:hAnsi="Arial" w:cs="Arial"/>
          <w:color w:val="000000" w:themeColor="text1"/>
        </w:rPr>
        <w:fldChar w:fldCharType="end"/>
      </w:r>
      <w:r w:rsidRPr="00B13CBE">
        <w:rPr>
          <w:rFonts w:ascii="Arial" w:hAnsi="Arial" w:cs="Arial"/>
          <w:color w:val="000000" w:themeColor="text1"/>
        </w:rPr>
        <w:t xml:space="preserve">. </w:t>
      </w:r>
    </w:p>
    <w:p w14:paraId="68F48321" w14:textId="77777777" w:rsidR="001F4CEB" w:rsidRPr="00B13CBE" w:rsidRDefault="00C4772C" w:rsidP="00781A3B">
      <w:pPr>
        <w:pStyle w:val="Heading4"/>
        <w:numPr>
          <w:ilvl w:val="3"/>
          <w:numId w:val="18"/>
        </w:numPr>
        <w:spacing w:line="360" w:lineRule="auto"/>
        <w:jc w:val="both"/>
        <w:rPr>
          <w:rFonts w:ascii="Arial" w:hAnsi="Arial" w:cs="Arial"/>
          <w:b/>
          <w:bCs/>
          <w:i w:val="0"/>
          <w:iCs w:val="0"/>
          <w:color w:val="000000" w:themeColor="text1"/>
          <w:sz w:val="24"/>
          <w:szCs w:val="24"/>
        </w:rPr>
      </w:pPr>
      <w:bookmarkStart w:id="31" w:name="Xfc1c4bfcf01c304e91e350a35a3d6ecad197e70"/>
      <w:r w:rsidRPr="00B13CBE">
        <w:rPr>
          <w:rFonts w:ascii="Arial" w:hAnsi="Arial" w:cs="Arial"/>
          <w:b/>
          <w:bCs/>
          <w:i w:val="0"/>
          <w:iCs w:val="0"/>
          <w:color w:val="000000" w:themeColor="text1"/>
          <w:sz w:val="24"/>
          <w:szCs w:val="24"/>
        </w:rPr>
        <w:t>Testing for ARCH effects: Lagrange Multiplier Test</w:t>
      </w:r>
    </w:p>
    <w:p w14:paraId="07578047" w14:textId="77777777"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Let </w:t>
      </w:r>
      <m:oMath>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μ</m:t>
            </m:r>
          </m:e>
          <m:sub>
            <m:r>
              <w:rPr>
                <w:rFonts w:ascii="Cambria Math" w:hAnsi="Cambria Math" w:cs="Arial"/>
                <w:color w:val="000000" w:themeColor="text1"/>
              </w:rPr>
              <m:t>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t</m:t>
            </m:r>
          </m:sub>
        </m:sSub>
      </m:oMath>
      <w:r w:rsidRPr="00B13CBE">
        <w:rPr>
          <w:rFonts w:ascii="Arial" w:hAnsi="Arial" w:cs="Arial"/>
          <w:color w:val="000000" w:themeColor="text1"/>
        </w:rPr>
        <w:t xml:space="preserve"> be the return at time </w:t>
      </w:r>
      <m:oMath>
        <m:r>
          <w:rPr>
            <w:rFonts w:ascii="Cambria Math" w:hAnsi="Cambria Math" w:cs="Arial"/>
            <w:color w:val="000000" w:themeColor="text1"/>
          </w:rPr>
          <m:t>t</m:t>
        </m:r>
      </m:oMath>
      <w:r w:rsidRPr="00B13CBE">
        <w:rPr>
          <w:rFonts w:ascii="Arial" w:hAnsi="Arial" w:cs="Arial"/>
          <w:color w:val="000000" w:themeColor="text1"/>
        </w:rPr>
        <w:t xml:space="preserve"> where </w:t>
      </w:r>
      <m:oMath>
        <m:sSub>
          <m:sSubPr>
            <m:ctrlPr>
              <w:rPr>
                <w:rFonts w:ascii="Cambria Math" w:hAnsi="Cambria Math" w:cs="Arial"/>
                <w:color w:val="000000" w:themeColor="text1"/>
              </w:rPr>
            </m:ctrlPr>
          </m:sSubPr>
          <m:e>
            <m:r>
              <w:rPr>
                <w:rFonts w:ascii="Cambria Math" w:hAnsi="Cambria Math" w:cs="Arial"/>
                <w:color w:val="000000" w:themeColor="text1"/>
              </w:rPr>
              <m:t>μ</m:t>
            </m:r>
          </m:e>
          <m:sub>
            <m:r>
              <w:rPr>
                <w:rFonts w:ascii="Cambria Math" w:hAnsi="Cambria Math" w:cs="Arial"/>
                <w:color w:val="000000" w:themeColor="text1"/>
              </w:rPr>
              <m:t>t</m:t>
            </m:r>
          </m:sub>
        </m:sSub>
      </m:oMath>
      <w:r w:rsidRPr="00B13CBE">
        <w:rPr>
          <w:rFonts w:ascii="Arial" w:hAnsi="Arial" w:cs="Arial"/>
          <w:color w:val="000000" w:themeColor="text1"/>
        </w:rPr>
        <w:t xml:space="preserve"> is the conditional mean of the returns and </w:t>
      </w:r>
      <m:oMath>
        <m:sSub>
          <m:sSubPr>
            <m:ctrlPr>
              <w:rPr>
                <w:rFonts w:ascii="Cambria Math" w:hAnsi="Cambria Math" w:cs="Arial"/>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μ</m:t>
            </m:r>
          </m:e>
          <m:sub>
            <m:r>
              <w:rPr>
                <w:rFonts w:ascii="Cambria Math" w:hAnsi="Cambria Math" w:cs="Arial"/>
                <w:color w:val="000000" w:themeColor="text1"/>
              </w:rPr>
              <m:t>t</m:t>
            </m:r>
          </m:sub>
        </m:sSub>
      </m:oMath>
      <w:r w:rsidRPr="00B13CBE">
        <w:rPr>
          <w:rFonts w:ascii="Arial" w:hAnsi="Arial" w:cs="Arial"/>
          <w:color w:val="000000" w:themeColor="text1"/>
        </w:rPr>
        <w:t xml:space="preserve"> are the residuals or 'mean corrected returns'. According to Tsay</w:t>
      </w:r>
      <w:r w:rsidR="0078397F" w:rsidRPr="00B13CBE">
        <w:rPr>
          <w:rFonts w:ascii="Arial" w:hAnsi="Arial" w:cs="Arial"/>
          <w:color w:val="000000" w:themeColor="text1"/>
        </w:rPr>
        <w:t xml:space="preserve"> </w:t>
      </w:r>
      <w:r w:rsidRPr="00B13CBE">
        <w:rPr>
          <w:rFonts w:ascii="Arial" w:hAnsi="Arial" w:cs="Arial"/>
          <w:color w:val="000000" w:themeColor="text1"/>
        </w:rPr>
        <w:t xml:space="preserve">(2005), the squared series </w:t>
      </w:r>
      <m:oMath>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sub>
          <m:sup>
            <m:r>
              <w:rPr>
                <w:rFonts w:ascii="Cambria Math" w:hAnsi="Cambria Math" w:cs="Arial"/>
                <w:color w:val="000000" w:themeColor="text1"/>
              </w:rPr>
              <m:t>2</m:t>
            </m:r>
          </m:sup>
        </m:sSubSup>
      </m:oMath>
      <w:r w:rsidRPr="00B13CBE">
        <w:rPr>
          <w:rFonts w:ascii="Arial" w:hAnsi="Arial" w:cs="Arial"/>
          <w:color w:val="000000" w:themeColor="text1"/>
        </w:rPr>
        <w:t xml:space="preserve"> is used to check for ARCH effects. </w:t>
      </w:r>
    </w:p>
    <w:p w14:paraId="42E0DDDD" w14:textId="7ADB3B39"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Lagrange Multiplier (LM) test is the F statistic for testing the null hypothesis that </w:t>
      </w:r>
      <m:oMath>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i</m:t>
            </m:r>
          </m:sub>
        </m:sSub>
        <m:r>
          <m:rPr>
            <m:sty m:val="p"/>
          </m:rPr>
          <w:rPr>
            <w:rFonts w:ascii="Cambria Math" w:hAnsi="Cambria Math" w:cs="Arial"/>
            <w:color w:val="000000" w:themeColor="text1"/>
          </w:rPr>
          <m:t>=</m:t>
        </m:r>
        <m:r>
          <w:rPr>
            <w:rFonts w:ascii="Cambria Math" w:hAnsi="Cambria Math" w:cs="Arial"/>
            <w:color w:val="000000" w:themeColor="text1"/>
          </w:rPr>
          <m:t>0</m:t>
        </m:r>
      </m:oMath>
      <w:r w:rsidRPr="00B13CBE">
        <w:rPr>
          <w:rFonts w:ascii="Arial" w:hAnsi="Arial" w:cs="Arial"/>
          <w:color w:val="000000" w:themeColor="text1"/>
        </w:rPr>
        <w:t xml:space="preserve"> for </w:t>
      </w:r>
      <m:oMath>
        <m:r>
          <w:rPr>
            <w:rFonts w:ascii="Cambria Math" w:hAnsi="Cambria Math" w:cs="Arial"/>
            <w:color w:val="000000" w:themeColor="text1"/>
          </w:rPr>
          <m:t>i</m:t>
        </m:r>
        <m:r>
          <m:rPr>
            <m:sty m:val="p"/>
          </m:rPr>
          <w:rPr>
            <w:rFonts w:ascii="Cambria Math" w:hAnsi="Cambria Math" w:cs="Arial"/>
            <w:color w:val="000000" w:themeColor="text1"/>
          </w:rPr>
          <m:t>=</m:t>
        </m:r>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2</m:t>
        </m:r>
        <m:r>
          <m:rPr>
            <m:sty m:val="p"/>
          </m:rPr>
          <w:rPr>
            <w:rFonts w:ascii="Cambria Math" w:hAnsi="Cambria Math" w:cs="Arial"/>
            <w:color w:val="000000" w:themeColor="text1"/>
          </w:rPr>
          <m:t>,</m:t>
        </m:r>
        <m:r>
          <w:rPr>
            <w:rFonts w:ascii="Cambria Math" w:hAnsi="Cambria Math" w:cs="Arial"/>
            <w:color w:val="000000" w:themeColor="text1"/>
          </w:rPr>
          <m:t>3</m:t>
        </m:r>
        <m:r>
          <m:rPr>
            <m:sty m:val="p"/>
          </m:rPr>
          <w:rPr>
            <w:rFonts w:ascii="Cambria Math" w:hAnsi="Cambria Math" w:cs="Arial"/>
            <w:color w:val="000000" w:themeColor="text1"/>
          </w:rPr>
          <m:t>,...,</m:t>
        </m:r>
        <m:r>
          <w:rPr>
            <w:rFonts w:ascii="Cambria Math" w:hAnsi="Cambria Math" w:cs="Arial"/>
            <w:color w:val="000000" w:themeColor="text1"/>
          </w:rPr>
          <m:t>m</m:t>
        </m:r>
      </m:oMath>
      <w:r w:rsidRPr="00B13CBE">
        <w:rPr>
          <w:rFonts w:ascii="Arial" w:hAnsi="Arial" w:cs="Arial"/>
          <w:color w:val="000000" w:themeColor="text1"/>
        </w:rPr>
        <w:t xml:space="preserve"> in the linear regression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7BF55070" w14:textId="77777777" w:rsidTr="00DA4541">
        <w:tc>
          <w:tcPr>
            <w:tcW w:w="805" w:type="dxa"/>
            <w:vAlign w:val="center"/>
          </w:tcPr>
          <w:p w14:paraId="7920FD8B" w14:textId="77777777" w:rsidR="00DA4541" w:rsidRPr="00B13CBE" w:rsidRDefault="00DA4541" w:rsidP="00FC6236">
            <w:pPr>
              <w:pStyle w:val="BodyText"/>
              <w:jc w:val="center"/>
              <w:rPr>
                <w:rFonts w:ascii="Arial" w:hAnsi="Arial" w:cs="Arial"/>
              </w:rPr>
            </w:pPr>
          </w:p>
        </w:tc>
        <w:tc>
          <w:tcPr>
            <w:tcW w:w="6840" w:type="dxa"/>
            <w:vAlign w:val="center"/>
          </w:tcPr>
          <w:p w14:paraId="01ABC7F8" w14:textId="17382CF3" w:rsidR="00DA4541" w:rsidRPr="00B13CBE" w:rsidRDefault="00FC49CE" w:rsidP="00DA4541">
            <w:pPr>
              <w:pStyle w:val="BodyText"/>
              <w:spacing w:line="360" w:lineRule="auto"/>
              <w:jc w:val="both"/>
              <w:rPr>
                <w:rFonts w:ascii="Arial" w:hAnsi="Arial" w:cs="Arial"/>
                <w:color w:val="000000" w:themeColor="text1"/>
              </w:rPr>
            </w:pPr>
            <m:oMathPara>
              <m:oMath>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sub>
                  <m:sup>
                    <m:r>
                      <w:rPr>
                        <w:rFonts w:ascii="Cambria Math" w:hAnsi="Cambria Math" w:cs="Arial"/>
                        <w:color w:val="000000" w:themeColor="text1"/>
                      </w:rPr>
                      <m:t>2</m:t>
                    </m:r>
                  </m:sup>
                </m:sSubSup>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0</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1</m:t>
                    </m:r>
                  </m:sub>
                </m:sSub>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2</m:t>
                    </m:r>
                  </m:sup>
                </m:sSubSup>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m</m:t>
                    </m:r>
                  </m:sub>
                </m:sSub>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m</m:t>
                    </m:r>
                  </m:sub>
                  <m:sup>
                    <m:r>
                      <w:rPr>
                        <w:rFonts w:ascii="Cambria Math" w:hAnsi="Cambria Math" w:cs="Arial"/>
                        <w:color w:val="000000" w:themeColor="text1"/>
                      </w:rPr>
                      <m:t>2</m:t>
                    </m:r>
                  </m:sup>
                </m:sSubSup>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t</m:t>
                    </m:r>
                  </m:sub>
                </m:sSub>
              </m:oMath>
            </m:oMathPara>
          </w:p>
        </w:tc>
        <w:tc>
          <w:tcPr>
            <w:tcW w:w="985" w:type="dxa"/>
            <w:vAlign w:val="center"/>
          </w:tcPr>
          <w:p w14:paraId="36231BFC" w14:textId="10A8BA09"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9</w:t>
            </w:r>
            <w:r w:rsidR="00FC6236" w:rsidRPr="00B13CBE">
              <w:rPr>
                <w:rFonts w:ascii="Arial" w:hAnsi="Arial" w:cs="Arial"/>
                <w:noProof/>
              </w:rPr>
              <w:fldChar w:fldCharType="end"/>
            </w:r>
            <w:r w:rsidRPr="00B13CBE">
              <w:rPr>
                <w:rFonts w:ascii="Arial" w:hAnsi="Arial" w:cs="Arial"/>
              </w:rPr>
              <w:t>)</w:t>
            </w:r>
          </w:p>
        </w:tc>
      </w:tr>
    </w:tbl>
    <w:p w14:paraId="34FAE96E" w14:textId="61212969"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for </w:t>
      </w:r>
      <m:oMath>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m</m:t>
        </m:r>
        <m:r>
          <m:rPr>
            <m:sty m:val="p"/>
          </m:rPr>
          <w:rPr>
            <w:rFonts w:ascii="Cambria Math" w:hAnsi="Cambria Math" w:cs="Arial"/>
            <w:color w:val="000000" w:themeColor="text1"/>
          </w:rPr>
          <m:t>+</m:t>
        </m:r>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T</m:t>
        </m:r>
      </m:oMath>
      <w:r w:rsidRPr="00B13CBE">
        <w:rPr>
          <w:rFonts w:ascii="Arial" w:hAnsi="Arial" w:cs="Arial"/>
          <w:color w:val="000000" w:themeColor="text1"/>
        </w:rPr>
        <w:t xml:space="preserve"> where </w:t>
      </w:r>
      <m:oMath>
        <m:sSub>
          <m:sSubPr>
            <m:ctrlPr>
              <w:rPr>
                <w:rFonts w:ascii="Cambria Math" w:hAnsi="Cambria Math" w:cs="Arial"/>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t</m:t>
            </m:r>
          </m:sub>
        </m:sSub>
      </m:oMath>
      <w:r w:rsidRPr="00B13CBE">
        <w:rPr>
          <w:rFonts w:ascii="Arial" w:hAnsi="Arial" w:cs="Arial"/>
          <w:color w:val="000000" w:themeColor="text1"/>
        </w:rPr>
        <w:t xml:space="preserve"> is the error term, </w:t>
      </w:r>
      <m:oMath>
        <m:r>
          <w:rPr>
            <w:rFonts w:ascii="Cambria Math" w:hAnsi="Cambria Math" w:cs="Arial"/>
            <w:color w:val="000000" w:themeColor="text1"/>
          </w:rPr>
          <m:t>m</m:t>
        </m:r>
      </m:oMath>
      <w:r w:rsidRPr="00B13CBE">
        <w:rPr>
          <w:rFonts w:ascii="Arial" w:hAnsi="Arial" w:cs="Arial"/>
          <w:color w:val="000000" w:themeColor="text1"/>
        </w:rPr>
        <w:t xml:space="preserve"> is a prespecified positive integer and </w:t>
      </w:r>
      <m:oMath>
        <m:r>
          <w:rPr>
            <w:rFonts w:ascii="Cambria Math" w:hAnsi="Cambria Math" w:cs="Arial"/>
            <w:color w:val="000000" w:themeColor="text1"/>
          </w:rPr>
          <m:t>T</m:t>
        </m:r>
      </m:oMath>
      <w:r w:rsidRPr="00B13CBE">
        <w:rPr>
          <w:rFonts w:ascii="Arial" w:hAnsi="Arial" w:cs="Arial"/>
          <w:color w:val="000000" w:themeColor="text1"/>
        </w:rPr>
        <w:t xml:space="preserve"> is the sample size. Let </w:t>
      </w:r>
      <m:oMath>
        <m:r>
          <w:rPr>
            <w:rFonts w:ascii="Cambria Math" w:hAnsi="Cambria Math" w:cs="Arial"/>
            <w:color w:val="000000" w:themeColor="text1"/>
          </w:rPr>
          <m:t>SS</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1</m:t>
            </m:r>
          </m:sub>
        </m:sSub>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m</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T</m:t>
            </m:r>
          </m:sup>
          <m:e>
            <m:acc>
              <m:accPr>
                <m:ctrlPr>
                  <w:rPr>
                    <w:rFonts w:ascii="Cambria Math" w:hAnsi="Cambria Math" w:cs="Arial"/>
                    <w:color w:val="000000" w:themeColor="text1"/>
                  </w:rPr>
                </m:ctrlPr>
              </m:accPr>
              <m:e>
                <m:sSubSup>
                  <m:sSubSupPr>
                    <m:ctrlPr>
                      <w:rPr>
                        <w:rFonts w:ascii="Cambria Math" w:hAnsi="Cambria Math" w:cs="Arial"/>
                        <w:color w:val="000000" w:themeColor="text1"/>
                      </w:rPr>
                    </m:ctrlPr>
                  </m:sSubSupPr>
                  <m:e>
                    <m:r>
                      <w:rPr>
                        <w:rFonts w:ascii="Cambria Math" w:hAnsi="Cambria Math" w:cs="Arial"/>
                        <w:color w:val="000000" w:themeColor="text1"/>
                      </w:rPr>
                      <m:t>e</m:t>
                    </m:r>
                  </m:e>
                  <m:sub>
                    <m:r>
                      <w:rPr>
                        <w:rFonts w:ascii="Cambria Math" w:hAnsi="Cambria Math" w:cs="Arial"/>
                        <w:color w:val="000000" w:themeColor="text1"/>
                      </w:rPr>
                      <m:t>t</m:t>
                    </m:r>
                  </m:sub>
                  <m:sup>
                    <m:r>
                      <w:rPr>
                        <w:rFonts w:ascii="Cambria Math" w:hAnsi="Cambria Math" w:cs="Arial"/>
                        <w:color w:val="000000" w:themeColor="text1"/>
                      </w:rPr>
                      <m:t>2</m:t>
                    </m:r>
                  </m:sup>
                </m:sSubSup>
              </m:e>
            </m:acc>
          </m:e>
        </m:nary>
      </m:oMath>
      <w:r w:rsidRPr="00B13CBE">
        <w:rPr>
          <w:rFonts w:ascii="Arial" w:hAnsi="Arial" w:cs="Arial"/>
          <w:color w:val="000000" w:themeColor="text1"/>
        </w:rPr>
        <w:t xml:space="preserve"> where </w:t>
      </w:r>
      <m:oMath>
        <m:acc>
          <m:accPr>
            <m:ctrlPr>
              <w:rPr>
                <w:rFonts w:ascii="Cambria Math" w:hAnsi="Cambria Math" w:cs="Arial"/>
                <w:color w:val="000000" w:themeColor="text1"/>
              </w:rPr>
            </m:ctrlPr>
          </m:accPr>
          <m:e>
            <m:sSub>
              <m:sSubPr>
                <m:ctrlPr>
                  <w:rPr>
                    <w:rFonts w:ascii="Cambria Math" w:hAnsi="Cambria Math" w:cs="Arial"/>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t</m:t>
                </m:r>
              </m:sub>
            </m:sSub>
          </m:e>
        </m:acc>
      </m:oMath>
      <w:r w:rsidRPr="00B13CBE">
        <w:rPr>
          <w:rFonts w:ascii="Arial" w:hAnsi="Arial" w:cs="Arial"/>
          <w:color w:val="000000" w:themeColor="text1"/>
        </w:rPr>
        <w:t xml:space="preserve"> is the time </w:t>
      </w:r>
      <m:oMath>
        <m:r>
          <w:rPr>
            <w:rFonts w:ascii="Cambria Math" w:hAnsi="Cambria Math" w:cs="Arial"/>
            <w:color w:val="000000" w:themeColor="text1"/>
          </w:rPr>
          <m:t>t</m:t>
        </m:r>
      </m:oMath>
      <w:r w:rsidRPr="00B13CBE">
        <w:rPr>
          <w:rFonts w:ascii="Arial" w:hAnsi="Arial" w:cs="Arial"/>
          <w:color w:val="000000" w:themeColor="text1"/>
        </w:rPr>
        <w:t xml:space="preserve"> least-squares </w:t>
      </w:r>
      <w:r w:rsidRPr="00B13CBE">
        <w:rPr>
          <w:rFonts w:ascii="Arial" w:hAnsi="Arial" w:cs="Arial"/>
          <w:color w:val="000000" w:themeColor="text1"/>
        </w:rPr>
        <w:lastRenderedPageBreak/>
        <w:t xml:space="preserve">residual and </w:t>
      </w:r>
      <m:oMath>
        <m:r>
          <w:rPr>
            <w:rFonts w:ascii="Cambria Math" w:hAnsi="Cambria Math" w:cs="Arial"/>
            <w:color w:val="000000" w:themeColor="text1"/>
          </w:rPr>
          <m:t>SS</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1</m:t>
            </m:r>
          </m:sub>
        </m:sSub>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m</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T</m:t>
            </m:r>
          </m:sup>
          <m:e>
            <m:sSup>
              <m:sSupPr>
                <m:ctrlPr>
                  <w:rPr>
                    <w:rFonts w:ascii="Cambria Math" w:hAnsi="Cambria Math" w:cs="Arial"/>
                    <w:color w:val="000000" w:themeColor="text1"/>
                  </w:rPr>
                </m:ctrlPr>
              </m:sSupPr>
              <m:e>
                <m:d>
                  <m:dPr>
                    <m:ctrlPr>
                      <w:rPr>
                        <w:rFonts w:ascii="Cambria Math" w:hAnsi="Cambria Math" w:cs="Arial"/>
                        <w:color w:val="000000" w:themeColor="text1"/>
                      </w:rPr>
                    </m:ctrlPr>
                  </m:dPr>
                  <m:e>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sub>
                      <m:sup>
                        <m:r>
                          <w:rPr>
                            <w:rFonts w:ascii="Cambria Math" w:hAnsi="Cambria Math" w:cs="Arial"/>
                            <w:color w:val="000000" w:themeColor="text1"/>
                          </w:rPr>
                          <m:t>2</m:t>
                        </m:r>
                      </m:sup>
                    </m:sSubSup>
                    <m:r>
                      <m:rPr>
                        <m:sty m:val="p"/>
                      </m:rPr>
                      <w:rPr>
                        <w:rFonts w:ascii="Cambria Math" w:hAnsi="Cambria Math" w:cs="Arial"/>
                        <w:color w:val="000000" w:themeColor="text1"/>
                      </w:rPr>
                      <m:t>-</m:t>
                    </m:r>
                    <m:acc>
                      <m:accPr>
                        <m:chr m:val="⃐"/>
                        <m:ctrlPr>
                          <w:rPr>
                            <w:rFonts w:ascii="Cambria Math" w:hAnsi="Cambria Math" w:cs="Arial"/>
                            <w:color w:val="000000" w:themeColor="text1"/>
                          </w:rPr>
                        </m:ctrlPr>
                      </m:accPr>
                      <m:e>
                        <m:r>
                          <w:rPr>
                            <w:rFonts w:ascii="Cambria Math" w:hAnsi="Cambria Math" w:cs="Arial"/>
                            <w:color w:val="000000" w:themeColor="text1"/>
                          </w:rPr>
                          <m:t>ω</m:t>
                        </m:r>
                      </m:e>
                    </m:acc>
                  </m:e>
                </m:d>
              </m:e>
              <m:sup>
                <m:r>
                  <w:rPr>
                    <w:rFonts w:ascii="Cambria Math" w:hAnsi="Cambria Math" w:cs="Arial"/>
                    <w:color w:val="000000" w:themeColor="text1"/>
                  </w:rPr>
                  <m:t>2</m:t>
                </m:r>
              </m:sup>
            </m:sSup>
          </m:e>
        </m:nary>
      </m:oMath>
      <w:r w:rsidRPr="00B13CBE">
        <w:rPr>
          <w:rFonts w:ascii="Arial" w:hAnsi="Arial" w:cs="Arial"/>
          <w:color w:val="000000" w:themeColor="text1"/>
        </w:rPr>
        <w:t xml:space="preserve"> wher</w:t>
      </w:r>
      <w:r w:rsidR="0078397F" w:rsidRPr="00B13CBE">
        <w:rPr>
          <w:rFonts w:ascii="Arial" w:hAnsi="Arial" w:cs="Arial"/>
          <w:color w:val="000000" w:themeColor="text1"/>
        </w:rPr>
        <w:t xml:space="preserve">e </w:t>
      </w:r>
      <m:oMath>
        <m:acc>
          <m:accPr>
            <m:chr m:val="⃐"/>
            <m:ctrlPr>
              <w:rPr>
                <w:rFonts w:ascii="Cambria Math" w:hAnsi="Cambria Math" w:cs="Arial"/>
                <w:color w:val="000000" w:themeColor="text1"/>
              </w:rPr>
            </m:ctrlPr>
          </m:accPr>
          <m:e>
            <m:r>
              <w:rPr>
                <w:rFonts w:ascii="Cambria Math" w:hAnsi="Cambria Math" w:cs="Arial"/>
                <w:color w:val="000000" w:themeColor="text1"/>
              </w:rPr>
              <m:t>ω</m:t>
            </m:r>
          </m:e>
        </m:acc>
      </m:oMath>
      <w:r w:rsidRPr="00B13CBE">
        <w:rPr>
          <w:rFonts w:ascii="Arial" w:hAnsi="Arial" w:cs="Arial"/>
          <w:color w:val="000000" w:themeColor="text1"/>
        </w:rPr>
        <w:t xml:space="preserve"> is the sample mean of </w:t>
      </w:r>
      <m:oMath>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t</m:t>
            </m:r>
          </m:sub>
          <m:sup>
            <m:r>
              <w:rPr>
                <w:rFonts w:ascii="Cambria Math" w:hAnsi="Cambria Math" w:cs="Arial"/>
                <w:color w:val="000000" w:themeColor="text1"/>
              </w:rPr>
              <m:t>2</m:t>
            </m:r>
          </m:sup>
        </m:sSubSup>
      </m:oMath>
      <w:r w:rsidRPr="00B13CBE">
        <w:rPr>
          <w:rFonts w:ascii="Arial" w:hAnsi="Arial" w:cs="Arial"/>
          <w:color w:val="000000" w:themeColor="text1"/>
        </w:rPr>
        <w:t xml:space="preserve"> (Tsay, 2005). The F statistic will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35952821" w14:textId="77777777" w:rsidTr="00DA4541">
        <w:tc>
          <w:tcPr>
            <w:tcW w:w="805" w:type="dxa"/>
            <w:vAlign w:val="center"/>
          </w:tcPr>
          <w:p w14:paraId="0C50B590" w14:textId="77777777" w:rsidR="00DA4541" w:rsidRPr="00B13CBE" w:rsidRDefault="00DA4541" w:rsidP="00FC6236">
            <w:pPr>
              <w:pStyle w:val="BodyText"/>
              <w:jc w:val="center"/>
              <w:rPr>
                <w:rFonts w:ascii="Arial" w:hAnsi="Arial" w:cs="Arial"/>
              </w:rPr>
            </w:pPr>
          </w:p>
        </w:tc>
        <w:tc>
          <w:tcPr>
            <w:tcW w:w="6840" w:type="dxa"/>
            <w:vAlign w:val="center"/>
          </w:tcPr>
          <w:p w14:paraId="0F51FEC0" w14:textId="108F92FB" w:rsidR="00DA4541" w:rsidRPr="00B13CBE" w:rsidRDefault="00DA4541" w:rsidP="00DA4541">
            <w:pPr>
              <w:pStyle w:val="BodyText"/>
              <w:spacing w:line="360" w:lineRule="auto"/>
              <w:jc w:val="both"/>
              <w:rPr>
                <w:rFonts w:ascii="Arial" w:hAnsi="Arial" w:cs="Arial"/>
                <w:color w:val="000000" w:themeColor="text1"/>
              </w:rPr>
            </w:pPr>
            <m:oMathPara>
              <m:oMath>
                <m:r>
                  <w:rPr>
                    <w:rFonts w:ascii="Cambria Math" w:hAnsi="Cambria Math" w:cs="Arial"/>
                    <w:color w:val="000000" w:themeColor="text1"/>
                  </w:rPr>
                  <m:t>F</m:t>
                </m:r>
                <m:r>
                  <m:rPr>
                    <m:sty m:val="p"/>
                  </m:rPr>
                  <w:rPr>
                    <w:rFonts w:ascii="Cambria Math" w:hAnsi="Cambria Math" w:cs="Arial"/>
                    <w:color w:val="000000" w:themeColor="text1"/>
                  </w:rPr>
                  <m:t>=</m:t>
                </m:r>
                <m:f>
                  <m:fPr>
                    <m:ctrlPr>
                      <w:rPr>
                        <w:rFonts w:ascii="Cambria Math" w:hAnsi="Cambria Math" w:cs="Arial"/>
                        <w:color w:val="000000" w:themeColor="text1"/>
                      </w:rPr>
                    </m:ctrlPr>
                  </m:fPr>
                  <m:num>
                    <m:d>
                      <m:dPr>
                        <m:ctrlPr>
                          <w:rPr>
                            <w:rFonts w:ascii="Cambria Math" w:hAnsi="Cambria Math" w:cs="Arial"/>
                            <w:color w:val="000000" w:themeColor="text1"/>
                          </w:rPr>
                        </m:ctrlPr>
                      </m:dPr>
                      <m:e>
                        <m:r>
                          <w:rPr>
                            <w:rFonts w:ascii="Cambria Math" w:hAnsi="Cambria Math" w:cs="Arial"/>
                            <w:color w:val="000000" w:themeColor="text1"/>
                          </w:rPr>
                          <m:t>SS</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0</m:t>
                            </m:r>
                          </m:sub>
                        </m:sSub>
                        <m:r>
                          <m:rPr>
                            <m:sty m:val="p"/>
                          </m:rPr>
                          <w:rPr>
                            <w:rFonts w:ascii="Cambria Math" w:hAnsi="Cambria Math" w:cs="Arial"/>
                            <w:color w:val="000000" w:themeColor="text1"/>
                          </w:rPr>
                          <m:t>-</m:t>
                        </m:r>
                        <m:r>
                          <w:rPr>
                            <w:rFonts w:ascii="Cambria Math" w:hAnsi="Cambria Math" w:cs="Arial"/>
                            <w:color w:val="000000" w:themeColor="text1"/>
                          </w:rPr>
                          <m:t>SS</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1</m:t>
                            </m:r>
                          </m:sub>
                        </m:sSub>
                      </m:e>
                    </m:d>
                    <m:r>
                      <m:rPr>
                        <m:sty m:val="p"/>
                      </m:rPr>
                      <w:rPr>
                        <w:rFonts w:ascii="Cambria Math" w:hAnsi="Cambria Math" w:cs="Arial"/>
                        <w:color w:val="000000" w:themeColor="text1"/>
                      </w:rPr>
                      <m:t>/</m:t>
                    </m:r>
                    <m:r>
                      <w:rPr>
                        <w:rFonts w:ascii="Cambria Math" w:hAnsi="Cambria Math" w:cs="Arial"/>
                        <w:color w:val="000000" w:themeColor="text1"/>
                      </w:rPr>
                      <m:t>m</m:t>
                    </m:r>
                  </m:num>
                  <m:den>
                    <m:r>
                      <w:rPr>
                        <w:rFonts w:ascii="Cambria Math" w:hAnsi="Cambria Math" w:cs="Arial"/>
                        <w:color w:val="000000" w:themeColor="text1"/>
                      </w:rPr>
                      <m:t>SS</m:t>
                    </m:r>
                    <m:sSub>
                      <m:sSubPr>
                        <m:ctrlPr>
                          <w:rPr>
                            <w:rFonts w:ascii="Cambria Math" w:hAnsi="Cambria Math" w:cs="Arial"/>
                            <w:color w:val="000000" w:themeColor="text1"/>
                          </w:rPr>
                        </m:ctrlPr>
                      </m:sSubPr>
                      <m:e>
                        <m:r>
                          <w:rPr>
                            <w:rFonts w:ascii="Cambria Math" w:hAnsi="Cambria Math" w:cs="Arial"/>
                            <w:color w:val="000000" w:themeColor="text1"/>
                          </w:rPr>
                          <m:t>R</m:t>
                        </m:r>
                      </m:e>
                      <m:sub>
                        <m:r>
                          <w:rPr>
                            <w:rFonts w:ascii="Cambria Math" w:hAnsi="Cambria Math" w:cs="Arial"/>
                            <w:color w:val="000000" w:themeColor="text1"/>
                          </w:rPr>
                          <m:t>1</m:t>
                        </m:r>
                      </m:sub>
                    </m:sSub>
                    <m:r>
                      <m:rPr>
                        <m:sty m:val="p"/>
                      </m:rPr>
                      <w:rPr>
                        <w:rFonts w:ascii="Cambria Math" w:hAnsi="Cambria Math" w:cs="Arial"/>
                        <w:color w:val="000000" w:themeColor="text1"/>
                      </w:rPr>
                      <m:t>/</m:t>
                    </m:r>
                    <m:d>
                      <m:dPr>
                        <m:ctrlPr>
                          <w:rPr>
                            <w:rFonts w:ascii="Cambria Math" w:hAnsi="Cambria Math" w:cs="Arial"/>
                            <w:color w:val="000000" w:themeColor="text1"/>
                          </w:rPr>
                        </m:ctrlPr>
                      </m:dPr>
                      <m:e>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2m</m:t>
                        </m:r>
                        <m:r>
                          <m:rPr>
                            <m:sty m:val="p"/>
                          </m:rPr>
                          <w:rPr>
                            <w:rFonts w:ascii="Cambria Math" w:hAnsi="Cambria Math" w:cs="Arial"/>
                            <w:color w:val="000000" w:themeColor="text1"/>
                          </w:rPr>
                          <m:t>-</m:t>
                        </m:r>
                        <m:r>
                          <w:rPr>
                            <w:rFonts w:ascii="Cambria Math" w:hAnsi="Cambria Math" w:cs="Arial"/>
                            <w:color w:val="000000" w:themeColor="text1"/>
                          </w:rPr>
                          <m:t>1</m:t>
                        </m:r>
                      </m:e>
                    </m:d>
                  </m:den>
                </m:f>
              </m:oMath>
            </m:oMathPara>
          </w:p>
        </w:tc>
        <w:tc>
          <w:tcPr>
            <w:tcW w:w="985" w:type="dxa"/>
            <w:vAlign w:val="center"/>
          </w:tcPr>
          <w:p w14:paraId="57A6D062" w14:textId="0B8B4759"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10</w:t>
            </w:r>
            <w:r w:rsidR="00FC6236" w:rsidRPr="00B13CBE">
              <w:rPr>
                <w:rFonts w:ascii="Arial" w:hAnsi="Arial" w:cs="Arial"/>
                <w:noProof/>
              </w:rPr>
              <w:fldChar w:fldCharType="end"/>
            </w:r>
            <w:r w:rsidRPr="00B13CBE">
              <w:rPr>
                <w:rFonts w:ascii="Arial" w:hAnsi="Arial" w:cs="Arial"/>
              </w:rPr>
              <w:t>)</w:t>
            </w:r>
          </w:p>
        </w:tc>
      </w:tr>
    </w:tbl>
    <w:p w14:paraId="7AEAD980" w14:textId="77777777"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 xml:space="preserve">The null hypothesis is rejected if </w:t>
      </w:r>
      <m:oMath>
        <m:r>
          <w:rPr>
            <w:rFonts w:ascii="Cambria Math" w:hAnsi="Cambria Math" w:cs="Arial"/>
            <w:color w:val="000000" w:themeColor="text1"/>
          </w:rPr>
          <m:t>F</m:t>
        </m:r>
        <m:r>
          <m:rPr>
            <m:sty m:val="p"/>
          </m:rPr>
          <w:rPr>
            <w:rFonts w:ascii="Cambria Math" w:hAnsi="Cambria Math" w:cs="Arial"/>
            <w:color w:val="000000" w:themeColor="text1"/>
          </w:rPr>
          <m:t>&gt;</m:t>
        </m:r>
        <m:sSubSup>
          <m:sSubSupPr>
            <m:ctrlPr>
              <w:rPr>
                <w:rFonts w:ascii="Cambria Math" w:hAnsi="Cambria Math" w:cs="Arial"/>
                <w:color w:val="000000" w:themeColor="text1"/>
              </w:rPr>
            </m:ctrlPr>
          </m:sSubSupPr>
          <m:e>
            <m:r>
              <w:rPr>
                <w:rFonts w:ascii="Cambria Math" w:hAnsi="Cambria Math" w:cs="Arial"/>
                <w:color w:val="000000" w:themeColor="text1"/>
              </w:rPr>
              <m:t>χ</m:t>
            </m:r>
          </m:e>
          <m:sub>
            <m:r>
              <w:rPr>
                <w:rFonts w:ascii="Cambria Math" w:hAnsi="Cambria Math" w:cs="Arial"/>
                <w:color w:val="000000" w:themeColor="text1"/>
              </w:rPr>
              <m:t>m</m:t>
            </m:r>
          </m:sub>
          <m:sup>
            <m:r>
              <w:rPr>
                <w:rFonts w:ascii="Cambria Math" w:hAnsi="Cambria Math" w:cs="Arial"/>
                <w:color w:val="000000" w:themeColor="text1"/>
              </w:rPr>
              <m:t>2</m:t>
            </m:r>
          </m:sup>
        </m:sSubSup>
        <m:d>
          <m:dPr>
            <m:ctrlPr>
              <w:rPr>
                <w:rFonts w:ascii="Cambria Math" w:hAnsi="Cambria Math" w:cs="Arial"/>
                <w:color w:val="000000" w:themeColor="text1"/>
              </w:rPr>
            </m:ctrlPr>
          </m:dPr>
          <m:e>
            <m:r>
              <w:rPr>
                <w:rFonts w:ascii="Cambria Math" w:hAnsi="Cambria Math" w:cs="Arial"/>
                <w:color w:val="000000" w:themeColor="text1"/>
              </w:rPr>
              <m:t>α</m:t>
            </m:r>
          </m:e>
        </m:d>
      </m:oMath>
      <w:r w:rsidRPr="00B13CBE">
        <w:rPr>
          <w:rFonts w:ascii="Arial" w:hAnsi="Arial" w:cs="Arial"/>
          <w:color w:val="000000" w:themeColor="text1"/>
        </w:rPr>
        <w:t xml:space="preserve"> where </w:t>
      </w:r>
      <m:oMath>
        <m:sSubSup>
          <m:sSubSupPr>
            <m:ctrlPr>
              <w:rPr>
                <w:rFonts w:ascii="Cambria Math" w:hAnsi="Cambria Math" w:cs="Arial"/>
                <w:color w:val="000000" w:themeColor="text1"/>
              </w:rPr>
            </m:ctrlPr>
          </m:sSubSupPr>
          <m:e>
            <m:r>
              <w:rPr>
                <w:rFonts w:ascii="Cambria Math" w:hAnsi="Cambria Math" w:cs="Arial"/>
                <w:color w:val="000000" w:themeColor="text1"/>
              </w:rPr>
              <m:t>χ</m:t>
            </m:r>
          </m:e>
          <m:sub>
            <m:r>
              <w:rPr>
                <w:rFonts w:ascii="Cambria Math" w:hAnsi="Cambria Math" w:cs="Arial"/>
                <w:color w:val="000000" w:themeColor="text1"/>
              </w:rPr>
              <m:t>m</m:t>
            </m:r>
          </m:sub>
          <m:sup>
            <m:r>
              <w:rPr>
                <w:rFonts w:ascii="Cambria Math" w:hAnsi="Cambria Math" w:cs="Arial"/>
                <w:color w:val="000000" w:themeColor="text1"/>
              </w:rPr>
              <m:t>2</m:t>
            </m:r>
          </m:sup>
        </m:sSubSup>
        <m:d>
          <m:dPr>
            <m:ctrlPr>
              <w:rPr>
                <w:rFonts w:ascii="Cambria Math" w:hAnsi="Cambria Math" w:cs="Arial"/>
                <w:color w:val="000000" w:themeColor="text1"/>
              </w:rPr>
            </m:ctrlPr>
          </m:dPr>
          <m:e>
            <m:r>
              <w:rPr>
                <w:rFonts w:ascii="Cambria Math" w:hAnsi="Cambria Math" w:cs="Arial"/>
                <w:color w:val="000000" w:themeColor="text1"/>
              </w:rPr>
              <m:t>α</m:t>
            </m:r>
          </m:e>
        </m:d>
      </m:oMath>
      <w:r w:rsidRPr="00B13CBE">
        <w:rPr>
          <w:rFonts w:ascii="Arial" w:hAnsi="Arial" w:cs="Arial"/>
          <w:color w:val="000000" w:themeColor="text1"/>
        </w:rPr>
        <w:t xml:space="preserve"> is the upper </w:t>
      </w:r>
      <m:oMath>
        <m:r>
          <w:rPr>
            <w:rFonts w:ascii="Cambria Math" w:hAnsi="Cambria Math" w:cs="Arial"/>
            <w:color w:val="000000" w:themeColor="text1"/>
          </w:rPr>
          <m:t>100</m:t>
        </m:r>
        <m:d>
          <m:dPr>
            <m:ctrlPr>
              <w:rPr>
                <w:rFonts w:ascii="Cambria Math" w:hAnsi="Cambria Math" w:cs="Arial"/>
                <w:color w:val="000000" w:themeColor="text1"/>
              </w:rPr>
            </m:ctrlPr>
          </m:dPr>
          <m:e>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α</m:t>
            </m:r>
          </m:e>
        </m:d>
      </m:oMath>
      <w:r w:rsidRPr="00B13CBE">
        <w:rPr>
          <w:rFonts w:ascii="Arial" w:hAnsi="Arial" w:cs="Arial"/>
          <w:color w:val="000000" w:themeColor="text1"/>
        </w:rPr>
        <w:t xml:space="preserve">th percentile of </w:t>
      </w:r>
      <m:oMath>
        <m:sSubSup>
          <m:sSubSupPr>
            <m:ctrlPr>
              <w:rPr>
                <w:rFonts w:ascii="Cambria Math" w:hAnsi="Cambria Math" w:cs="Arial"/>
                <w:color w:val="000000" w:themeColor="text1"/>
              </w:rPr>
            </m:ctrlPr>
          </m:sSubSupPr>
          <m:e>
            <m:r>
              <w:rPr>
                <w:rFonts w:ascii="Cambria Math" w:hAnsi="Cambria Math" w:cs="Arial"/>
                <w:color w:val="000000" w:themeColor="text1"/>
              </w:rPr>
              <m:t>χ</m:t>
            </m:r>
          </m:e>
          <m:sub>
            <m:r>
              <w:rPr>
                <w:rFonts w:ascii="Cambria Math" w:hAnsi="Cambria Math" w:cs="Arial"/>
                <w:color w:val="000000" w:themeColor="text1"/>
              </w:rPr>
              <m:t>m</m:t>
            </m:r>
          </m:sub>
          <m:sup>
            <m:r>
              <w:rPr>
                <w:rFonts w:ascii="Cambria Math" w:hAnsi="Cambria Math" w:cs="Arial"/>
                <w:color w:val="000000" w:themeColor="text1"/>
              </w:rPr>
              <m:t>2</m:t>
            </m:r>
          </m:sup>
        </m:sSubSup>
      </m:oMath>
      <w:r w:rsidRPr="00B13CBE">
        <w:rPr>
          <w:rFonts w:ascii="Arial" w:hAnsi="Arial" w:cs="Arial"/>
          <w:color w:val="000000" w:themeColor="text1"/>
        </w:rPr>
        <w:t xml:space="preserve"> or the p-value of the F statistic is less than </w:t>
      </w:r>
      <m:oMath>
        <m:r>
          <w:rPr>
            <w:rFonts w:ascii="Cambria Math" w:hAnsi="Cambria Math" w:cs="Arial"/>
            <w:color w:val="000000" w:themeColor="text1"/>
          </w:rPr>
          <m:t>α</m:t>
        </m:r>
      </m:oMath>
      <w:r w:rsidRPr="00B13CBE">
        <w:rPr>
          <w:rFonts w:ascii="Arial" w:hAnsi="Arial" w:cs="Arial"/>
          <w:color w:val="000000" w:themeColor="text1"/>
        </w:rPr>
        <w:t xml:space="preserve"> (Tsay, 2005).</w:t>
      </w:r>
    </w:p>
    <w:p w14:paraId="1EA6EBA7" w14:textId="77777777" w:rsidR="001F4CEB" w:rsidRPr="00B13CBE" w:rsidRDefault="00C4772C" w:rsidP="00781A3B">
      <w:pPr>
        <w:pStyle w:val="Heading2"/>
        <w:spacing w:before="0"/>
      </w:pPr>
      <w:bookmarkStart w:id="32" w:name="_Toc82603367"/>
      <w:bookmarkEnd w:id="30"/>
      <w:bookmarkEnd w:id="31"/>
      <w:r w:rsidRPr="00B13CBE">
        <w:t>DCC-GARCH</w:t>
      </w:r>
      <w:bookmarkEnd w:id="32"/>
    </w:p>
    <w:p w14:paraId="04AB2BBB" w14:textId="0469EDDE" w:rsidR="001F4CEB" w:rsidRPr="00B13CBE" w:rsidRDefault="00C4772C" w:rsidP="00781A3B">
      <w:pPr>
        <w:pStyle w:val="FirstParagraph"/>
        <w:spacing w:before="0" w:after="0" w:line="360" w:lineRule="auto"/>
        <w:jc w:val="both"/>
        <w:rPr>
          <w:rFonts w:ascii="Arial" w:hAnsi="Arial" w:cs="Arial"/>
          <w:color w:val="000000" w:themeColor="text1"/>
        </w:rPr>
      </w:pPr>
      <w:r w:rsidRPr="00B13CBE">
        <w:rPr>
          <w:rFonts w:ascii="Arial" w:hAnsi="Arial" w:cs="Arial"/>
          <w:color w:val="000000" w:themeColor="text1"/>
        </w:rPr>
        <w:t>Dynamic Conditional Correlation (DCC) GARCH is a multivariate GARCH model that models the conditional variances and correlations among variables in a time-varying manner</w:t>
      </w:r>
      <w:r w:rsidR="0078397F" w:rsidRPr="00B13CBE">
        <w:rPr>
          <w:rFonts w:ascii="Arial" w:hAnsi="Arial" w:cs="Arial"/>
          <w:color w:val="000000" w:themeColor="text1"/>
        </w:rPr>
        <w:t xml:space="preserve"> </w:t>
      </w:r>
      <w:r w:rsidRPr="00B13CBE">
        <w:rPr>
          <w:rFonts w:ascii="Arial" w:hAnsi="Arial" w:cs="Arial"/>
          <w:color w:val="000000" w:themeColor="text1"/>
        </w:rPr>
        <w:t>Engle</w:t>
      </w:r>
      <w:r w:rsidR="0078397F" w:rsidRPr="00B13CBE">
        <w:rPr>
          <w:rFonts w:ascii="Arial" w:hAnsi="Arial" w:cs="Arial"/>
          <w:color w:val="000000" w:themeColor="text1"/>
        </w:rPr>
        <w:t xml:space="preserve"> </w:t>
      </w:r>
      <w:r w:rsidRPr="00B13CBE">
        <w:rPr>
          <w:rFonts w:ascii="Arial" w:hAnsi="Arial" w:cs="Arial"/>
          <w:color w:val="000000" w:themeColor="text1"/>
        </w:rPr>
        <w:t xml:space="preserve">(2002). According to </w:t>
      </w:r>
      <w:proofErr w:type="gramStart"/>
      <w:r w:rsidRPr="00B13CBE">
        <w:rPr>
          <w:rFonts w:ascii="Arial" w:hAnsi="Arial" w:cs="Arial"/>
          <w:color w:val="000000" w:themeColor="text1"/>
        </w:rPr>
        <w:t>Orskaug</w:t>
      </w:r>
      <w:r w:rsidR="0078397F" w:rsidRPr="00B13CBE">
        <w:rPr>
          <w:rFonts w:ascii="Arial" w:hAnsi="Arial" w:cs="Arial"/>
          <w:color w:val="000000" w:themeColor="text1"/>
        </w:rPr>
        <w:t xml:space="preserve">  </w:t>
      </w:r>
      <w:r w:rsidRPr="00B13CBE">
        <w:rPr>
          <w:rFonts w:ascii="Arial" w:hAnsi="Arial" w:cs="Arial"/>
          <w:color w:val="000000" w:themeColor="text1"/>
        </w:rPr>
        <w:t>(</w:t>
      </w:r>
      <w:proofErr w:type="gramEnd"/>
      <w:r w:rsidRPr="00B13CBE">
        <w:rPr>
          <w:rFonts w:ascii="Arial" w:hAnsi="Arial" w:cs="Arial"/>
          <w:color w:val="000000" w:themeColor="text1"/>
        </w:rPr>
        <w:t>2009), the DCC-GARCH model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47BBB452" w14:textId="77777777" w:rsidTr="00DA4541">
        <w:tc>
          <w:tcPr>
            <w:tcW w:w="805" w:type="dxa"/>
            <w:vAlign w:val="center"/>
          </w:tcPr>
          <w:p w14:paraId="4B514EF4" w14:textId="77777777" w:rsidR="00DA4541" w:rsidRPr="00B13CBE" w:rsidRDefault="00DA4541" w:rsidP="00FC6236">
            <w:pPr>
              <w:pStyle w:val="BodyText"/>
              <w:jc w:val="center"/>
              <w:rPr>
                <w:rFonts w:ascii="Arial" w:hAnsi="Arial" w:cs="Arial"/>
              </w:rPr>
            </w:pPr>
          </w:p>
        </w:tc>
        <w:tc>
          <w:tcPr>
            <w:tcW w:w="6840" w:type="dxa"/>
            <w:vAlign w:val="center"/>
          </w:tcPr>
          <w:p w14:paraId="094EBB17" w14:textId="09398123" w:rsidR="00DA4541" w:rsidRPr="00B13CBE" w:rsidRDefault="00FC49CE" w:rsidP="00DA4541">
            <w:pPr>
              <w:pStyle w:val="BodyText"/>
              <w:spacing w:line="360" w:lineRule="auto"/>
              <w:jc w:val="both"/>
              <w:rPr>
                <w:rFonts w:ascii="Arial" w:hAnsi="Arial" w:cs="Arial"/>
                <w:color w:val="000000" w:themeColor="text1"/>
              </w:rPr>
            </w:pPr>
            <m:oMathPara>
              <m:oMath>
                <m:m>
                  <m:mPr>
                    <m:plcHide m:val="1"/>
                    <m:mcs>
                      <m:mc>
                        <m:mcPr>
                          <m:count m:val="1"/>
                          <m:mcJc m:val="right"/>
                        </m:mcPr>
                      </m:mc>
                      <m:mc>
                        <m:mcPr>
                          <m:count m:val="1"/>
                          <m:mcJc m:val="left"/>
                        </m:mcPr>
                      </m:mc>
                    </m:mcs>
                    <m:ctrlPr>
                      <w:rPr>
                        <w:rFonts w:ascii="Cambria Math" w:hAnsi="Cambria Math" w:cs="Arial"/>
                        <w:color w:val="000000" w:themeColor="text1"/>
                      </w:rPr>
                    </m:ctrlPr>
                  </m:mPr>
                  <m:mr>
                    <m:e>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e>
                    <m:e>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μ</m:t>
                          </m:r>
                        </m:e>
                        <m:sub>
                          <m:r>
                            <w:rPr>
                              <w:rFonts w:ascii="Cambria Math" w:hAnsi="Cambria Math" w:cs="Arial"/>
                              <w:color w:val="000000" w:themeColor="text1"/>
                            </w:rPr>
                            <m:t>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e>
                  </m:mr>
                  <m:mr>
                    <m:e>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e>
                    <m:e>
                      <m:r>
                        <m:rPr>
                          <m:sty m:val="p"/>
                        </m:rPr>
                        <w:rPr>
                          <w:rFonts w:ascii="Cambria Math" w:hAnsi="Cambria Math" w:cs="Arial"/>
                          <w:color w:val="000000" w:themeColor="text1"/>
                        </w:rPr>
                        <m:t>=</m:t>
                      </m:r>
                      <m:sSubSup>
                        <m:sSubSupPr>
                          <m:ctrlPr>
                            <w:rPr>
                              <w:rFonts w:ascii="Cambria Math" w:hAnsi="Cambria Math" w:cs="Arial"/>
                              <w:color w:val="000000" w:themeColor="text1"/>
                            </w:rPr>
                          </m:ctrlPr>
                        </m:sSubSupPr>
                        <m:e>
                          <m:r>
                            <m:rPr>
                              <m:nor/>
                            </m:rPr>
                            <w:rPr>
                              <w:rFonts w:ascii="Arial" w:hAnsi="Arial" w:cs="Arial"/>
                              <w:color w:val="000000" w:themeColor="text1"/>
                            </w:rPr>
                            <m:t>H</m:t>
                          </m:r>
                        </m:e>
                        <m:sub>
                          <m:r>
                            <w:rPr>
                              <w:rFonts w:ascii="Cambria Math" w:hAnsi="Cambria Math" w:cs="Arial"/>
                              <w:color w:val="000000" w:themeColor="text1"/>
                            </w:rPr>
                            <m:t>t</m:t>
                          </m:r>
                        </m:sub>
                        <m:sup>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2</m:t>
                          </m:r>
                        </m:sup>
                      </m:sSubSup>
                      <m:sSub>
                        <m:sSubPr>
                          <m:ctrlPr>
                            <w:rPr>
                              <w:rFonts w:ascii="Cambria Math" w:hAnsi="Cambria Math" w:cs="Arial"/>
                              <w:color w:val="000000" w:themeColor="text1"/>
                            </w:rPr>
                          </m:ctrlPr>
                        </m:sSubPr>
                        <m:e>
                          <m:r>
                            <m:rPr>
                              <m:nor/>
                            </m:rPr>
                            <w:rPr>
                              <w:rFonts w:ascii="Arial" w:hAnsi="Arial" w:cs="Arial"/>
                              <w:color w:val="000000" w:themeColor="text1"/>
                            </w:rPr>
                            <m:t>z</m:t>
                          </m:r>
                        </m:e>
                        <m:sub>
                          <m:r>
                            <w:rPr>
                              <w:rFonts w:ascii="Cambria Math" w:hAnsi="Cambria Math" w:cs="Arial"/>
                              <w:color w:val="000000" w:themeColor="text1"/>
                            </w:rPr>
                            <m:t>t</m:t>
                          </m:r>
                        </m:sub>
                      </m:sSub>
                    </m:e>
                  </m:mr>
                  <m:mr>
                    <m:e>
                      <m:sSub>
                        <m:sSubPr>
                          <m:ctrlPr>
                            <w:rPr>
                              <w:rFonts w:ascii="Cambria Math" w:hAnsi="Cambria Math" w:cs="Arial"/>
                              <w:color w:val="000000" w:themeColor="text1"/>
                            </w:rPr>
                          </m:ctrlPr>
                        </m:sSubPr>
                        <m:e>
                          <m:r>
                            <m:rPr>
                              <m:nor/>
                            </m:rPr>
                            <w:rPr>
                              <w:rFonts w:ascii="Arial" w:hAnsi="Arial" w:cs="Arial"/>
                              <w:color w:val="000000" w:themeColor="text1"/>
                            </w:rPr>
                            <m:t>H</m:t>
                          </m:r>
                        </m:e>
                        <m:sub>
                          <m:r>
                            <w:rPr>
                              <w:rFonts w:ascii="Cambria Math" w:hAnsi="Cambria Math" w:cs="Arial"/>
                              <w:color w:val="000000" w:themeColor="text1"/>
                            </w:rPr>
                            <m:t>t</m:t>
                          </m:r>
                        </m:sub>
                      </m:sSub>
                    </m:e>
                    <m:e>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nor/>
                            </m:rPr>
                            <w:rPr>
                              <w:rFonts w:ascii="Arial" w:hAnsi="Arial" w:cs="Arial"/>
                              <w:color w:val="000000" w:themeColor="text1"/>
                            </w:rPr>
                            <m:t>D</m:t>
                          </m:r>
                        </m:e>
                        <m:sub>
                          <m:r>
                            <w:rPr>
                              <w:rFonts w:ascii="Cambria Math" w:hAnsi="Cambria Math" w:cs="Arial"/>
                              <w:color w:val="000000" w:themeColor="text1"/>
                            </w:rPr>
                            <m:t>t</m:t>
                          </m:r>
                        </m:sub>
                      </m:sSub>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sSub>
                        <m:sSubPr>
                          <m:ctrlPr>
                            <w:rPr>
                              <w:rFonts w:ascii="Cambria Math" w:hAnsi="Cambria Math" w:cs="Arial"/>
                              <w:color w:val="000000" w:themeColor="text1"/>
                            </w:rPr>
                          </m:ctrlPr>
                        </m:sSubPr>
                        <m:e>
                          <m:r>
                            <m:rPr>
                              <m:nor/>
                            </m:rPr>
                            <w:rPr>
                              <w:rFonts w:ascii="Arial" w:hAnsi="Arial" w:cs="Arial"/>
                              <w:color w:val="000000" w:themeColor="text1"/>
                            </w:rPr>
                            <m:t>D</m:t>
                          </m:r>
                        </m:e>
                        <m:sub>
                          <m:r>
                            <w:rPr>
                              <w:rFonts w:ascii="Cambria Math" w:hAnsi="Cambria Math" w:cs="Arial"/>
                              <w:color w:val="000000" w:themeColor="text1"/>
                            </w:rPr>
                            <m:t>t</m:t>
                          </m:r>
                        </m:sub>
                      </m:sSub>
                    </m:e>
                  </m:mr>
                </m:m>
              </m:oMath>
            </m:oMathPara>
          </w:p>
        </w:tc>
        <w:tc>
          <w:tcPr>
            <w:tcW w:w="985" w:type="dxa"/>
            <w:vAlign w:val="center"/>
          </w:tcPr>
          <w:p w14:paraId="2C6C09AB" w14:textId="6E082EAC"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11</w:t>
            </w:r>
            <w:r w:rsidR="00FC6236" w:rsidRPr="00B13CBE">
              <w:rPr>
                <w:rFonts w:ascii="Arial" w:hAnsi="Arial" w:cs="Arial"/>
                <w:noProof/>
              </w:rPr>
              <w:fldChar w:fldCharType="end"/>
            </w:r>
            <w:r w:rsidRPr="00B13CBE">
              <w:rPr>
                <w:rFonts w:ascii="Arial" w:hAnsi="Arial" w:cs="Arial"/>
              </w:rPr>
              <w:t>)</w:t>
            </w:r>
          </w:p>
        </w:tc>
      </w:tr>
    </w:tbl>
    <w:p w14:paraId="6ED70E6D" w14:textId="77777777" w:rsidR="00DA4541" w:rsidRPr="00B13CBE" w:rsidRDefault="00DA4541" w:rsidP="00DA4541">
      <w:pPr>
        <w:pStyle w:val="BodyText"/>
        <w:rPr>
          <w:rFonts w:ascii="Arial" w:hAnsi="Arial" w:cs="Arial"/>
        </w:rPr>
      </w:pPr>
    </w:p>
    <w:p w14:paraId="218D30D0" w14:textId="77777777"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where: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1</m:t>
        </m:r>
      </m:oMath>
      <w:r w:rsidRPr="00B13CBE">
        <w:rPr>
          <w:rFonts w:ascii="Arial" w:hAnsi="Arial" w:cs="Arial"/>
          <w:color w:val="000000" w:themeColor="text1"/>
        </w:rPr>
        <w:t xml:space="preserve"> vector of log-returns of n assets at time t, </w:t>
      </w:r>
      <m:oMath>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1</m:t>
        </m:r>
      </m:oMath>
      <w:r w:rsidRPr="00B13CBE">
        <w:rPr>
          <w:rFonts w:ascii="Arial" w:hAnsi="Arial" w:cs="Arial"/>
          <w:color w:val="000000" w:themeColor="text1"/>
        </w:rPr>
        <w:t xml:space="preserve"> vector of mean-corrected returns of n assets at time t such that </w:t>
      </w:r>
      <m:oMath>
        <m: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e>
        </m:d>
        <m:r>
          <m:rPr>
            <m:sty m:val="p"/>
          </m:rPr>
          <w:rPr>
            <w:rFonts w:ascii="Cambria Math" w:hAnsi="Cambria Math" w:cs="Arial"/>
            <w:color w:val="000000" w:themeColor="text1"/>
          </w:rPr>
          <m:t>=</m:t>
        </m:r>
        <m:r>
          <w:rPr>
            <w:rFonts w:ascii="Cambria Math" w:hAnsi="Cambria Math" w:cs="Arial"/>
            <w:color w:val="000000" w:themeColor="text1"/>
          </w:rPr>
          <m:t>0</m:t>
        </m:r>
      </m:oMath>
      <w:r w:rsidRPr="00B13CBE">
        <w:rPr>
          <w:rFonts w:ascii="Arial" w:hAnsi="Arial" w:cs="Arial"/>
          <w:color w:val="000000" w:themeColor="text1"/>
        </w:rPr>
        <w:t xml:space="preserve"> and </w:t>
      </w:r>
      <m:oMath>
        <m:r>
          <w:rPr>
            <w:rFonts w:ascii="Cambria Math" w:hAnsi="Cambria Math" w:cs="Arial"/>
            <w:color w:val="000000" w:themeColor="text1"/>
          </w:rPr>
          <m:t>Cov</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e>
        </m:d>
        <m:r>
          <m:rPr>
            <m:sty m:val="p"/>
          </m:rPr>
          <w:rPr>
            <w:rFonts w:ascii="Cambria Math" w:hAnsi="Cambria Math" w:cs="Arial"/>
            <w:color w:val="000000" w:themeColor="text1"/>
          </w:rPr>
          <m:t>=</m:t>
        </m:r>
        <m:sSub>
          <m:sSubPr>
            <m:ctrlPr>
              <w:rPr>
                <w:rFonts w:ascii="Cambria Math" w:hAnsi="Cambria Math" w:cs="Arial"/>
                <w:color w:val="000000" w:themeColor="text1"/>
              </w:rPr>
            </m:ctrlPr>
          </m:sSubPr>
          <m:e>
            <m:r>
              <m:rPr>
                <m:nor/>
              </m:rPr>
              <w:rPr>
                <w:rFonts w:ascii="Arial" w:hAnsi="Arial" w:cs="Arial"/>
                <w:color w:val="000000" w:themeColor="text1"/>
              </w:rPr>
              <m:t>H</m:t>
            </m:r>
          </m:e>
          <m:sub>
            <m:r>
              <w:rPr>
                <w:rFonts w:ascii="Cambria Math" w:hAnsi="Cambria Math" w:cs="Arial"/>
                <w:color w:val="000000" w:themeColor="text1"/>
              </w:rPr>
              <m:t>t</m:t>
            </m:r>
          </m:sub>
        </m:sSub>
      </m:oMath>
      <w:r w:rsidRPr="00B13CBE">
        <w:rPr>
          <w:rFonts w:ascii="Arial" w:hAnsi="Arial" w:cs="Arial"/>
          <w:color w:val="000000" w:themeColor="text1"/>
        </w:rPr>
        <w:t xml:space="preserve">, $\bf{\mu}_t$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1</m:t>
        </m:r>
      </m:oMath>
      <w:r w:rsidRPr="00B13CBE">
        <w:rPr>
          <w:rFonts w:ascii="Arial" w:hAnsi="Arial" w:cs="Arial"/>
          <w:color w:val="000000" w:themeColor="text1"/>
        </w:rPr>
        <w:t xml:space="preserve"> vector of the expected value of the conditional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w:t>
      </w:r>
      <m:oMath>
        <m:sSub>
          <m:sSubPr>
            <m:ctrlPr>
              <w:rPr>
                <w:rFonts w:ascii="Cambria Math" w:hAnsi="Cambria Math" w:cs="Arial"/>
                <w:color w:val="000000" w:themeColor="text1"/>
              </w:rPr>
            </m:ctrlPr>
          </m:sSubPr>
          <m:e>
            <m:r>
              <m:rPr>
                <m:nor/>
              </m:rPr>
              <w:rPr>
                <w:rFonts w:ascii="Arial" w:hAnsi="Arial" w:cs="Arial"/>
                <w:color w:val="000000" w:themeColor="text1"/>
              </w:rPr>
              <m:t>H</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n</m:t>
        </m:r>
      </m:oMath>
      <w:r w:rsidRPr="00B13CBE">
        <w:rPr>
          <w:rFonts w:ascii="Arial" w:hAnsi="Arial" w:cs="Arial"/>
          <w:color w:val="000000" w:themeColor="text1"/>
        </w:rPr>
        <w:t xml:space="preserve"> matrix of conditional variances of </w:t>
      </w:r>
      <m:oMath>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oMath>
      <w:r w:rsidRPr="00B13CBE">
        <w:rPr>
          <w:rFonts w:ascii="Arial" w:hAnsi="Arial" w:cs="Arial"/>
          <w:color w:val="000000" w:themeColor="text1"/>
        </w:rPr>
        <w:t xml:space="preserve"> at time </w:t>
      </w:r>
      <m:oMath>
        <m:r>
          <w:rPr>
            <w:rFonts w:ascii="Cambria Math" w:hAnsi="Cambria Math" w:cs="Arial"/>
            <w:color w:val="000000" w:themeColor="text1"/>
          </w:rPr>
          <m:t>t</m:t>
        </m:r>
      </m:oMath>
      <w:r w:rsidRPr="00B13CBE">
        <w:rPr>
          <w:rFonts w:ascii="Arial" w:hAnsi="Arial" w:cs="Arial"/>
          <w:color w:val="000000" w:themeColor="text1"/>
        </w:rPr>
        <w:t xml:space="preserve">, </w:t>
      </w:r>
      <m:oMath>
        <m:sSubSup>
          <m:sSubSupPr>
            <m:ctrlPr>
              <w:rPr>
                <w:rFonts w:ascii="Cambria Math" w:hAnsi="Cambria Math" w:cs="Arial"/>
                <w:color w:val="000000" w:themeColor="text1"/>
              </w:rPr>
            </m:ctrlPr>
          </m:sSubSupPr>
          <m:e>
            <m:r>
              <m:rPr>
                <m:nor/>
              </m:rPr>
              <w:rPr>
                <w:rFonts w:ascii="Arial" w:hAnsi="Arial" w:cs="Arial"/>
                <w:color w:val="000000" w:themeColor="text1"/>
              </w:rPr>
              <m:t>H</m:t>
            </m:r>
          </m:e>
          <m:sub>
            <m:r>
              <w:rPr>
                <w:rFonts w:ascii="Cambria Math" w:hAnsi="Cambria Math" w:cs="Arial"/>
                <w:color w:val="000000" w:themeColor="text1"/>
              </w:rPr>
              <m:t>t</m:t>
            </m:r>
          </m:sub>
          <m:sup>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2</m:t>
            </m:r>
          </m:sup>
        </m:sSubSup>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n</m:t>
        </m:r>
      </m:oMath>
      <w:r w:rsidRPr="00B13CBE">
        <w:rPr>
          <w:rFonts w:ascii="Arial" w:hAnsi="Arial" w:cs="Arial"/>
          <w:color w:val="000000" w:themeColor="text1"/>
        </w:rPr>
        <w:t xml:space="preserve"> matrix of the square roots of the conditional variances </w:t>
      </w:r>
      <m:oMath>
        <m:sSub>
          <m:sSubPr>
            <m:ctrlPr>
              <w:rPr>
                <w:rFonts w:ascii="Cambria Math" w:hAnsi="Cambria Math" w:cs="Arial"/>
                <w:color w:val="000000" w:themeColor="text1"/>
              </w:rPr>
            </m:ctrlPr>
          </m:sSubPr>
          <m:e>
            <m:r>
              <m:rPr>
                <m:nor/>
              </m:rPr>
              <w:rPr>
                <w:rFonts w:ascii="Arial" w:hAnsi="Arial" w:cs="Arial"/>
                <w:color w:val="000000" w:themeColor="text1"/>
              </w:rPr>
              <m:t>H</m:t>
            </m:r>
          </m:e>
          <m:sub>
            <m:r>
              <w:rPr>
                <w:rFonts w:ascii="Cambria Math" w:hAnsi="Cambria Math" w:cs="Arial"/>
                <w:color w:val="000000" w:themeColor="text1"/>
              </w:rPr>
              <m:t>t</m:t>
            </m:r>
          </m:sub>
        </m:sSub>
      </m:oMath>
      <w:r w:rsidRPr="00B13CBE">
        <w:rPr>
          <w:rFonts w:ascii="Arial" w:hAnsi="Arial" w:cs="Arial"/>
          <w:color w:val="000000" w:themeColor="text1"/>
        </w:rPr>
        <w:t xml:space="preserve">, </w:t>
      </w:r>
      <m:oMath>
        <m:sSub>
          <m:sSubPr>
            <m:ctrlPr>
              <w:rPr>
                <w:rFonts w:ascii="Cambria Math" w:hAnsi="Cambria Math" w:cs="Arial"/>
                <w:color w:val="000000" w:themeColor="text1"/>
              </w:rPr>
            </m:ctrlPr>
          </m:sSubPr>
          <m:e>
            <m:r>
              <m:rPr>
                <m:nor/>
              </m:rPr>
              <w:rPr>
                <w:rFonts w:ascii="Arial" w:hAnsi="Arial" w:cs="Arial"/>
                <w:color w:val="000000" w:themeColor="text1"/>
              </w:rPr>
              <m:t>D</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n</m:t>
        </m:r>
      </m:oMath>
      <w:r w:rsidRPr="00B13CBE">
        <w:rPr>
          <w:rFonts w:ascii="Arial" w:hAnsi="Arial" w:cs="Arial"/>
          <w:color w:val="000000" w:themeColor="text1"/>
        </w:rPr>
        <w:t xml:space="preserve"> matrix of the conditional standard deviations of </w:t>
      </w:r>
      <m:oMath>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oMath>
      <w:r w:rsidRPr="00B13CBE">
        <w:rPr>
          <w:rFonts w:ascii="Arial" w:hAnsi="Arial" w:cs="Arial"/>
          <w:color w:val="000000" w:themeColor="text1"/>
        </w:rPr>
        <w:t xml:space="preserve"> at time </w:t>
      </w:r>
      <m:oMath>
        <m:r>
          <w:rPr>
            <w:rFonts w:ascii="Cambria Math" w:hAnsi="Cambria Math" w:cs="Arial"/>
            <w:color w:val="000000" w:themeColor="text1"/>
          </w:rPr>
          <m:t>t</m:t>
        </m:r>
      </m:oMath>
      <w:r w:rsidRPr="00B13CBE">
        <w:rPr>
          <w:rFonts w:ascii="Arial" w:hAnsi="Arial" w:cs="Arial"/>
          <w:color w:val="000000" w:themeColor="text1"/>
        </w:rPr>
        <w:t xml:space="preserve">,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n</m:t>
        </m:r>
      </m:oMath>
      <w:r w:rsidRPr="00B13CBE">
        <w:rPr>
          <w:rFonts w:ascii="Arial" w:hAnsi="Arial" w:cs="Arial"/>
          <w:color w:val="000000" w:themeColor="text1"/>
        </w:rPr>
        <w:t xml:space="preserve"> matrix of the conditional correlation matrix of </w:t>
      </w:r>
      <m:oMath>
        <m:sSub>
          <m:sSubPr>
            <m:ctrlPr>
              <w:rPr>
                <w:rFonts w:ascii="Cambria Math" w:hAnsi="Cambria Math" w:cs="Arial"/>
                <w:color w:val="000000" w:themeColor="text1"/>
              </w:rPr>
            </m:ctrlPr>
          </m:sSubPr>
          <m:e>
            <m:r>
              <m:rPr>
                <m:nor/>
              </m:rPr>
              <w:rPr>
                <w:rFonts w:ascii="Arial" w:hAnsi="Arial" w:cs="Arial"/>
                <w:color w:val="000000" w:themeColor="text1"/>
              </w:rPr>
              <m:t>a</m:t>
            </m:r>
          </m:e>
          <m:sub>
            <m:r>
              <w:rPr>
                <w:rFonts w:ascii="Cambria Math" w:hAnsi="Cambria Math" w:cs="Arial"/>
                <w:color w:val="000000" w:themeColor="text1"/>
              </w:rPr>
              <m:t>t</m:t>
            </m:r>
          </m:sub>
        </m:sSub>
      </m:oMath>
      <w:r w:rsidRPr="00B13CBE">
        <w:rPr>
          <w:rFonts w:ascii="Arial" w:hAnsi="Arial" w:cs="Arial"/>
          <w:color w:val="000000" w:themeColor="text1"/>
        </w:rPr>
        <w:t xml:space="preserve"> at time </w:t>
      </w:r>
      <m:oMath>
        <m:r>
          <w:rPr>
            <w:rFonts w:ascii="Cambria Math" w:hAnsi="Cambria Math" w:cs="Arial"/>
            <w:color w:val="000000" w:themeColor="text1"/>
          </w:rPr>
          <m:t>t</m:t>
        </m:r>
      </m:oMath>
      <w:r w:rsidRPr="00B13CBE">
        <w:rPr>
          <w:rFonts w:ascii="Arial" w:hAnsi="Arial" w:cs="Arial"/>
          <w:color w:val="000000" w:themeColor="text1"/>
        </w:rPr>
        <w:t xml:space="preserve"> and </w:t>
      </w:r>
      <m:oMath>
        <m:sSub>
          <m:sSubPr>
            <m:ctrlPr>
              <w:rPr>
                <w:rFonts w:ascii="Cambria Math" w:hAnsi="Cambria Math" w:cs="Arial"/>
                <w:color w:val="000000" w:themeColor="text1"/>
              </w:rPr>
            </m:ctrlPr>
          </m:sSubPr>
          <m:e>
            <m:r>
              <m:rPr>
                <m:nor/>
              </m:rPr>
              <w:rPr>
                <w:rFonts w:ascii="Arial" w:hAnsi="Arial" w:cs="Arial"/>
                <w:color w:val="000000" w:themeColor="text1"/>
              </w:rPr>
              <m:t>z</m:t>
            </m:r>
          </m:e>
          <m:sub>
            <m:r>
              <w:rPr>
                <w:rFonts w:ascii="Cambria Math" w:hAnsi="Cambria Math" w:cs="Arial"/>
                <w:color w:val="000000" w:themeColor="text1"/>
              </w:rPr>
              <m:t>t</m:t>
            </m:r>
          </m:sub>
        </m:sSub>
      </m:oMath>
      <w:r w:rsidRPr="00B13CBE">
        <w:rPr>
          <w:rFonts w:ascii="Arial" w:hAnsi="Arial" w:cs="Arial"/>
          <w:color w:val="000000" w:themeColor="text1"/>
        </w:rPr>
        <w:t xml:space="preserve"> is an </w:t>
      </w:r>
      <m:oMath>
        <m:r>
          <w:rPr>
            <w:rFonts w:ascii="Cambria Math" w:hAnsi="Cambria Math" w:cs="Arial"/>
            <w:color w:val="000000" w:themeColor="text1"/>
          </w:rPr>
          <m:t>n</m:t>
        </m:r>
        <m:r>
          <m:rPr>
            <m:sty m:val="p"/>
          </m:rPr>
          <w:rPr>
            <w:rFonts w:ascii="Cambria Math" w:hAnsi="Cambria Math" w:cs="Arial"/>
            <w:color w:val="000000" w:themeColor="text1"/>
          </w:rPr>
          <m:t>×</m:t>
        </m:r>
        <m:r>
          <w:rPr>
            <w:rFonts w:ascii="Cambria Math" w:hAnsi="Cambria Math" w:cs="Arial"/>
            <w:color w:val="000000" w:themeColor="text1"/>
          </w:rPr>
          <m:t>1</m:t>
        </m:r>
      </m:oMath>
      <w:r w:rsidRPr="00B13CBE">
        <w:rPr>
          <w:rFonts w:ascii="Arial" w:hAnsi="Arial" w:cs="Arial"/>
          <w:color w:val="000000" w:themeColor="text1"/>
        </w:rPr>
        <w:t xml:space="preserve"> vector of independent </w:t>
      </w:r>
      <w:r w:rsidRPr="00B13CBE">
        <w:rPr>
          <w:rFonts w:ascii="Arial" w:hAnsi="Arial" w:cs="Arial"/>
          <w:color w:val="000000" w:themeColor="text1"/>
        </w:rPr>
        <w:lastRenderedPageBreak/>
        <w:t xml:space="preserve">and identically distributed random variables such that </w:t>
      </w:r>
      <m:oMath>
        <m: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m:rPr>
                    <m:nor/>
                  </m:rPr>
                  <w:rPr>
                    <w:rFonts w:ascii="Arial" w:hAnsi="Arial" w:cs="Arial"/>
                    <w:color w:val="000000" w:themeColor="text1"/>
                  </w:rPr>
                  <m:t>z</m:t>
                </m:r>
              </m:e>
              <m:sub>
                <m:r>
                  <w:rPr>
                    <w:rFonts w:ascii="Cambria Math" w:hAnsi="Cambria Math" w:cs="Arial"/>
                    <w:color w:val="000000" w:themeColor="text1"/>
                  </w:rPr>
                  <m:t>t</m:t>
                </m:r>
              </m:sub>
            </m:sSub>
          </m:e>
        </m:d>
        <m:r>
          <m:rPr>
            <m:sty m:val="p"/>
          </m:rPr>
          <w:rPr>
            <w:rFonts w:ascii="Cambria Math" w:hAnsi="Cambria Math" w:cs="Arial"/>
            <w:color w:val="000000" w:themeColor="text1"/>
          </w:rPr>
          <m:t>=</m:t>
        </m:r>
        <m:r>
          <w:rPr>
            <w:rFonts w:ascii="Cambria Math" w:hAnsi="Cambria Math" w:cs="Arial"/>
            <w:color w:val="000000" w:themeColor="text1"/>
          </w:rPr>
          <m:t>0</m:t>
        </m:r>
      </m:oMath>
      <w:r w:rsidRPr="00B13CBE">
        <w:rPr>
          <w:rFonts w:ascii="Arial" w:hAnsi="Arial" w:cs="Arial"/>
          <w:color w:val="000000" w:themeColor="text1"/>
        </w:rPr>
        <w:t xml:space="preserve"> and </w:t>
      </w:r>
      <m:oMath>
        <m: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m:rPr>
                    <m:nor/>
                  </m:rPr>
                  <w:rPr>
                    <w:rFonts w:ascii="Arial" w:hAnsi="Arial" w:cs="Arial"/>
                    <w:color w:val="000000" w:themeColor="text1"/>
                  </w:rPr>
                  <m:t>z</m:t>
                </m:r>
              </m:e>
              <m:sub>
                <m:r>
                  <w:rPr>
                    <w:rFonts w:ascii="Cambria Math" w:hAnsi="Cambria Math" w:cs="Arial"/>
                    <w:color w:val="000000" w:themeColor="text1"/>
                  </w:rPr>
                  <m:t>t</m:t>
                </m:r>
              </m:sub>
            </m:sSub>
            <m:sSubSup>
              <m:sSubSupPr>
                <m:ctrlPr>
                  <w:rPr>
                    <w:rFonts w:ascii="Cambria Math" w:hAnsi="Cambria Math" w:cs="Arial"/>
                    <w:color w:val="000000" w:themeColor="text1"/>
                  </w:rPr>
                </m:ctrlPr>
              </m:sSubSupPr>
              <m:e>
                <m:r>
                  <m:rPr>
                    <m:nor/>
                  </m:rPr>
                  <w:rPr>
                    <w:rFonts w:ascii="Arial" w:hAnsi="Arial" w:cs="Arial"/>
                    <w:color w:val="000000" w:themeColor="text1"/>
                  </w:rPr>
                  <m:t>z</m:t>
                </m:r>
              </m:e>
              <m:sub>
                <m:r>
                  <w:rPr>
                    <w:rFonts w:ascii="Cambria Math" w:hAnsi="Cambria Math" w:cs="Arial"/>
                    <w:color w:val="000000" w:themeColor="text1"/>
                  </w:rPr>
                  <m:t>t</m:t>
                </m:r>
              </m:sub>
              <m:sup>
                <m:r>
                  <w:rPr>
                    <w:rFonts w:ascii="Cambria Math" w:hAnsi="Cambria Math" w:cs="Arial"/>
                    <w:color w:val="000000" w:themeColor="text1"/>
                  </w:rPr>
                  <m:t>T</m:t>
                </m:r>
              </m:sup>
            </m:sSubSup>
          </m:e>
        </m:d>
        <m:r>
          <m:rPr>
            <m:sty m:val="p"/>
          </m:rPr>
          <w:rPr>
            <w:rFonts w:ascii="Cambria Math" w:hAnsi="Cambria Math" w:cs="Arial"/>
            <w:color w:val="000000" w:themeColor="text1"/>
          </w:rPr>
          <m:t>=</m:t>
        </m:r>
        <m:r>
          <w:rPr>
            <w:rFonts w:ascii="Cambria Math" w:hAnsi="Cambria Math" w:cs="Arial"/>
            <w:color w:val="000000" w:themeColor="text1"/>
          </w:rPr>
          <m:t>I</m:t>
        </m:r>
      </m:oMath>
      <w:r w:rsidRPr="00B13CBE">
        <w:rPr>
          <w:rFonts w:ascii="Arial" w:hAnsi="Arial" w:cs="Arial"/>
          <w:color w:val="000000" w:themeColor="text1"/>
        </w:rPr>
        <w:t>. According to Orskaug (2009), the conditional mean $\bf{\mu}_t$ can be a time series model or a constant vector.</w:t>
      </w:r>
    </w:p>
    <w:p w14:paraId="4096539C" w14:textId="01A136B5"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Orskaug (2009) points out that the diagonal matrix </w:t>
      </w:r>
      <m:oMath>
        <m:sSub>
          <m:sSubPr>
            <m:ctrlPr>
              <w:rPr>
                <w:rFonts w:ascii="Cambria Math" w:hAnsi="Cambria Math" w:cs="Arial"/>
                <w:color w:val="000000" w:themeColor="text1"/>
              </w:rPr>
            </m:ctrlPr>
          </m:sSubPr>
          <m:e>
            <m:r>
              <m:rPr>
                <m:nor/>
              </m:rPr>
              <w:rPr>
                <w:rFonts w:ascii="Arial" w:hAnsi="Arial" w:cs="Arial"/>
                <w:color w:val="000000" w:themeColor="text1"/>
              </w:rPr>
              <m:t>D</m:t>
            </m:r>
          </m:e>
          <m:sub>
            <m:r>
              <w:rPr>
                <w:rFonts w:ascii="Cambria Math" w:hAnsi="Cambria Math" w:cs="Arial"/>
                <w:color w:val="000000" w:themeColor="text1"/>
              </w:rPr>
              <m:t>t</m:t>
            </m:r>
          </m:sub>
        </m:sSub>
      </m:oMath>
      <w:r w:rsidRPr="00B13CBE">
        <w:rPr>
          <w:rFonts w:ascii="Arial" w:hAnsi="Arial" w:cs="Arial"/>
          <w:color w:val="000000" w:themeColor="text1"/>
        </w:rPr>
        <w:t xml:space="preserve"> are standard deviations from univariate GARCH models.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489828F9" w14:textId="77777777" w:rsidTr="00DA4541">
        <w:tc>
          <w:tcPr>
            <w:tcW w:w="805" w:type="dxa"/>
            <w:vAlign w:val="center"/>
          </w:tcPr>
          <w:p w14:paraId="755CB81E" w14:textId="77777777" w:rsidR="00DA4541" w:rsidRPr="00B13CBE" w:rsidRDefault="00DA4541" w:rsidP="00FC6236">
            <w:pPr>
              <w:pStyle w:val="BodyText"/>
              <w:jc w:val="center"/>
              <w:rPr>
                <w:rFonts w:ascii="Arial" w:hAnsi="Arial" w:cs="Arial"/>
              </w:rPr>
            </w:pPr>
          </w:p>
        </w:tc>
        <w:tc>
          <w:tcPr>
            <w:tcW w:w="6840" w:type="dxa"/>
            <w:vAlign w:val="center"/>
          </w:tcPr>
          <w:p w14:paraId="01104576" w14:textId="6EAF710A" w:rsidR="00DA4541" w:rsidRPr="00B13CBE" w:rsidRDefault="00FC49CE" w:rsidP="00DA4541">
            <w:pPr>
              <w:pStyle w:val="BodyText"/>
              <w:spacing w:line="360" w:lineRule="auto"/>
              <w:jc w:val="both"/>
              <w:rPr>
                <w:rFonts w:ascii="Arial" w:hAnsi="Arial" w:cs="Arial"/>
                <w:color w:val="000000" w:themeColor="text1"/>
              </w:rPr>
            </w:pPr>
            <m:oMathPara>
              <m:oMath>
                <m:sSub>
                  <m:sSubPr>
                    <m:ctrlPr>
                      <w:rPr>
                        <w:rFonts w:ascii="Cambria Math" w:hAnsi="Cambria Math" w:cs="Arial"/>
                        <w:color w:val="000000" w:themeColor="text1"/>
                      </w:rPr>
                    </m:ctrlPr>
                  </m:sSubPr>
                  <m:e>
                    <m:r>
                      <m:rPr>
                        <m:nor/>
                      </m:rPr>
                      <w:rPr>
                        <w:rFonts w:ascii="Arial" w:hAnsi="Arial" w:cs="Arial"/>
                        <w:color w:val="000000" w:themeColor="text1"/>
                      </w:rPr>
                      <m:t>D</m:t>
                    </m:r>
                  </m:e>
                  <m:sub>
                    <m:r>
                      <w:rPr>
                        <w:rFonts w:ascii="Cambria Math" w:hAnsi="Cambria Math" w:cs="Arial"/>
                        <w:color w:val="000000" w:themeColor="text1"/>
                      </w:rPr>
                      <m:t>t</m:t>
                    </m:r>
                  </m:sub>
                </m:sSub>
                <m:r>
                  <m:rPr>
                    <m:sty m:val="p"/>
                  </m:rPr>
                  <w:rPr>
                    <w:rFonts w:ascii="Cambria Math" w:hAnsi="Cambria Math" w:cs="Arial"/>
                    <w:color w:val="000000" w:themeColor="text1"/>
                  </w:rPr>
                  <m:t>=</m:t>
                </m:r>
                <m:d>
                  <m:dPr>
                    <m:begChr m:val="["/>
                    <m:endChr m:val="]"/>
                    <m:ctrlPr>
                      <w:rPr>
                        <w:rFonts w:ascii="Cambria Math" w:hAnsi="Cambria Math" w:cs="Arial"/>
                        <w:color w:val="000000" w:themeColor="text1"/>
                      </w:rPr>
                    </m:ctrlPr>
                  </m:dPr>
                  <m:e>
                    <m:m>
                      <m:mPr>
                        <m:plcHide m:val="1"/>
                        <m:mcs>
                          <m:mc>
                            <m:mcPr>
                              <m:count m:val="4"/>
                              <m:mcJc m:val="center"/>
                            </m:mcPr>
                          </m:mc>
                        </m:mcs>
                        <m:ctrlPr>
                          <w:rPr>
                            <w:rFonts w:ascii="Cambria Math" w:hAnsi="Cambria Math" w:cs="Arial"/>
                            <w:color w:val="000000" w:themeColor="text1"/>
                          </w:rPr>
                        </m:ctrlPr>
                      </m:mPr>
                      <m:mr>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1t</m:t>
                                  </m:r>
                                </m:sub>
                              </m:sSub>
                            </m:e>
                          </m:rad>
                        </m:e>
                        <m:e>
                          <m:r>
                            <w:rPr>
                              <w:rFonts w:ascii="Cambria Math" w:hAnsi="Cambria Math" w:cs="Arial"/>
                              <w:color w:val="000000" w:themeColor="text1"/>
                            </w:rPr>
                            <m:t>0</m:t>
                          </m:r>
                        </m:e>
                        <m:e>
                          <m:r>
                            <m:rPr>
                              <m:sty m:val="p"/>
                            </m:rPr>
                            <w:rPr>
                              <w:rFonts w:ascii="Cambria Math" w:hAnsi="Cambria Math" w:cs="Arial"/>
                              <w:color w:val="000000" w:themeColor="text1"/>
                            </w:rPr>
                            <m:t>⋯</m:t>
                          </m:r>
                        </m:e>
                        <m:e>
                          <m:r>
                            <w:rPr>
                              <w:rFonts w:ascii="Cambria Math" w:hAnsi="Cambria Math" w:cs="Arial"/>
                              <w:color w:val="000000" w:themeColor="text1"/>
                            </w:rPr>
                            <m:t>0</m:t>
                          </m:r>
                        </m:e>
                      </m:mr>
                      <m:mr>
                        <m:e>
                          <m:r>
                            <w:rPr>
                              <w:rFonts w:ascii="Cambria Math" w:hAnsi="Cambria Math" w:cs="Arial"/>
                              <w:color w:val="000000" w:themeColor="text1"/>
                            </w:rPr>
                            <m:t>0</m:t>
                          </m:r>
                        </m:e>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2t</m:t>
                                  </m:r>
                                </m:sub>
                              </m:sSub>
                            </m:e>
                          </m:rad>
                        </m:e>
                        <m:e>
                          <m:r>
                            <m:rPr>
                              <m:sty m:val="p"/>
                            </m:rPr>
                            <w:rPr>
                              <w:rFonts w:ascii="Cambria Math" w:hAnsi="Cambria Math" w:cs="Arial"/>
                              <w:color w:val="000000" w:themeColor="text1"/>
                            </w:rPr>
                            <m:t>⋯</m:t>
                          </m:r>
                        </m:e>
                        <m:e>
                          <m:r>
                            <w:rPr>
                              <w:rFonts w:ascii="Cambria Math" w:hAnsi="Cambria Math" w:cs="Arial"/>
                              <w:color w:val="000000" w:themeColor="text1"/>
                            </w:rPr>
                            <m:t>0</m:t>
                          </m:r>
                        </m:e>
                      </m:mr>
                      <m:mr>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mr>
                      <m:mr>
                        <m:e>
                          <m:r>
                            <w:rPr>
                              <w:rFonts w:ascii="Cambria Math" w:hAnsi="Cambria Math" w:cs="Arial"/>
                              <w:color w:val="000000" w:themeColor="text1"/>
                            </w:rPr>
                            <m:t>0</m:t>
                          </m:r>
                        </m:e>
                        <m:e>
                          <m:r>
                            <w:rPr>
                              <w:rFonts w:ascii="Cambria Math" w:hAnsi="Cambria Math" w:cs="Arial"/>
                              <w:color w:val="000000" w:themeColor="text1"/>
                            </w:rPr>
                            <m:t>0</m:t>
                          </m:r>
                        </m:e>
                        <m:e>
                          <m:r>
                            <m:rPr>
                              <m:sty m:val="p"/>
                            </m:rPr>
                            <w:rPr>
                              <w:rFonts w:ascii="Cambria Math" w:hAnsi="Cambria Math" w:cs="Arial"/>
                              <w:color w:val="000000" w:themeColor="text1"/>
                            </w:rPr>
                            <m:t>⋯</m:t>
                          </m:r>
                        </m:e>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nt</m:t>
                                  </m:r>
                                </m:sub>
                              </m:sSub>
                            </m:e>
                          </m:rad>
                        </m:e>
                      </m:mr>
                    </m:m>
                  </m:e>
                </m:d>
              </m:oMath>
            </m:oMathPara>
          </w:p>
        </w:tc>
        <w:tc>
          <w:tcPr>
            <w:tcW w:w="985" w:type="dxa"/>
            <w:vAlign w:val="center"/>
          </w:tcPr>
          <w:p w14:paraId="6845609C" w14:textId="0F9766D6"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12</w:t>
            </w:r>
            <w:r w:rsidR="00FC6236" w:rsidRPr="00B13CBE">
              <w:rPr>
                <w:rFonts w:ascii="Arial" w:hAnsi="Arial" w:cs="Arial"/>
                <w:noProof/>
              </w:rPr>
              <w:fldChar w:fldCharType="end"/>
            </w:r>
            <w:r w:rsidRPr="00B13CBE">
              <w:rPr>
                <w:rFonts w:ascii="Arial" w:hAnsi="Arial" w:cs="Arial"/>
              </w:rPr>
              <w:t>)</w:t>
            </w:r>
          </w:p>
        </w:tc>
      </w:tr>
    </w:tbl>
    <w:p w14:paraId="7570390E" w14:textId="7CD715F5"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where: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7A4DA657" w14:textId="77777777" w:rsidTr="00DA4541">
        <w:tc>
          <w:tcPr>
            <w:tcW w:w="805" w:type="dxa"/>
            <w:vAlign w:val="center"/>
          </w:tcPr>
          <w:p w14:paraId="56196D4F" w14:textId="77777777" w:rsidR="00DA4541" w:rsidRPr="00B13CBE" w:rsidRDefault="00DA4541" w:rsidP="00FC6236">
            <w:pPr>
              <w:pStyle w:val="BodyText"/>
              <w:jc w:val="center"/>
              <w:rPr>
                <w:rFonts w:ascii="Arial" w:hAnsi="Arial" w:cs="Arial"/>
              </w:rPr>
            </w:pPr>
          </w:p>
        </w:tc>
        <w:tc>
          <w:tcPr>
            <w:tcW w:w="6840" w:type="dxa"/>
            <w:vAlign w:val="center"/>
          </w:tcPr>
          <w:p w14:paraId="28835CA6" w14:textId="66423EC2" w:rsidR="00DA4541" w:rsidRPr="00B13CBE" w:rsidRDefault="00FC49CE" w:rsidP="00DA4541">
            <w:pPr>
              <w:pStyle w:val="BodyText"/>
              <w:spacing w:line="360" w:lineRule="auto"/>
              <w:jc w:val="both"/>
              <w:rPr>
                <w:rFonts w:ascii="Arial" w:hAnsi="Arial" w:cs="Arial"/>
                <w:color w:val="000000" w:themeColor="text1"/>
              </w:rPr>
            </w:pPr>
            <m:oMathPara>
              <m:oMath>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it</m:t>
                    </m:r>
                  </m:sub>
                </m:sSub>
                <m:r>
                  <m:rPr>
                    <m:sty m:val="p"/>
                  </m:rP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i0</m:t>
                    </m:r>
                  </m:sub>
                </m:sSub>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w:rPr>
                        <w:rFonts w:ascii="Cambria Math" w:hAnsi="Cambria Math" w:cs="Arial"/>
                        <w:color w:val="000000" w:themeColor="text1"/>
                      </w:rPr>
                      <m:t>q</m:t>
                    </m:r>
                    <m:r>
                      <m:rPr>
                        <m:sty m:val="p"/>
                      </m:rPr>
                      <w:rPr>
                        <w:rFonts w:ascii="Cambria Math" w:hAnsi="Cambria Math" w:cs="Arial"/>
                        <w:color w:val="000000" w:themeColor="text1"/>
                      </w:rPr>
                      <m:t>=</m:t>
                    </m:r>
                    <m:r>
                      <w:rPr>
                        <w:rFonts w:ascii="Cambria Math" w:hAnsi="Cambria Math" w:cs="Arial"/>
                        <w:color w:val="000000" w:themeColor="text1"/>
                      </w:rPr>
                      <m:t>1</m:t>
                    </m:r>
                  </m:sub>
                  <m:sup>
                    <m:sSub>
                      <m:sSubPr>
                        <m:ctrlPr>
                          <w:rPr>
                            <w:rFonts w:ascii="Cambria Math" w:hAnsi="Cambria Math" w:cs="Arial"/>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i</m:t>
                        </m:r>
                      </m:sub>
                    </m:sSub>
                  </m:sup>
                  <m:e>
                    <m:sSub>
                      <m:sSubPr>
                        <m:ctrlPr>
                          <w:rPr>
                            <w:rFonts w:ascii="Cambria Math" w:hAnsi="Cambria Math" w:cs="Arial"/>
                            <w:color w:val="000000" w:themeColor="text1"/>
                          </w:rPr>
                        </m:ctrlPr>
                      </m:sSubPr>
                      <m:e>
                        <m:r>
                          <w:rPr>
                            <w:rFonts w:ascii="Cambria Math" w:hAnsi="Cambria Math" w:cs="Arial"/>
                            <w:color w:val="000000" w:themeColor="text1"/>
                          </w:rPr>
                          <m:t>α</m:t>
                        </m:r>
                      </m:e>
                      <m:sub>
                        <m:r>
                          <w:rPr>
                            <w:rFonts w:ascii="Cambria Math" w:hAnsi="Cambria Math" w:cs="Arial"/>
                            <w:color w:val="000000" w:themeColor="text1"/>
                          </w:rPr>
                          <m:t>i</m:t>
                        </m:r>
                      </m:sub>
                    </m:sSub>
                  </m:e>
                </m:nary>
                <m:sSubSup>
                  <m:sSubSupPr>
                    <m:ctrlPr>
                      <w:rPr>
                        <w:rFonts w:ascii="Cambria Math" w:hAnsi="Cambria Math" w:cs="Arial"/>
                        <w:color w:val="000000" w:themeColor="text1"/>
                      </w:rPr>
                    </m:ctrlPr>
                  </m:sSubSupPr>
                  <m:e>
                    <m:r>
                      <w:rPr>
                        <w:rFonts w:ascii="Cambria Math" w:hAnsi="Cambria Math" w:cs="Arial"/>
                        <w:color w:val="000000" w:themeColor="text1"/>
                      </w:rPr>
                      <m:t>a</m:t>
                    </m:r>
                  </m:e>
                  <m:sub>
                    <m:r>
                      <w:rPr>
                        <w:rFonts w:ascii="Cambria Math" w:hAnsi="Cambria Math" w:cs="Arial"/>
                        <w:color w:val="000000" w:themeColor="text1"/>
                      </w:rPr>
                      <m:t>i</m:t>
                    </m:r>
                    <m:r>
                      <m:rPr>
                        <m:sty m:val="p"/>
                      </m:rPr>
                      <w:rPr>
                        <w:rFonts w:ascii="Cambria Math" w:hAnsi="Cambria Math" w:cs="Arial"/>
                        <w:color w:val="000000" w:themeColor="text1"/>
                      </w:rPr>
                      <m:t>,</m:t>
                    </m:r>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q</m:t>
                    </m:r>
                  </m:sub>
                  <m:sup>
                    <m:r>
                      <w:rPr>
                        <w:rFonts w:ascii="Cambria Math" w:hAnsi="Cambria Math" w:cs="Arial"/>
                        <w:color w:val="000000" w:themeColor="text1"/>
                      </w:rPr>
                      <m:t>2</m:t>
                    </m:r>
                  </m:sup>
                </m:sSubSup>
                <m:r>
                  <m:rPr>
                    <m:sty m:val="p"/>
                  </m:rPr>
                  <w:rPr>
                    <w:rFonts w:ascii="Cambria Math" w:hAnsi="Cambria Math" w:cs="Arial"/>
                    <w:color w:val="000000" w:themeColor="text1"/>
                  </w:rPr>
                  <m:t>+</m:t>
                </m:r>
                <m:nary>
                  <m:naryPr>
                    <m:chr m:val="∑"/>
                    <m:limLoc m:val="undOvr"/>
                    <m:ctrlPr>
                      <w:rPr>
                        <w:rFonts w:ascii="Cambria Math" w:hAnsi="Cambria Math" w:cs="Arial"/>
                        <w:color w:val="000000" w:themeColor="text1"/>
                      </w:rPr>
                    </m:ctrlPr>
                  </m:naryPr>
                  <m:sub>
                    <m:r>
                      <w:rPr>
                        <w:rFonts w:ascii="Cambria Math" w:hAnsi="Cambria Math" w:cs="Arial"/>
                        <w:color w:val="000000" w:themeColor="text1"/>
                      </w:rPr>
                      <m:t>p</m:t>
                    </m:r>
                    <m:r>
                      <m:rPr>
                        <m:sty m:val="p"/>
                      </m:rPr>
                      <w:rPr>
                        <w:rFonts w:ascii="Cambria Math" w:hAnsi="Cambria Math" w:cs="Arial"/>
                        <w:color w:val="000000" w:themeColor="text1"/>
                      </w:rPr>
                      <m:t>=</m:t>
                    </m:r>
                    <m:r>
                      <w:rPr>
                        <w:rFonts w:ascii="Cambria Math" w:hAnsi="Cambria Math" w:cs="Arial"/>
                        <w:color w:val="000000" w:themeColor="text1"/>
                      </w:rPr>
                      <m:t>1</m:t>
                    </m:r>
                  </m:sub>
                  <m:sup>
                    <m:sSub>
                      <m:sSubPr>
                        <m:ctrlPr>
                          <w:rPr>
                            <w:rFonts w:ascii="Cambria Math" w:hAnsi="Cambria Math" w:cs="Arial"/>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i</m:t>
                        </m:r>
                      </m:sub>
                    </m:sSub>
                  </m:sup>
                  <m:e>
                    <m:sSub>
                      <m:sSubPr>
                        <m:ctrlPr>
                          <w:rPr>
                            <w:rFonts w:ascii="Cambria Math" w:hAnsi="Cambria Math" w:cs="Arial"/>
                            <w:color w:val="000000" w:themeColor="text1"/>
                          </w:rPr>
                        </m:ctrlPr>
                      </m:sSubPr>
                      <m:e>
                        <m:r>
                          <w:rPr>
                            <w:rFonts w:ascii="Cambria Math" w:hAnsi="Cambria Math" w:cs="Arial"/>
                            <w:color w:val="000000" w:themeColor="text1"/>
                          </w:rPr>
                          <m:t>β</m:t>
                        </m:r>
                      </m:e>
                      <m:sub>
                        <m:r>
                          <w:rPr>
                            <w:rFonts w:ascii="Cambria Math" w:hAnsi="Cambria Math" w:cs="Arial"/>
                            <w:color w:val="000000" w:themeColor="text1"/>
                          </w:rPr>
                          <m:t>ip</m:t>
                        </m:r>
                      </m:sub>
                    </m:sSub>
                  </m:e>
                </m:nary>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i</m:t>
                    </m:r>
                    <m:r>
                      <m:rPr>
                        <m:sty m:val="p"/>
                      </m:rPr>
                      <w:rPr>
                        <w:rFonts w:ascii="Cambria Math" w:hAnsi="Cambria Math" w:cs="Arial"/>
                        <w:color w:val="000000" w:themeColor="text1"/>
                      </w:rPr>
                      <m:t>,</m:t>
                    </m:r>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p</m:t>
                    </m:r>
                  </m:sub>
                </m:sSub>
              </m:oMath>
            </m:oMathPara>
          </w:p>
        </w:tc>
        <w:tc>
          <w:tcPr>
            <w:tcW w:w="985" w:type="dxa"/>
            <w:vAlign w:val="center"/>
          </w:tcPr>
          <w:p w14:paraId="528603D3" w14:textId="62EE928C"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13</w:t>
            </w:r>
            <w:r w:rsidR="00FC6236" w:rsidRPr="00B13CBE">
              <w:rPr>
                <w:rFonts w:ascii="Arial" w:hAnsi="Arial" w:cs="Arial"/>
                <w:noProof/>
              </w:rPr>
              <w:fldChar w:fldCharType="end"/>
            </w:r>
            <w:r w:rsidRPr="00B13CBE">
              <w:rPr>
                <w:rFonts w:ascii="Arial" w:hAnsi="Arial" w:cs="Arial"/>
              </w:rPr>
              <w:t>)</w:t>
            </w:r>
          </w:p>
        </w:tc>
      </w:tr>
    </w:tbl>
    <w:p w14:paraId="3F6B2D72" w14:textId="77777777" w:rsidR="001F4CEB" w:rsidRPr="00B13CBE" w:rsidRDefault="00C4772C" w:rsidP="00781A3B">
      <w:pPr>
        <w:pStyle w:val="FirstParagraph"/>
        <w:spacing w:line="360" w:lineRule="auto"/>
        <w:jc w:val="both"/>
        <w:rPr>
          <w:rFonts w:ascii="Arial" w:hAnsi="Arial" w:cs="Arial"/>
          <w:color w:val="000000" w:themeColor="text1"/>
        </w:rPr>
      </w:pPr>
      <w:proofErr w:type="spellStart"/>
      <w:r w:rsidRPr="00B13CBE">
        <w:rPr>
          <w:rFonts w:ascii="Arial" w:hAnsi="Arial" w:cs="Arial"/>
          <w:color w:val="000000" w:themeColor="text1"/>
        </w:rPr>
        <w:t>Orskaug</w:t>
      </w:r>
      <w:proofErr w:type="spellEnd"/>
      <w:r w:rsidRPr="00B13CBE">
        <w:rPr>
          <w:rFonts w:ascii="Arial" w:hAnsi="Arial" w:cs="Arial"/>
          <w:color w:val="000000" w:themeColor="text1"/>
        </w:rPr>
        <w:t xml:space="preserve"> (2009) points out that the univariate GARCH models </w:t>
      </w:r>
      <m:oMath>
        <m:sSub>
          <m:sSubPr>
            <m:ctrlPr>
              <w:rPr>
                <w:rFonts w:ascii="Cambria Math" w:hAnsi="Cambria Math" w:cs="Arial"/>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it</m:t>
            </m:r>
          </m:sub>
        </m:sSub>
      </m:oMath>
      <w:r w:rsidRPr="00B13CBE">
        <w:rPr>
          <w:rFonts w:ascii="Arial" w:hAnsi="Arial" w:cs="Arial"/>
          <w:color w:val="000000" w:themeColor="text1"/>
        </w:rPr>
        <w:t xml:space="preserve"> can be of different orders but the </w:t>
      </w:r>
      <w:proofErr w:type="gramStart"/>
      <w:r w:rsidRPr="00B13CBE">
        <w:rPr>
          <w:rFonts w:ascii="Arial" w:hAnsi="Arial" w:cs="Arial"/>
          <w:color w:val="000000" w:themeColor="text1"/>
        </w:rPr>
        <w:t>GARCH(</w:t>
      </w:r>
      <w:proofErr w:type="gramEnd"/>
      <w:r w:rsidRPr="00B13CBE">
        <w:rPr>
          <w:rFonts w:ascii="Arial" w:hAnsi="Arial" w:cs="Arial"/>
          <w:color w:val="000000" w:themeColor="text1"/>
        </w:rPr>
        <w:t xml:space="preserve">1,1) is often adequate. </w:t>
      </w:r>
    </w:p>
    <w:p w14:paraId="0DBB4A81" w14:textId="10401194" w:rsidR="001F4CEB" w:rsidRPr="00B13CBE" w:rsidRDefault="00FC49CE" w:rsidP="00781A3B">
      <w:pPr>
        <w:pStyle w:val="BodyText"/>
        <w:spacing w:line="360" w:lineRule="auto"/>
        <w:jc w:val="both"/>
        <w:rPr>
          <w:rFonts w:ascii="Arial" w:hAnsi="Arial" w:cs="Arial"/>
          <w:color w:val="000000" w:themeColor="text1"/>
        </w:rPr>
      </w:pP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00C32DCA" w:rsidRPr="00B13CBE">
        <w:rPr>
          <w:rFonts w:ascii="Arial" w:hAnsi="Arial" w:cs="Arial"/>
          <w:color w:val="000000" w:themeColor="text1"/>
        </w:rPr>
        <w:t xml:space="preserve"> is the correlation matrix and it is symmetric. It is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47E3D1DA" w14:textId="77777777" w:rsidTr="00DA4541">
        <w:tc>
          <w:tcPr>
            <w:tcW w:w="805" w:type="dxa"/>
            <w:vAlign w:val="center"/>
          </w:tcPr>
          <w:p w14:paraId="6446D812" w14:textId="77777777" w:rsidR="00DA4541" w:rsidRPr="00B13CBE" w:rsidRDefault="00DA4541" w:rsidP="00FC6236">
            <w:pPr>
              <w:pStyle w:val="BodyText"/>
              <w:jc w:val="center"/>
              <w:rPr>
                <w:rFonts w:ascii="Arial" w:hAnsi="Arial" w:cs="Arial"/>
              </w:rPr>
            </w:pPr>
          </w:p>
        </w:tc>
        <w:tc>
          <w:tcPr>
            <w:tcW w:w="6840" w:type="dxa"/>
            <w:vAlign w:val="center"/>
          </w:tcPr>
          <w:p w14:paraId="0CDC0F79" w14:textId="0D91FC26" w:rsidR="00DA4541" w:rsidRPr="00B13CBE" w:rsidRDefault="00FC49CE" w:rsidP="00DA4541">
            <w:pPr>
              <w:pStyle w:val="BodyText"/>
              <w:spacing w:line="360" w:lineRule="auto"/>
              <w:jc w:val="both"/>
              <w:rPr>
                <w:rFonts w:ascii="Arial" w:hAnsi="Arial" w:cs="Arial"/>
                <w:color w:val="000000" w:themeColor="text1"/>
              </w:rPr>
            </w:pPr>
            <m:oMathPara>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r>
                  <m:rPr>
                    <m:sty m:val="p"/>
                  </m:rPr>
                  <w:rPr>
                    <w:rFonts w:ascii="Cambria Math" w:hAnsi="Cambria Math" w:cs="Arial"/>
                    <w:color w:val="000000" w:themeColor="text1"/>
                  </w:rPr>
                  <m:t>=</m:t>
                </m:r>
                <m:d>
                  <m:dPr>
                    <m:begChr m:val="["/>
                    <m:endChr m:val="]"/>
                    <m:ctrlPr>
                      <w:rPr>
                        <w:rFonts w:ascii="Cambria Math" w:hAnsi="Cambria Math" w:cs="Arial"/>
                        <w:color w:val="000000" w:themeColor="text1"/>
                      </w:rPr>
                    </m:ctrlPr>
                  </m:dPr>
                  <m:e>
                    <m:m>
                      <m:mPr>
                        <m:plcHide m:val="1"/>
                        <m:mcs>
                          <m:mc>
                            <m:mcPr>
                              <m:count m:val="4"/>
                              <m:mcJc m:val="center"/>
                            </m:mcPr>
                          </m:mc>
                        </m:mcs>
                        <m:ctrlPr>
                          <w:rPr>
                            <w:rFonts w:ascii="Cambria Math" w:hAnsi="Cambria Math" w:cs="Arial"/>
                            <w:color w:val="000000" w:themeColor="text1"/>
                          </w:rPr>
                        </m:ctrlPr>
                      </m:mPr>
                      <m:mr>
                        <m:e>
                          <m:r>
                            <w:rPr>
                              <w:rFonts w:ascii="Cambria Math" w:hAnsi="Cambria Math" w:cs="Arial"/>
                              <w:color w:val="000000" w:themeColor="text1"/>
                            </w:rPr>
                            <m:t>1</m:t>
                          </m:r>
                        </m:e>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12</m:t>
                              </m:r>
                              <m:r>
                                <m:rPr>
                                  <m:sty m:val="p"/>
                                </m:rPr>
                                <w:rPr>
                                  <w:rFonts w:ascii="Cambria Math" w:hAnsi="Cambria Math" w:cs="Arial"/>
                                  <w:color w:val="000000" w:themeColor="text1"/>
                                </w:rPr>
                                <m:t>,</m:t>
                              </m:r>
                              <m:r>
                                <w:rPr>
                                  <w:rFonts w:ascii="Cambria Math" w:hAnsi="Cambria Math" w:cs="Arial"/>
                                  <w:color w:val="000000" w:themeColor="text1"/>
                                </w:rPr>
                                <m:t>t</m:t>
                              </m:r>
                            </m:sub>
                          </m:sSub>
                        </m:e>
                        <m:e>
                          <m:r>
                            <m:rPr>
                              <m:sty m:val="p"/>
                            </m:rPr>
                            <w:rPr>
                              <w:rFonts w:ascii="Cambria Math" w:hAnsi="Cambria Math" w:cs="Arial"/>
                              <w:color w:val="000000" w:themeColor="text1"/>
                            </w:rPr>
                            <m:t>⋯</m:t>
                          </m:r>
                        </m:e>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1n</m:t>
                              </m:r>
                              <m:r>
                                <m:rPr>
                                  <m:sty m:val="p"/>
                                </m:rPr>
                                <w:rPr>
                                  <w:rFonts w:ascii="Cambria Math" w:hAnsi="Cambria Math" w:cs="Arial"/>
                                  <w:color w:val="000000" w:themeColor="text1"/>
                                </w:rPr>
                                <m:t>,</m:t>
                              </m:r>
                              <m:r>
                                <w:rPr>
                                  <w:rFonts w:ascii="Cambria Math" w:hAnsi="Cambria Math" w:cs="Arial"/>
                                  <w:color w:val="000000" w:themeColor="text1"/>
                                </w:rPr>
                                <m:t>t</m:t>
                              </m:r>
                            </m:sub>
                          </m:sSub>
                        </m:e>
                      </m:mr>
                      <m:mr>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12</m:t>
                              </m:r>
                              <m:r>
                                <m:rPr>
                                  <m:sty m:val="p"/>
                                </m:rPr>
                                <w:rPr>
                                  <w:rFonts w:ascii="Cambria Math" w:hAnsi="Cambria Math" w:cs="Arial"/>
                                  <w:color w:val="000000" w:themeColor="text1"/>
                                </w:rPr>
                                <m:t>,</m:t>
                              </m:r>
                              <m:r>
                                <w:rPr>
                                  <w:rFonts w:ascii="Cambria Math" w:hAnsi="Cambria Math" w:cs="Arial"/>
                                  <w:color w:val="000000" w:themeColor="text1"/>
                                </w:rPr>
                                <m:t>t</m:t>
                              </m:r>
                            </m:sub>
                          </m:sSub>
                        </m:e>
                        <m:e>
                          <m:r>
                            <w:rPr>
                              <w:rFonts w:ascii="Cambria Math" w:hAnsi="Cambria Math" w:cs="Arial"/>
                              <w:color w:val="000000" w:themeColor="text1"/>
                            </w:rPr>
                            <m:t>1</m:t>
                          </m:r>
                        </m:e>
                        <m:e>
                          <m:r>
                            <m:rPr>
                              <m:sty m:val="p"/>
                            </m:rPr>
                            <w:rPr>
                              <w:rFonts w:ascii="Cambria Math" w:hAnsi="Cambria Math" w:cs="Arial"/>
                              <w:color w:val="000000" w:themeColor="text1"/>
                            </w:rPr>
                            <m:t>⋯</m:t>
                          </m:r>
                        </m:e>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2n</m:t>
                              </m:r>
                              <m:r>
                                <m:rPr>
                                  <m:sty m:val="p"/>
                                </m:rPr>
                                <w:rPr>
                                  <w:rFonts w:ascii="Cambria Math" w:hAnsi="Cambria Math" w:cs="Arial"/>
                                  <w:color w:val="000000" w:themeColor="text1"/>
                                </w:rPr>
                                <m:t>,</m:t>
                              </m:r>
                              <m:r>
                                <w:rPr>
                                  <w:rFonts w:ascii="Cambria Math" w:hAnsi="Cambria Math" w:cs="Arial"/>
                                  <w:color w:val="000000" w:themeColor="text1"/>
                                </w:rPr>
                                <m:t>t</m:t>
                              </m:r>
                            </m:sub>
                          </m:sSub>
                        </m:e>
                      </m:mr>
                      <m:mr>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mr>
                      <m:mr>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1n</m:t>
                              </m:r>
                              <m:r>
                                <m:rPr>
                                  <m:sty m:val="p"/>
                                </m:rPr>
                                <w:rPr>
                                  <w:rFonts w:ascii="Cambria Math" w:hAnsi="Cambria Math" w:cs="Arial"/>
                                  <w:color w:val="000000" w:themeColor="text1"/>
                                </w:rPr>
                                <m:t>,</m:t>
                              </m:r>
                              <m:r>
                                <w:rPr>
                                  <w:rFonts w:ascii="Cambria Math" w:hAnsi="Cambria Math" w:cs="Arial"/>
                                  <w:color w:val="000000" w:themeColor="text1"/>
                                </w:rPr>
                                <m:t>t</m:t>
                              </m:r>
                            </m:sub>
                          </m:sSub>
                        </m:e>
                        <m:e>
                          <m:sSub>
                            <m:sSubPr>
                              <m:ctrlPr>
                                <w:rPr>
                                  <w:rFonts w:ascii="Cambria Math" w:hAnsi="Cambria Math" w:cs="Arial"/>
                                  <w:color w:val="000000" w:themeColor="text1"/>
                                </w:rPr>
                              </m:ctrlPr>
                            </m:sSubPr>
                            <m:e>
                              <m:r>
                                <w:rPr>
                                  <w:rFonts w:ascii="Cambria Math" w:hAnsi="Cambria Math" w:cs="Arial"/>
                                  <w:color w:val="000000" w:themeColor="text1"/>
                                </w:rPr>
                                <m:t>ρ</m:t>
                              </m:r>
                            </m:e>
                            <m:sub>
                              <m:r>
                                <w:rPr>
                                  <w:rFonts w:ascii="Cambria Math" w:hAnsi="Cambria Math" w:cs="Arial"/>
                                  <w:color w:val="000000" w:themeColor="text1"/>
                                </w:rPr>
                                <m:t>2n</m:t>
                              </m:r>
                              <m:r>
                                <m:rPr>
                                  <m:sty m:val="p"/>
                                </m:rPr>
                                <w:rPr>
                                  <w:rFonts w:ascii="Cambria Math" w:hAnsi="Cambria Math" w:cs="Arial"/>
                                  <w:color w:val="000000" w:themeColor="text1"/>
                                </w:rPr>
                                <m:t>,</m:t>
                              </m:r>
                              <m:r>
                                <w:rPr>
                                  <w:rFonts w:ascii="Cambria Math" w:hAnsi="Cambria Math" w:cs="Arial"/>
                                  <w:color w:val="000000" w:themeColor="text1"/>
                                </w:rPr>
                                <m:t>t</m:t>
                              </m:r>
                            </m:sub>
                          </m:sSub>
                        </m:e>
                        <m:e>
                          <m:r>
                            <m:rPr>
                              <m:sty m:val="p"/>
                            </m:rPr>
                            <w:rPr>
                              <w:rFonts w:ascii="Cambria Math" w:hAnsi="Cambria Math" w:cs="Arial"/>
                              <w:color w:val="000000" w:themeColor="text1"/>
                            </w:rPr>
                            <m:t>⋯</m:t>
                          </m:r>
                        </m:e>
                        <m:e>
                          <m:r>
                            <w:rPr>
                              <w:rFonts w:ascii="Cambria Math" w:hAnsi="Cambria Math" w:cs="Arial"/>
                              <w:color w:val="000000" w:themeColor="text1"/>
                            </w:rPr>
                            <m:t>1</m:t>
                          </m:r>
                        </m:e>
                      </m:mr>
                    </m:m>
                  </m:e>
                </m:d>
              </m:oMath>
            </m:oMathPara>
          </w:p>
        </w:tc>
        <w:tc>
          <w:tcPr>
            <w:tcW w:w="985" w:type="dxa"/>
            <w:vAlign w:val="center"/>
          </w:tcPr>
          <w:p w14:paraId="714A3BC4" w14:textId="603AE680"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14</w:t>
            </w:r>
            <w:r w:rsidR="00FC6236" w:rsidRPr="00B13CBE">
              <w:rPr>
                <w:rFonts w:ascii="Arial" w:hAnsi="Arial" w:cs="Arial"/>
                <w:noProof/>
              </w:rPr>
              <w:fldChar w:fldCharType="end"/>
            </w:r>
            <w:r w:rsidRPr="00B13CBE">
              <w:rPr>
                <w:rFonts w:ascii="Arial" w:hAnsi="Arial" w:cs="Arial"/>
              </w:rPr>
              <w:t>)</w:t>
            </w:r>
          </w:p>
        </w:tc>
      </w:tr>
    </w:tbl>
    <w:p w14:paraId="7BF7ADA0" w14:textId="77777777"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lastRenderedPageBreak/>
        <w:t xml:space="preserve">According to </w:t>
      </w:r>
      <w:proofErr w:type="spellStart"/>
      <w:r w:rsidRPr="00B13CBE">
        <w:rPr>
          <w:rFonts w:ascii="Arial" w:hAnsi="Arial" w:cs="Arial"/>
          <w:color w:val="000000" w:themeColor="text1"/>
        </w:rPr>
        <w:t>Orskaug</w:t>
      </w:r>
      <w:proofErr w:type="spellEnd"/>
      <w:r w:rsidRPr="00B13CBE">
        <w:rPr>
          <w:rFonts w:ascii="Arial" w:hAnsi="Arial" w:cs="Arial"/>
          <w:color w:val="000000" w:themeColor="text1"/>
        </w:rPr>
        <w:t xml:space="preserve"> (2009), there are two important conditions that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must satisfy.</w:t>
      </w:r>
    </w:p>
    <w:p w14:paraId="67CCD2F3" w14:textId="77777777"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i. </w:t>
      </w:r>
      <m:oMath>
        <m:sSub>
          <m:sSubPr>
            <m:ctrlPr>
              <w:rPr>
                <w:rFonts w:ascii="Cambria Math" w:hAnsi="Cambria Math" w:cs="Arial"/>
                <w:color w:val="000000" w:themeColor="text1"/>
              </w:rPr>
            </m:ctrlPr>
          </m:sSubPr>
          <m:e>
            <m:r>
              <m:rPr>
                <m:nor/>
              </m:rPr>
              <w:rPr>
                <w:rFonts w:ascii="Arial" w:hAnsi="Arial" w:cs="Arial"/>
                <w:color w:val="000000" w:themeColor="text1"/>
              </w:rPr>
              <m:t>H</m:t>
            </m:r>
          </m:e>
          <m:sub>
            <m:r>
              <w:rPr>
                <w:rFonts w:ascii="Cambria Math" w:hAnsi="Cambria Math" w:cs="Arial"/>
                <w:color w:val="000000" w:themeColor="text1"/>
              </w:rPr>
              <m:t>t</m:t>
            </m:r>
          </m:sub>
        </m:sSub>
      </m:oMath>
      <w:r w:rsidRPr="00B13CBE">
        <w:rPr>
          <w:rFonts w:ascii="Arial" w:hAnsi="Arial" w:cs="Arial"/>
          <w:color w:val="000000" w:themeColor="text1"/>
        </w:rPr>
        <w:t xml:space="preserve"> must be positive definite since it is a covariance matrix which means it's eigenvalues must be positive and it ensures that multiplying a matrix by a vector doesn't change the sign. This requirement means that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must also be positive definite. </w:t>
      </w:r>
    </w:p>
    <w:p w14:paraId="37C5AFFC" w14:textId="77777777"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ii. By definition, all the elements of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must be equal or less than 1. </w:t>
      </w:r>
    </w:p>
    <w:p w14:paraId="35FD2C1E" w14:textId="01EC82E8" w:rsidR="001F4CE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t xml:space="preserve">The DCC-GARCH meets these requirements by defining </w:t>
      </w:r>
      <m:oMath>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oMath>
      <w:r w:rsidRPr="00B13CBE">
        <w:rPr>
          <w:rFonts w:ascii="Arial" w:hAnsi="Arial" w:cs="Arial"/>
          <w:color w:val="000000" w:themeColor="text1"/>
        </w:rPr>
        <w:t xml:space="preserve"> to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32936317" w14:textId="77777777" w:rsidTr="00DA4541">
        <w:tc>
          <w:tcPr>
            <w:tcW w:w="805" w:type="dxa"/>
            <w:vAlign w:val="center"/>
          </w:tcPr>
          <w:p w14:paraId="2090B5C1" w14:textId="77777777" w:rsidR="00DA4541" w:rsidRPr="00B13CBE" w:rsidRDefault="00DA4541" w:rsidP="00FC6236">
            <w:pPr>
              <w:pStyle w:val="BodyText"/>
              <w:jc w:val="center"/>
              <w:rPr>
                <w:rFonts w:ascii="Arial" w:hAnsi="Arial" w:cs="Arial"/>
              </w:rPr>
            </w:pPr>
          </w:p>
        </w:tc>
        <w:tc>
          <w:tcPr>
            <w:tcW w:w="6840" w:type="dxa"/>
            <w:vAlign w:val="center"/>
          </w:tcPr>
          <w:p w14:paraId="6A996023" w14:textId="75B8B41B" w:rsidR="00DA4541" w:rsidRPr="00B13CBE" w:rsidRDefault="00FC49CE" w:rsidP="00DA4541">
            <w:pPr>
              <w:pStyle w:val="BodyText"/>
              <w:spacing w:line="360" w:lineRule="auto"/>
              <w:jc w:val="both"/>
              <w:rPr>
                <w:rFonts w:ascii="Arial" w:hAnsi="Arial" w:cs="Arial"/>
                <w:color w:val="000000" w:themeColor="text1"/>
              </w:rPr>
            </w:pPr>
            <m:oMathPara>
              <m:oMath>
                <m:m>
                  <m:mPr>
                    <m:plcHide m:val="1"/>
                    <m:mcs>
                      <m:mc>
                        <m:mcPr>
                          <m:count m:val="1"/>
                          <m:mcJc m:val="right"/>
                        </m:mcPr>
                      </m:mc>
                      <m:mc>
                        <m:mcPr>
                          <m:count m:val="1"/>
                          <m:mcJc m:val="left"/>
                        </m:mcPr>
                      </m:mc>
                    </m:mcs>
                    <m:ctrlPr>
                      <w:rPr>
                        <w:rFonts w:ascii="Cambria Math" w:hAnsi="Cambria Math" w:cs="Arial"/>
                        <w:color w:val="000000" w:themeColor="text1"/>
                      </w:rPr>
                    </m:ctrlPr>
                  </m:mPr>
                  <m:mr>
                    <m:e>
                      <m:sSub>
                        <m:sSubPr>
                          <m:ctrlPr>
                            <w:rPr>
                              <w:rFonts w:ascii="Cambria Math" w:hAnsi="Cambria Math" w:cs="Arial"/>
                              <w:color w:val="000000" w:themeColor="text1"/>
                            </w:rPr>
                          </m:ctrlPr>
                        </m:sSubPr>
                        <m:e>
                          <m:r>
                            <m:rPr>
                              <m:nor/>
                            </m:rPr>
                            <w:rPr>
                              <w:rFonts w:ascii="Arial" w:hAnsi="Arial" w:cs="Arial"/>
                              <w:color w:val="000000" w:themeColor="text1"/>
                            </w:rPr>
                            <m:t>R</m:t>
                          </m:r>
                        </m:e>
                        <m:sub>
                          <m:r>
                            <w:rPr>
                              <w:rFonts w:ascii="Cambria Math" w:hAnsi="Cambria Math" w:cs="Arial"/>
                              <w:color w:val="000000" w:themeColor="text1"/>
                            </w:rPr>
                            <m:t>t</m:t>
                          </m:r>
                        </m:sub>
                      </m:sSub>
                    </m:e>
                    <m:e>
                      <m:r>
                        <m:rPr>
                          <m:sty m:val="p"/>
                        </m:rPr>
                        <w:rPr>
                          <w:rFonts w:ascii="Cambria Math" w:hAnsi="Cambria Math" w:cs="Arial"/>
                          <w:color w:val="000000" w:themeColor="text1"/>
                        </w:rPr>
                        <m:t>=</m:t>
                      </m:r>
                      <m:sSubSup>
                        <m:sSubSupPr>
                          <m:ctrlPr>
                            <w:rPr>
                              <w:rFonts w:ascii="Cambria Math" w:hAnsi="Cambria Math" w:cs="Arial"/>
                              <w:color w:val="000000" w:themeColor="text1"/>
                            </w:rPr>
                          </m:ctrlPr>
                        </m:sSubSupPr>
                        <m:e>
                          <m:r>
                            <m:rPr>
                              <m:nor/>
                            </m:rPr>
                            <w:rPr>
                              <w:rFonts w:ascii="Arial" w:hAnsi="Arial" w:cs="Arial"/>
                              <w:color w:val="000000" w:themeColor="text1"/>
                            </w:rPr>
                            <m:t>Q</m:t>
                          </m:r>
                        </m:e>
                        <m:sub>
                          <m:r>
                            <w:rPr>
                              <w:rFonts w:ascii="Cambria Math" w:hAnsi="Cambria Math" w:cs="Arial"/>
                              <w:color w:val="000000" w:themeColor="text1"/>
                            </w:rPr>
                            <m:t>t</m:t>
                          </m:r>
                        </m:sub>
                        <m:sup>
                          <m:r>
                            <m:rPr>
                              <m:sty m:val="p"/>
                            </m:rPr>
                            <w:rPr>
                              <w:rFonts w:ascii="Cambria Math" w:hAnsi="Cambria Math" w:cs="Arial"/>
                              <w:color w:val="000000" w:themeColor="text1"/>
                            </w:rPr>
                            <m:t>⋆</m:t>
                          </m:r>
                        </m:sup>
                      </m:sSubSup>
                      <m:sSub>
                        <m:sSubPr>
                          <m:ctrlPr>
                            <w:rPr>
                              <w:rFonts w:ascii="Cambria Math" w:hAnsi="Cambria Math" w:cs="Arial"/>
                              <w:color w:val="000000" w:themeColor="text1"/>
                            </w:rPr>
                          </m:ctrlPr>
                        </m:sSubPr>
                        <m:e>
                          <m:r>
                            <m:rPr>
                              <m:nor/>
                            </m:rPr>
                            <w:rPr>
                              <w:rFonts w:ascii="Arial" w:hAnsi="Arial" w:cs="Arial"/>
                              <w:color w:val="000000" w:themeColor="text1"/>
                            </w:rPr>
                            <m:t>Q</m:t>
                          </m:r>
                        </m:e>
                        <m:sub>
                          <m:r>
                            <w:rPr>
                              <w:rFonts w:ascii="Cambria Math" w:hAnsi="Cambria Math" w:cs="Arial"/>
                              <w:color w:val="000000" w:themeColor="text1"/>
                            </w:rPr>
                            <m:t>t</m:t>
                          </m:r>
                        </m:sub>
                      </m:sSub>
                      <m:sSubSup>
                        <m:sSubSupPr>
                          <m:ctrlPr>
                            <w:rPr>
                              <w:rFonts w:ascii="Cambria Math" w:hAnsi="Cambria Math" w:cs="Arial"/>
                              <w:color w:val="000000" w:themeColor="text1"/>
                            </w:rPr>
                          </m:ctrlPr>
                        </m:sSubSupPr>
                        <m:e>
                          <m:r>
                            <m:rPr>
                              <m:nor/>
                            </m:rPr>
                            <w:rPr>
                              <w:rFonts w:ascii="Arial" w:hAnsi="Arial" w:cs="Arial"/>
                              <w:color w:val="000000" w:themeColor="text1"/>
                            </w:rPr>
                            <m:t>Q</m:t>
                          </m:r>
                        </m:e>
                        <m:sub>
                          <m:r>
                            <w:rPr>
                              <w:rFonts w:ascii="Cambria Math" w:hAnsi="Cambria Math" w:cs="Arial"/>
                              <w:color w:val="000000" w:themeColor="text1"/>
                            </w:rPr>
                            <m:t>t</m:t>
                          </m:r>
                        </m:sub>
                        <m:sup>
                          <m:r>
                            <m:rPr>
                              <m:sty m:val="p"/>
                            </m:rPr>
                            <w:rPr>
                              <w:rFonts w:ascii="Cambria Math" w:hAnsi="Cambria Math" w:cs="Arial"/>
                              <w:color w:val="000000" w:themeColor="text1"/>
                            </w:rPr>
                            <m:t>⋆-</m:t>
                          </m:r>
                          <m:r>
                            <w:rPr>
                              <w:rFonts w:ascii="Cambria Math" w:hAnsi="Cambria Math" w:cs="Arial"/>
                              <w:color w:val="000000" w:themeColor="text1"/>
                            </w:rPr>
                            <m:t>1</m:t>
                          </m:r>
                        </m:sup>
                      </m:sSubSup>
                    </m:e>
                  </m:mr>
                  <m:mr>
                    <m:e>
                      <m:sSub>
                        <m:sSubPr>
                          <m:ctrlPr>
                            <w:rPr>
                              <w:rFonts w:ascii="Cambria Math" w:hAnsi="Cambria Math" w:cs="Arial"/>
                              <w:color w:val="000000" w:themeColor="text1"/>
                            </w:rPr>
                          </m:ctrlPr>
                        </m:sSubPr>
                        <m:e>
                          <m:r>
                            <m:rPr>
                              <m:nor/>
                            </m:rPr>
                            <w:rPr>
                              <w:rFonts w:ascii="Arial" w:hAnsi="Arial" w:cs="Arial"/>
                              <w:color w:val="000000" w:themeColor="text1"/>
                            </w:rPr>
                            <m:t>Q</m:t>
                          </m:r>
                        </m:e>
                        <m:sub>
                          <m:r>
                            <w:rPr>
                              <w:rFonts w:ascii="Cambria Math" w:hAnsi="Cambria Math" w:cs="Arial"/>
                              <w:color w:val="000000" w:themeColor="text1"/>
                            </w:rPr>
                            <m:t>t</m:t>
                          </m:r>
                        </m:sub>
                      </m:sSub>
                    </m:e>
                    <m:e>
                      <m:r>
                        <m:rPr>
                          <m:sty m:val="p"/>
                        </m:rPr>
                        <w:rPr>
                          <w:rFonts w:ascii="Cambria Math" w:hAnsi="Cambria Math" w:cs="Arial"/>
                          <w:color w:val="000000" w:themeColor="text1"/>
                        </w:rPr>
                        <m:t>=</m:t>
                      </m:r>
                      <m:d>
                        <m:dPr>
                          <m:ctrlPr>
                            <w:rPr>
                              <w:rFonts w:ascii="Cambria Math" w:hAnsi="Cambria Math" w:cs="Arial"/>
                              <w:color w:val="000000" w:themeColor="text1"/>
                            </w:rPr>
                          </m:ctrlPr>
                        </m:dPr>
                        <m:e>
                          <m:r>
                            <w:rPr>
                              <w:rFonts w:ascii="Cambria Math" w:hAnsi="Cambria Math" w:cs="Arial"/>
                              <w:color w:val="000000" w:themeColor="text1"/>
                            </w:rPr>
                            <m:t>1</m:t>
                          </m:r>
                          <m:r>
                            <m:rPr>
                              <m:sty m:val="p"/>
                            </m:rPr>
                            <w:rPr>
                              <w:rFonts w:ascii="Cambria Math" w:hAnsi="Cambria Math" w:cs="Arial"/>
                              <w:color w:val="000000" w:themeColor="text1"/>
                            </w:rPr>
                            <m:t>-</m:t>
                          </m:r>
                          <m:r>
                            <w:rPr>
                              <w:rFonts w:ascii="Cambria Math" w:hAnsi="Cambria Math" w:cs="Arial"/>
                              <w:color w:val="000000" w:themeColor="text1"/>
                            </w:rPr>
                            <m:t>a</m:t>
                          </m:r>
                          <m:r>
                            <m:rPr>
                              <m:sty m:val="p"/>
                            </m:rPr>
                            <w:rPr>
                              <w:rFonts w:ascii="Cambria Math" w:hAnsi="Cambria Math" w:cs="Arial"/>
                              <w:color w:val="000000" w:themeColor="text1"/>
                            </w:rPr>
                            <m:t>-</m:t>
                          </m:r>
                          <m:r>
                            <w:rPr>
                              <w:rFonts w:ascii="Cambria Math" w:hAnsi="Cambria Math" w:cs="Arial"/>
                              <w:color w:val="000000" w:themeColor="text1"/>
                            </w:rPr>
                            <m:t>b</m:t>
                          </m:r>
                        </m:e>
                      </m:d>
                      <m:acc>
                        <m:accPr>
                          <m:chr m:val="⃐"/>
                          <m:ctrlPr>
                            <w:rPr>
                              <w:rFonts w:ascii="Cambria Math" w:hAnsi="Cambria Math" w:cs="Arial"/>
                              <w:color w:val="000000" w:themeColor="text1"/>
                            </w:rPr>
                          </m:ctrlPr>
                        </m:accPr>
                        <m:e>
                          <m:r>
                            <m:rPr>
                              <m:nor/>
                            </m:rPr>
                            <w:rPr>
                              <w:rFonts w:ascii="Arial" w:hAnsi="Arial" w:cs="Arial"/>
                              <w:color w:val="000000" w:themeColor="text1"/>
                            </w:rPr>
                            <m:t>Q</m:t>
                          </m:r>
                        </m:e>
                      </m:acc>
                      <m:r>
                        <m:rPr>
                          <m:sty m:val="p"/>
                        </m:rPr>
                        <w:rPr>
                          <w:rFonts w:ascii="Cambria Math" w:hAnsi="Cambria Math" w:cs="Arial"/>
                          <w:color w:val="000000" w:themeColor="text1"/>
                        </w:rPr>
                        <m:t>+</m:t>
                      </m:r>
                      <m:r>
                        <w:rPr>
                          <w:rFonts w:ascii="Cambria Math" w:hAnsi="Cambria Math" w:cs="Arial"/>
                          <w:color w:val="000000" w:themeColor="text1"/>
                        </w:rPr>
                        <m:t>a</m:t>
                      </m:r>
                      <m:sSubSup>
                        <m:sSubSupPr>
                          <m:ctrlPr>
                            <w:rPr>
                              <w:rFonts w:ascii="Cambria Math" w:hAnsi="Cambria Math" w:cs="Arial"/>
                              <w:color w:val="000000" w:themeColor="text1"/>
                            </w:rPr>
                          </m:ctrlPr>
                        </m:sSubSupPr>
                        <m:e>
                          <m:r>
                            <w:rPr>
                              <w:rFonts w:ascii="Cambria Math" w:hAnsi="Cambria Math" w:cs="Arial"/>
                              <w:color w:val="000000" w:themeColor="text1"/>
                            </w:rPr>
                            <m:t>ϵ</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T</m:t>
                          </m:r>
                        </m:sup>
                      </m:sSubSup>
                      <m:r>
                        <m:rPr>
                          <m:sty m:val="p"/>
                        </m:rPr>
                        <w:rPr>
                          <w:rFonts w:ascii="Cambria Math" w:hAnsi="Cambria Math" w:cs="Arial"/>
                          <w:color w:val="000000" w:themeColor="text1"/>
                        </w:rPr>
                        <m:t>+</m:t>
                      </m:r>
                      <m:r>
                        <w:rPr>
                          <w:rFonts w:ascii="Cambria Math" w:hAnsi="Cambria Math" w:cs="Arial"/>
                          <w:color w:val="000000" w:themeColor="text1"/>
                        </w:rPr>
                        <m:t>b</m:t>
                      </m:r>
                      <m:sSub>
                        <m:sSubPr>
                          <m:ctrlPr>
                            <w:rPr>
                              <w:rFonts w:ascii="Cambria Math" w:hAnsi="Cambria Math" w:cs="Arial"/>
                              <w:color w:val="000000" w:themeColor="text1"/>
                            </w:rPr>
                          </m:ctrlPr>
                        </m:sSubPr>
                        <m:e>
                          <m:r>
                            <m:rPr>
                              <m:nor/>
                            </m:rPr>
                            <w:rPr>
                              <w:rFonts w:ascii="Arial" w:hAnsi="Arial" w:cs="Arial"/>
                              <w:color w:val="000000" w:themeColor="text1"/>
                            </w:rPr>
                            <m:t>Q</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Sub>
                    </m:e>
                  </m:mr>
                </m:m>
              </m:oMath>
            </m:oMathPara>
          </w:p>
        </w:tc>
        <w:tc>
          <w:tcPr>
            <w:tcW w:w="985" w:type="dxa"/>
            <w:vAlign w:val="center"/>
          </w:tcPr>
          <w:p w14:paraId="190A134E" w14:textId="1A38C572"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15</w:t>
            </w:r>
            <w:r w:rsidR="00FC6236" w:rsidRPr="00B13CBE">
              <w:rPr>
                <w:rFonts w:ascii="Arial" w:hAnsi="Arial" w:cs="Arial"/>
                <w:noProof/>
              </w:rPr>
              <w:fldChar w:fldCharType="end"/>
            </w:r>
            <w:r w:rsidRPr="00B13CBE">
              <w:rPr>
                <w:rFonts w:ascii="Arial" w:hAnsi="Arial" w:cs="Arial"/>
              </w:rPr>
              <w:t>)</w:t>
            </w:r>
          </w:p>
        </w:tc>
      </w:tr>
    </w:tbl>
    <w:p w14:paraId="21880DD7" w14:textId="6F58C1A4"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where </w:t>
      </w:r>
      <m:oMath>
        <m:acc>
          <m:accPr>
            <m:chr m:val="⃐"/>
            <m:ctrlPr>
              <w:rPr>
                <w:rFonts w:ascii="Cambria Math" w:hAnsi="Cambria Math" w:cs="Arial"/>
                <w:color w:val="000000" w:themeColor="text1"/>
              </w:rPr>
            </m:ctrlPr>
          </m:accPr>
          <m:e>
            <m:r>
              <m:rPr>
                <m:nor/>
              </m:rPr>
              <w:rPr>
                <w:rFonts w:ascii="Arial" w:hAnsi="Arial" w:cs="Arial"/>
                <w:color w:val="000000" w:themeColor="text1"/>
              </w:rPr>
              <m:t>Q</m:t>
            </m:r>
          </m:e>
        </m:acc>
        <m:r>
          <m:rPr>
            <m:sty m:val="p"/>
          </m:rPr>
          <w:rPr>
            <w:rFonts w:ascii="Cambria Math" w:hAnsi="Cambria Math" w:cs="Arial"/>
            <w:color w:val="000000" w:themeColor="text1"/>
          </w:rPr>
          <m:t>=</m:t>
        </m:r>
        <m:r>
          <w:rPr>
            <w:rFonts w:ascii="Cambria Math" w:hAnsi="Cambria Math" w:cs="Arial"/>
            <w:color w:val="000000" w:themeColor="text1"/>
          </w:rPr>
          <m:t>Cov</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ϵ</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Sub>
            <m:r>
              <w:rPr>
                <w:rFonts w:ascii="Cambria Math" w:hAnsi="Cambria Math" w:cs="Arial"/>
                <w:color w:val="000000" w:themeColor="text1"/>
              </w:rPr>
              <m:t>epsilo</m:t>
            </m:r>
            <m:sSubSup>
              <m:sSubSupPr>
                <m:ctrlPr>
                  <w:rPr>
                    <w:rFonts w:ascii="Cambria Math" w:hAnsi="Cambria Math" w:cs="Arial"/>
                    <w:color w:val="000000" w:themeColor="text1"/>
                  </w:rPr>
                </m:ctrlPr>
              </m:sSubSupPr>
              <m:e>
                <m:r>
                  <w:rPr>
                    <w:rFonts w:ascii="Cambria Math" w:hAnsi="Cambria Math" w:cs="Arial"/>
                    <w:color w:val="000000" w:themeColor="text1"/>
                  </w:rPr>
                  <m:t>n</m:t>
                </m:r>
              </m:e>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T</m:t>
                </m:r>
              </m:sup>
            </m:sSubSup>
          </m:e>
        </m:d>
        <m:r>
          <m:rPr>
            <m:sty m:val="p"/>
          </m:rPr>
          <w:rPr>
            <w:rFonts w:ascii="Cambria Math" w:hAnsi="Cambria Math" w:cs="Arial"/>
            <w:color w:val="000000" w:themeColor="text1"/>
          </w:rPr>
          <m:t>=</m:t>
        </m:r>
        <m:r>
          <w:rPr>
            <w:rFonts w:ascii="Cambria Math" w:hAnsi="Cambria Math" w:cs="Arial"/>
            <w:color w:val="000000" w:themeColor="text1"/>
          </w:rPr>
          <m:t>E</m:t>
        </m:r>
        <m:d>
          <m:dPr>
            <m:begChr m:val="["/>
            <m:endChr m:val="]"/>
            <m:ctrlPr>
              <w:rPr>
                <w:rFonts w:ascii="Cambria Math" w:hAnsi="Cambria Math" w:cs="Arial"/>
                <w:color w:val="000000" w:themeColor="text1"/>
              </w:rPr>
            </m:ctrlPr>
          </m:dPr>
          <m:e>
            <m:sSub>
              <m:sSubPr>
                <m:ctrlPr>
                  <w:rPr>
                    <w:rFonts w:ascii="Cambria Math" w:hAnsi="Cambria Math" w:cs="Arial"/>
                    <w:color w:val="000000" w:themeColor="text1"/>
                  </w:rPr>
                </m:ctrlPr>
              </m:sSubPr>
              <m:e>
                <m:r>
                  <w:rPr>
                    <w:rFonts w:ascii="Cambria Math" w:hAnsi="Cambria Math" w:cs="Arial"/>
                    <w:color w:val="000000" w:themeColor="text1"/>
                  </w:rPr>
                  <m:t>ϵ</m:t>
                </m:r>
              </m:e>
              <m:sub>
                <m:r>
                  <w:rPr>
                    <w:rFonts w:ascii="Cambria Math" w:hAnsi="Cambria Math" w:cs="Arial"/>
                    <w:color w:val="000000" w:themeColor="text1"/>
                  </w:rPr>
                  <m:t>t</m:t>
                </m:r>
              </m:sub>
            </m:sSub>
            <m:sSubSup>
              <m:sSubSupPr>
                <m:ctrlPr>
                  <w:rPr>
                    <w:rFonts w:ascii="Cambria Math" w:hAnsi="Cambria Math" w:cs="Arial"/>
                    <w:color w:val="000000" w:themeColor="text1"/>
                  </w:rPr>
                </m:ctrlPr>
              </m:sSubSupPr>
              <m:e>
                <m:r>
                  <w:rPr>
                    <w:rFonts w:ascii="Cambria Math" w:hAnsi="Cambria Math" w:cs="Arial"/>
                    <w:color w:val="000000" w:themeColor="text1"/>
                  </w:rPr>
                  <m:t>ϵ</m:t>
                </m:r>
              </m:e>
              <m:sub>
                <m:r>
                  <w:rPr>
                    <w:rFonts w:ascii="Cambria Math" w:hAnsi="Cambria Math" w:cs="Arial"/>
                    <w:color w:val="000000" w:themeColor="text1"/>
                  </w:rPr>
                  <m:t>t</m:t>
                </m:r>
              </m:sub>
              <m:sup>
                <m:r>
                  <w:rPr>
                    <w:rFonts w:ascii="Cambria Math" w:hAnsi="Cambria Math" w:cs="Arial"/>
                    <w:color w:val="000000" w:themeColor="text1"/>
                  </w:rPr>
                  <m:t>T</m:t>
                </m:r>
              </m:sup>
            </m:sSubSup>
          </m:e>
        </m:d>
      </m:oMath>
      <w:r w:rsidRPr="00B13CBE">
        <w:rPr>
          <w:rFonts w:ascii="Arial" w:hAnsi="Arial" w:cs="Arial"/>
          <w:color w:val="000000" w:themeColor="text1"/>
        </w:rPr>
        <w:t xml:space="preserve"> is the unconditional covariance matrix of the standardized errors </w:t>
      </w:r>
      <m:oMath>
        <m:sSub>
          <m:sSubPr>
            <m:ctrlPr>
              <w:rPr>
                <w:rFonts w:ascii="Cambria Math" w:hAnsi="Cambria Math" w:cs="Arial"/>
                <w:color w:val="000000" w:themeColor="text1"/>
              </w:rPr>
            </m:ctrlPr>
          </m:sSubPr>
          <m:e>
            <m:r>
              <w:rPr>
                <w:rFonts w:ascii="Cambria Math" w:hAnsi="Cambria Math" w:cs="Arial"/>
                <w:color w:val="000000" w:themeColor="text1"/>
              </w:rPr>
              <m:t>ϵ</m:t>
            </m:r>
          </m:e>
          <m:sub>
            <m:r>
              <w:rPr>
                <w:rFonts w:ascii="Cambria Math" w:hAnsi="Cambria Math" w:cs="Arial"/>
                <w:color w:val="000000" w:themeColor="text1"/>
              </w:rPr>
              <m:t>t</m:t>
            </m:r>
          </m:sub>
        </m:sSub>
      </m:oMath>
      <w:r w:rsidRPr="00B13CBE">
        <w:rPr>
          <w:rFonts w:ascii="Arial" w:hAnsi="Arial" w:cs="Arial"/>
          <w:color w:val="000000" w:themeColor="text1"/>
        </w:rPr>
        <w:t>. According to Orskaug</w:t>
      </w:r>
      <w:r w:rsidR="0078397F" w:rsidRPr="00B13CBE">
        <w:rPr>
          <w:rFonts w:ascii="Arial" w:hAnsi="Arial" w:cs="Arial"/>
          <w:color w:val="000000" w:themeColor="text1"/>
        </w:rPr>
        <w:t xml:space="preserve"> </w:t>
      </w:r>
      <w:r w:rsidRPr="00B13CBE">
        <w:rPr>
          <w:rFonts w:ascii="Arial" w:hAnsi="Arial" w:cs="Arial"/>
          <w:color w:val="000000" w:themeColor="text1"/>
        </w:rPr>
        <w:t xml:space="preserve">(2009), </w:t>
      </w:r>
      <m:oMath>
        <m:acc>
          <m:accPr>
            <m:chr m:val="⃐"/>
            <m:ctrlPr>
              <w:rPr>
                <w:rFonts w:ascii="Cambria Math" w:hAnsi="Cambria Math" w:cs="Arial"/>
                <w:color w:val="000000" w:themeColor="text1"/>
              </w:rPr>
            </m:ctrlPr>
          </m:accPr>
          <m:e>
            <m:r>
              <m:rPr>
                <m:nor/>
              </m:rPr>
              <w:rPr>
                <w:rFonts w:ascii="Arial" w:hAnsi="Arial" w:cs="Arial"/>
                <w:color w:val="000000" w:themeColor="text1"/>
              </w:rPr>
              <m:t>Q</m:t>
            </m:r>
          </m:e>
        </m:acc>
      </m:oMath>
      <w:r w:rsidRPr="00B13CBE">
        <w:rPr>
          <w:rFonts w:ascii="Arial" w:hAnsi="Arial" w:cs="Arial"/>
          <w:color w:val="000000" w:themeColor="text1"/>
        </w:rPr>
        <w:t xml:space="preserve"> can be estimated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25953E1E" w14:textId="77777777" w:rsidTr="00DA4541">
        <w:tc>
          <w:tcPr>
            <w:tcW w:w="805" w:type="dxa"/>
            <w:vAlign w:val="center"/>
          </w:tcPr>
          <w:p w14:paraId="7D73BE8A" w14:textId="77777777" w:rsidR="00DA4541" w:rsidRPr="00B13CBE" w:rsidRDefault="00DA4541" w:rsidP="00FC6236">
            <w:pPr>
              <w:pStyle w:val="BodyText"/>
              <w:jc w:val="center"/>
              <w:rPr>
                <w:rFonts w:ascii="Arial" w:hAnsi="Arial" w:cs="Arial"/>
              </w:rPr>
            </w:pPr>
          </w:p>
        </w:tc>
        <w:tc>
          <w:tcPr>
            <w:tcW w:w="6840" w:type="dxa"/>
            <w:vAlign w:val="center"/>
          </w:tcPr>
          <w:p w14:paraId="5C61A546" w14:textId="0FB2F0D9" w:rsidR="00DA4541" w:rsidRPr="00B13CBE" w:rsidRDefault="00FC49CE" w:rsidP="00DA4541">
            <w:pPr>
              <w:pStyle w:val="BodyText"/>
              <w:spacing w:line="360" w:lineRule="auto"/>
              <w:jc w:val="both"/>
              <w:rPr>
                <w:rFonts w:ascii="Arial" w:hAnsi="Arial" w:cs="Arial"/>
                <w:color w:val="000000" w:themeColor="text1"/>
              </w:rPr>
            </w:pPr>
            <m:oMathPara>
              <m:oMath>
                <m:acc>
                  <m:accPr>
                    <m:chr m:val="⃐"/>
                    <m:ctrlPr>
                      <w:rPr>
                        <w:rFonts w:ascii="Cambria Math" w:hAnsi="Cambria Math" w:cs="Arial"/>
                        <w:color w:val="000000" w:themeColor="text1"/>
                      </w:rPr>
                    </m:ctrlPr>
                  </m:accPr>
                  <m:e>
                    <m:r>
                      <m:rPr>
                        <m:nor/>
                      </m:rPr>
                      <w:rPr>
                        <w:rFonts w:ascii="Arial" w:hAnsi="Arial" w:cs="Arial"/>
                        <w:color w:val="000000" w:themeColor="text1"/>
                      </w:rPr>
                      <m:t>Q</m:t>
                    </m:r>
                  </m:e>
                </m:acc>
                <m:r>
                  <m:rPr>
                    <m:sty m:val="p"/>
                  </m:rPr>
                  <w:rPr>
                    <w:rFonts w:ascii="Cambria Math" w:hAnsi="Cambria Math" w:cs="Arial"/>
                    <w:color w:val="000000" w:themeColor="text1"/>
                  </w:rPr>
                  <m:t>=</m:t>
                </m:r>
                <m:f>
                  <m:fPr>
                    <m:ctrlPr>
                      <w:rPr>
                        <w:rFonts w:ascii="Cambria Math" w:hAnsi="Cambria Math" w:cs="Arial"/>
                        <w:color w:val="000000" w:themeColor="text1"/>
                      </w:rPr>
                    </m:ctrlPr>
                  </m:fPr>
                  <m:num>
                    <m:r>
                      <w:rPr>
                        <w:rFonts w:ascii="Cambria Math" w:hAnsi="Cambria Math" w:cs="Arial"/>
                        <w:color w:val="000000" w:themeColor="text1"/>
                      </w:rPr>
                      <m:t>1</m:t>
                    </m:r>
                  </m:num>
                  <m:den>
                    <m:r>
                      <w:rPr>
                        <w:rFonts w:ascii="Cambria Math" w:hAnsi="Cambria Math" w:cs="Arial"/>
                        <w:color w:val="000000" w:themeColor="text1"/>
                      </w:rPr>
                      <m:t>T</m:t>
                    </m:r>
                  </m:den>
                </m:f>
                <m:nary>
                  <m:naryPr>
                    <m:chr m:val="∑"/>
                    <m:limLoc m:val="undOvr"/>
                    <m:ctrlPr>
                      <w:rPr>
                        <w:rFonts w:ascii="Cambria Math" w:hAnsi="Cambria Math" w:cs="Arial"/>
                        <w:color w:val="000000" w:themeColor="text1"/>
                      </w:rPr>
                    </m:ctrlPr>
                  </m:naryPr>
                  <m:sub>
                    <m:r>
                      <w:rPr>
                        <w:rFonts w:ascii="Cambria Math" w:hAnsi="Cambria Math" w:cs="Arial"/>
                        <w:color w:val="000000" w:themeColor="text1"/>
                      </w:rPr>
                      <m:t>t</m:t>
                    </m:r>
                    <m:r>
                      <m:rPr>
                        <m:sty m:val="p"/>
                      </m:rPr>
                      <w:rPr>
                        <w:rFonts w:ascii="Cambria Math" w:hAnsi="Cambria Math" w:cs="Arial"/>
                        <w:color w:val="000000" w:themeColor="text1"/>
                      </w:rPr>
                      <m:t>=</m:t>
                    </m:r>
                    <m:r>
                      <w:rPr>
                        <w:rFonts w:ascii="Cambria Math" w:hAnsi="Cambria Math" w:cs="Arial"/>
                        <w:color w:val="000000" w:themeColor="text1"/>
                      </w:rPr>
                      <m:t>1</m:t>
                    </m:r>
                  </m:sub>
                  <m:sup>
                    <m:r>
                      <w:rPr>
                        <w:rFonts w:ascii="Cambria Math" w:hAnsi="Cambria Math" w:cs="Arial"/>
                        <w:color w:val="000000" w:themeColor="text1"/>
                      </w:rPr>
                      <m:t>T</m:t>
                    </m:r>
                  </m:sup>
                  <m:e>
                    <m:sSub>
                      <m:sSubPr>
                        <m:ctrlPr>
                          <w:rPr>
                            <w:rFonts w:ascii="Cambria Math" w:hAnsi="Cambria Math" w:cs="Arial"/>
                            <w:color w:val="000000" w:themeColor="text1"/>
                          </w:rPr>
                        </m:ctrlPr>
                      </m:sSubPr>
                      <m:e>
                        <m:r>
                          <w:rPr>
                            <w:rFonts w:ascii="Cambria Math" w:hAnsi="Cambria Math" w:cs="Arial"/>
                            <w:color w:val="000000" w:themeColor="text1"/>
                          </w:rPr>
                          <m:t>ϵ</m:t>
                        </m:r>
                      </m:e>
                      <m:sub>
                        <m:r>
                          <w:rPr>
                            <w:rFonts w:ascii="Cambria Math" w:hAnsi="Cambria Math" w:cs="Arial"/>
                            <w:color w:val="000000" w:themeColor="text1"/>
                          </w:rPr>
                          <m:t>t</m:t>
                        </m:r>
                      </m:sub>
                    </m:sSub>
                  </m:e>
                </m:nary>
                <m:sSubSup>
                  <m:sSubSupPr>
                    <m:ctrlPr>
                      <w:rPr>
                        <w:rFonts w:ascii="Cambria Math" w:hAnsi="Cambria Math" w:cs="Arial"/>
                        <w:color w:val="000000" w:themeColor="text1"/>
                      </w:rPr>
                    </m:ctrlPr>
                  </m:sSubSupPr>
                  <m:e>
                    <m:r>
                      <w:rPr>
                        <w:rFonts w:ascii="Cambria Math" w:hAnsi="Cambria Math" w:cs="Arial"/>
                        <w:color w:val="000000" w:themeColor="text1"/>
                      </w:rPr>
                      <m:t>ϵ</m:t>
                    </m:r>
                  </m:e>
                  <m:sub>
                    <m:r>
                      <w:rPr>
                        <w:rFonts w:ascii="Cambria Math" w:hAnsi="Cambria Math" w:cs="Arial"/>
                        <w:color w:val="000000" w:themeColor="text1"/>
                      </w:rPr>
                      <m:t>t</m:t>
                    </m:r>
                  </m:sub>
                  <m:sup>
                    <m:r>
                      <w:rPr>
                        <w:rFonts w:ascii="Cambria Math" w:hAnsi="Cambria Math" w:cs="Arial"/>
                        <w:color w:val="000000" w:themeColor="text1"/>
                      </w:rPr>
                      <m:t>T</m:t>
                    </m:r>
                  </m:sup>
                </m:sSubSup>
              </m:oMath>
            </m:oMathPara>
          </w:p>
        </w:tc>
        <w:tc>
          <w:tcPr>
            <w:tcW w:w="985" w:type="dxa"/>
            <w:vAlign w:val="center"/>
          </w:tcPr>
          <w:p w14:paraId="290E530F" w14:textId="7F8B02E8"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16</w:t>
            </w:r>
            <w:r w:rsidR="00FC6236" w:rsidRPr="00B13CBE">
              <w:rPr>
                <w:rFonts w:ascii="Arial" w:hAnsi="Arial" w:cs="Arial"/>
                <w:noProof/>
              </w:rPr>
              <w:fldChar w:fldCharType="end"/>
            </w:r>
            <w:r w:rsidRPr="00B13CBE">
              <w:rPr>
                <w:rFonts w:ascii="Arial" w:hAnsi="Arial" w:cs="Arial"/>
              </w:rPr>
              <w:t>)</w:t>
            </w:r>
          </w:p>
        </w:tc>
      </w:tr>
    </w:tbl>
    <w:p w14:paraId="1E90B07E" w14:textId="68C6A8AA"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The parameters </w:t>
      </w:r>
      <m:oMath>
        <m:r>
          <w:rPr>
            <w:rFonts w:ascii="Cambria Math" w:hAnsi="Cambria Math" w:cs="Arial"/>
            <w:color w:val="000000" w:themeColor="text1"/>
          </w:rPr>
          <m:t>a</m:t>
        </m:r>
      </m:oMath>
      <w:r w:rsidRPr="00B13CBE">
        <w:rPr>
          <w:rFonts w:ascii="Arial" w:hAnsi="Arial" w:cs="Arial"/>
          <w:color w:val="000000" w:themeColor="text1"/>
        </w:rPr>
        <w:t xml:space="preserve"> and </w:t>
      </w:r>
      <m:oMath>
        <m:r>
          <w:rPr>
            <w:rFonts w:ascii="Cambria Math" w:hAnsi="Cambria Math" w:cs="Arial"/>
            <w:color w:val="000000" w:themeColor="text1"/>
          </w:rPr>
          <m:t>b</m:t>
        </m:r>
      </m:oMath>
      <w:r w:rsidRPr="00B13CBE">
        <w:rPr>
          <w:rFonts w:ascii="Arial" w:hAnsi="Arial" w:cs="Arial"/>
          <w:color w:val="000000" w:themeColor="text1"/>
        </w:rPr>
        <w:t xml:space="preserve"> are scalars that must satisfy </w:t>
      </w:r>
      <m:oMath>
        <m:r>
          <w:rPr>
            <w:rFonts w:ascii="Cambria Math" w:hAnsi="Cambria Math" w:cs="Arial"/>
            <w:color w:val="000000" w:themeColor="text1"/>
          </w:rPr>
          <m:t>a</m:t>
        </m:r>
        <m:r>
          <m:rPr>
            <m:sty m:val="p"/>
          </m:rPr>
          <w:rPr>
            <w:rFonts w:ascii="Cambria Math" w:hAnsi="Cambria Math" w:cs="Arial"/>
            <w:color w:val="000000" w:themeColor="text1"/>
          </w:rPr>
          <m:t>≥</m:t>
        </m:r>
        <m:r>
          <w:rPr>
            <w:rFonts w:ascii="Cambria Math" w:hAnsi="Cambria Math" w:cs="Arial"/>
            <w:color w:val="000000" w:themeColor="text1"/>
          </w:rPr>
          <m:t>0</m:t>
        </m:r>
        <m:r>
          <m:rPr>
            <m:sty m:val="p"/>
          </m:rPr>
          <w:rPr>
            <w:rFonts w:ascii="Cambria Math" w:hAnsi="Cambria Math" w:cs="Arial"/>
            <w:color w:val="000000" w:themeColor="text1"/>
          </w:rPr>
          <m:t>,</m:t>
        </m:r>
        <m:r>
          <w:rPr>
            <w:rFonts w:ascii="Cambria Math" w:hAnsi="Cambria Math" w:cs="Arial"/>
            <w:color w:val="000000" w:themeColor="text1"/>
          </w:rPr>
          <m:t>b</m:t>
        </m:r>
        <m:r>
          <m:rPr>
            <m:sty m:val="p"/>
          </m:rPr>
          <w:rPr>
            <w:rFonts w:ascii="Cambria Math" w:hAnsi="Cambria Math" w:cs="Arial"/>
            <w:color w:val="000000" w:themeColor="text1"/>
          </w:rPr>
          <m:t>≥</m:t>
        </m:r>
        <m:r>
          <w:rPr>
            <w:rFonts w:ascii="Cambria Math" w:hAnsi="Cambria Math" w:cs="Arial"/>
            <w:color w:val="000000" w:themeColor="text1"/>
          </w:rPr>
          <m:t>0 and a</m:t>
        </m:r>
        <m:r>
          <m:rPr>
            <m:sty m:val="p"/>
          </m:rPr>
          <w:rPr>
            <w:rFonts w:ascii="Cambria Math" w:hAnsi="Cambria Math" w:cs="Arial"/>
            <w:color w:val="000000" w:themeColor="text1"/>
          </w:rPr>
          <m:t>+</m:t>
        </m:r>
        <m:r>
          <w:rPr>
            <w:rFonts w:ascii="Cambria Math" w:hAnsi="Cambria Math" w:cs="Arial"/>
            <w:color w:val="000000" w:themeColor="text1"/>
          </w:rPr>
          <m:t>b</m:t>
        </m:r>
        <m:r>
          <m:rPr>
            <m:sty m:val="p"/>
          </m:rPr>
          <w:rPr>
            <w:rFonts w:ascii="Cambria Math" w:hAnsi="Cambria Math" w:cs="Arial"/>
            <w:color w:val="000000" w:themeColor="text1"/>
          </w:rPr>
          <m:t>&lt;</m:t>
        </m:r>
        <m:r>
          <w:rPr>
            <w:rFonts w:ascii="Cambria Math" w:hAnsi="Cambria Math" w:cs="Arial"/>
            <w:color w:val="000000" w:themeColor="text1"/>
          </w:rPr>
          <m:t>1</m:t>
        </m:r>
      </m:oMath>
      <w:r w:rsidRPr="00B13CBE">
        <w:rPr>
          <w:rFonts w:ascii="Arial" w:hAnsi="Arial" w:cs="Arial"/>
          <w:color w:val="000000" w:themeColor="text1"/>
        </w:rPr>
        <w:t xml:space="preserve"> to ensure positive definiteness. </w:t>
      </w:r>
      <m:oMath>
        <m:sSubSup>
          <m:sSubSupPr>
            <m:ctrlPr>
              <w:rPr>
                <w:rFonts w:ascii="Cambria Math" w:hAnsi="Cambria Math" w:cs="Arial"/>
                <w:color w:val="000000" w:themeColor="text1"/>
              </w:rPr>
            </m:ctrlPr>
          </m:sSubSupPr>
          <m:e>
            <m:r>
              <m:rPr>
                <m:nor/>
              </m:rPr>
              <w:rPr>
                <w:rFonts w:ascii="Arial" w:hAnsi="Arial" w:cs="Arial"/>
                <w:color w:val="000000" w:themeColor="text1"/>
              </w:rPr>
              <m:t>Q</m:t>
            </m:r>
          </m:e>
          <m:sub>
            <m:r>
              <w:rPr>
                <w:rFonts w:ascii="Cambria Math" w:hAnsi="Cambria Math" w:cs="Arial"/>
                <w:color w:val="000000" w:themeColor="text1"/>
              </w:rPr>
              <m:t>t</m:t>
            </m:r>
          </m:sub>
          <m:sup>
            <m:r>
              <m:rPr>
                <m:sty m:val="p"/>
              </m:rPr>
              <w:rPr>
                <w:rFonts w:ascii="Cambria Math" w:hAnsi="Cambria Math" w:cs="Arial"/>
                <w:color w:val="000000" w:themeColor="text1"/>
              </w:rPr>
              <m:t>⋆</m:t>
            </m:r>
          </m:sup>
        </m:sSubSup>
      </m:oMath>
      <w:r w:rsidRPr="00B13CBE">
        <w:rPr>
          <w:rFonts w:ascii="Arial" w:hAnsi="Arial" w:cs="Arial"/>
          <w:color w:val="000000" w:themeColor="text1"/>
        </w:rPr>
        <w:t xml:space="preserve"> is a diagonal matrix with the square root of the diagonal elements of </w:t>
      </w:r>
      <m:oMath>
        <m:sSub>
          <m:sSubPr>
            <m:ctrlPr>
              <w:rPr>
                <w:rFonts w:ascii="Cambria Math" w:hAnsi="Cambria Math" w:cs="Arial"/>
                <w:color w:val="000000" w:themeColor="text1"/>
              </w:rPr>
            </m:ctrlPr>
          </m:sSubPr>
          <m:e>
            <m:r>
              <m:rPr>
                <m:nor/>
              </m:rPr>
              <w:rPr>
                <w:rFonts w:ascii="Arial" w:hAnsi="Arial" w:cs="Arial"/>
                <w:color w:val="000000" w:themeColor="text1"/>
              </w:rPr>
              <m:t>Q</m:t>
            </m:r>
          </m:e>
          <m:sub>
            <m:r>
              <w:rPr>
                <w:rFonts w:ascii="Cambria Math" w:hAnsi="Cambria Math" w:cs="Arial"/>
                <w:color w:val="000000" w:themeColor="text1"/>
              </w:rPr>
              <m:t>t</m:t>
            </m:r>
          </m:sub>
        </m:sSub>
      </m:oMath>
      <w:r w:rsidRPr="00B13CBE">
        <w:rPr>
          <w:rFonts w:ascii="Arial" w:hAnsi="Arial" w:cs="Arial"/>
          <w:color w:val="000000" w:themeColor="text1"/>
        </w:rPr>
        <w:t xml:space="preserve"> are at the </w:t>
      </w:r>
      <w:proofErr w:type="gramStart"/>
      <w:r w:rsidRPr="00B13CBE">
        <w:rPr>
          <w:rFonts w:ascii="Arial" w:hAnsi="Arial" w:cs="Arial"/>
          <w:color w:val="000000" w:themeColor="text1"/>
        </w:rPr>
        <w:t>diagonal.</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840"/>
        <w:gridCol w:w="985"/>
      </w:tblGrid>
      <w:tr w:rsidR="00DA4541" w:rsidRPr="00B13CBE" w14:paraId="715DEF23" w14:textId="77777777" w:rsidTr="00474156">
        <w:tc>
          <w:tcPr>
            <w:tcW w:w="805" w:type="dxa"/>
            <w:vAlign w:val="center"/>
          </w:tcPr>
          <w:p w14:paraId="6F806173" w14:textId="77777777" w:rsidR="00DA4541" w:rsidRPr="00B13CBE" w:rsidRDefault="00DA4541" w:rsidP="00FC6236">
            <w:pPr>
              <w:pStyle w:val="BodyText"/>
              <w:jc w:val="center"/>
              <w:rPr>
                <w:rFonts w:ascii="Arial" w:hAnsi="Arial" w:cs="Arial"/>
              </w:rPr>
            </w:pPr>
          </w:p>
        </w:tc>
        <w:tc>
          <w:tcPr>
            <w:tcW w:w="6840" w:type="dxa"/>
            <w:vAlign w:val="center"/>
          </w:tcPr>
          <w:p w14:paraId="2B27602E" w14:textId="1014F063" w:rsidR="00DA4541" w:rsidRPr="00B13CBE" w:rsidRDefault="00FC49CE" w:rsidP="00474156">
            <w:pPr>
              <w:pStyle w:val="BodyText"/>
              <w:spacing w:line="360" w:lineRule="auto"/>
              <w:jc w:val="both"/>
              <w:rPr>
                <w:rFonts w:ascii="Arial" w:hAnsi="Arial" w:cs="Arial"/>
                <w:color w:val="000000" w:themeColor="text1"/>
              </w:rPr>
            </w:pPr>
            <m:oMathPara>
              <m:oMath>
                <m:sSubSup>
                  <m:sSubSupPr>
                    <m:ctrlPr>
                      <w:rPr>
                        <w:rFonts w:ascii="Cambria Math" w:hAnsi="Cambria Math" w:cs="Arial"/>
                        <w:color w:val="000000" w:themeColor="text1"/>
                      </w:rPr>
                    </m:ctrlPr>
                  </m:sSubSupPr>
                  <m:e>
                    <m:r>
                      <m:rPr>
                        <m:nor/>
                      </m:rPr>
                      <w:rPr>
                        <w:rFonts w:ascii="Arial" w:hAnsi="Arial" w:cs="Arial"/>
                        <w:color w:val="000000" w:themeColor="text1"/>
                      </w:rPr>
                      <m:t>Q</m:t>
                    </m:r>
                  </m:e>
                  <m:sub>
                    <m:r>
                      <w:rPr>
                        <w:rFonts w:ascii="Cambria Math" w:hAnsi="Cambria Math" w:cs="Arial"/>
                        <w:color w:val="000000" w:themeColor="text1"/>
                      </w:rPr>
                      <m:t>t</m:t>
                    </m:r>
                  </m:sub>
                  <m:sup>
                    <m:r>
                      <m:rPr>
                        <m:sty m:val="p"/>
                      </m:rPr>
                      <w:rPr>
                        <w:rFonts w:ascii="Cambria Math" w:hAnsi="Cambria Math" w:cs="Arial"/>
                        <w:color w:val="000000" w:themeColor="text1"/>
                      </w:rPr>
                      <m:t>⋆</m:t>
                    </m:r>
                  </m:sup>
                </m:sSubSup>
                <m:r>
                  <m:rPr>
                    <m:sty m:val="p"/>
                  </m:rPr>
                  <w:rPr>
                    <w:rFonts w:ascii="Cambria Math" w:hAnsi="Cambria Math" w:cs="Arial"/>
                    <w:color w:val="000000" w:themeColor="text1"/>
                  </w:rPr>
                  <m:t>=</m:t>
                </m:r>
                <m:d>
                  <m:dPr>
                    <m:begChr m:val="["/>
                    <m:endChr m:val="]"/>
                    <m:ctrlPr>
                      <w:rPr>
                        <w:rFonts w:ascii="Cambria Math" w:hAnsi="Cambria Math" w:cs="Arial"/>
                        <w:color w:val="000000" w:themeColor="text1"/>
                      </w:rPr>
                    </m:ctrlPr>
                  </m:dPr>
                  <m:e>
                    <m:m>
                      <m:mPr>
                        <m:plcHide m:val="1"/>
                        <m:mcs>
                          <m:mc>
                            <m:mcPr>
                              <m:count m:val="4"/>
                              <m:mcJc m:val="center"/>
                            </m:mcPr>
                          </m:mc>
                        </m:mcs>
                        <m:ctrlPr>
                          <w:rPr>
                            <w:rFonts w:ascii="Cambria Math" w:hAnsi="Cambria Math" w:cs="Arial"/>
                            <w:color w:val="000000" w:themeColor="text1"/>
                          </w:rPr>
                        </m:ctrlPr>
                      </m:mPr>
                      <m:mr>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11t</m:t>
                                  </m:r>
                                </m:sub>
                              </m:sSub>
                            </m:e>
                          </m:rad>
                        </m:e>
                        <m:e>
                          <m:r>
                            <w:rPr>
                              <w:rFonts w:ascii="Cambria Math" w:hAnsi="Cambria Math" w:cs="Arial"/>
                              <w:color w:val="000000" w:themeColor="text1"/>
                            </w:rPr>
                            <m:t>0</m:t>
                          </m:r>
                        </m:e>
                        <m:e>
                          <m:r>
                            <m:rPr>
                              <m:sty m:val="p"/>
                            </m:rPr>
                            <w:rPr>
                              <w:rFonts w:ascii="Cambria Math" w:hAnsi="Cambria Math" w:cs="Arial"/>
                              <w:color w:val="000000" w:themeColor="text1"/>
                            </w:rPr>
                            <m:t>⋯</m:t>
                          </m:r>
                        </m:e>
                        <m:e>
                          <m:r>
                            <w:rPr>
                              <w:rFonts w:ascii="Cambria Math" w:hAnsi="Cambria Math" w:cs="Arial"/>
                              <w:color w:val="000000" w:themeColor="text1"/>
                            </w:rPr>
                            <m:t>0</m:t>
                          </m:r>
                        </m:e>
                      </m:mr>
                      <m:mr>
                        <m:e>
                          <m:r>
                            <w:rPr>
                              <w:rFonts w:ascii="Cambria Math" w:hAnsi="Cambria Math" w:cs="Arial"/>
                              <w:color w:val="000000" w:themeColor="text1"/>
                            </w:rPr>
                            <m:t>0</m:t>
                          </m:r>
                        </m:e>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22t</m:t>
                                  </m:r>
                                </m:sub>
                              </m:sSub>
                            </m:e>
                          </m:rad>
                        </m:e>
                        <m:e>
                          <m:r>
                            <m:rPr>
                              <m:sty m:val="p"/>
                            </m:rPr>
                            <w:rPr>
                              <w:rFonts w:ascii="Cambria Math" w:hAnsi="Cambria Math" w:cs="Arial"/>
                              <w:color w:val="000000" w:themeColor="text1"/>
                            </w:rPr>
                            <m:t>⋯</m:t>
                          </m:r>
                        </m:e>
                        <m:e>
                          <m:r>
                            <w:rPr>
                              <w:rFonts w:ascii="Cambria Math" w:hAnsi="Cambria Math" w:cs="Arial"/>
                              <w:color w:val="000000" w:themeColor="text1"/>
                            </w:rPr>
                            <m:t>0</m:t>
                          </m:r>
                        </m:e>
                      </m:mr>
                      <m:mr>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e>
                          <m:r>
                            <m:rPr>
                              <m:sty m:val="p"/>
                            </m:rPr>
                            <w:rPr>
                              <w:rFonts w:ascii="Cambria Math" w:hAnsi="Cambria Math" w:cs="Arial"/>
                              <w:color w:val="000000" w:themeColor="text1"/>
                            </w:rPr>
                            <m:t>⋮</m:t>
                          </m:r>
                        </m:e>
                      </m:mr>
                      <m:mr>
                        <m:e>
                          <m:r>
                            <w:rPr>
                              <w:rFonts w:ascii="Cambria Math" w:hAnsi="Cambria Math" w:cs="Arial"/>
                              <w:color w:val="000000" w:themeColor="text1"/>
                            </w:rPr>
                            <m:t>0</m:t>
                          </m:r>
                        </m:e>
                        <m:e>
                          <m:r>
                            <w:rPr>
                              <w:rFonts w:ascii="Cambria Math" w:hAnsi="Cambria Math" w:cs="Arial"/>
                              <w:color w:val="000000" w:themeColor="text1"/>
                            </w:rPr>
                            <m:t>0</m:t>
                          </m:r>
                        </m:e>
                        <m:e>
                          <m:r>
                            <m:rPr>
                              <m:sty m:val="p"/>
                            </m:rPr>
                            <w:rPr>
                              <w:rFonts w:ascii="Cambria Math" w:hAnsi="Cambria Math" w:cs="Arial"/>
                              <w:color w:val="000000" w:themeColor="text1"/>
                            </w:rPr>
                            <m:t>⋯</m:t>
                          </m:r>
                        </m:e>
                        <m:e>
                          <m:rad>
                            <m:radPr>
                              <m:degHide m:val="1"/>
                              <m:ctrlPr>
                                <w:rPr>
                                  <w:rFonts w:ascii="Cambria Math" w:hAnsi="Cambria Math" w:cs="Arial"/>
                                  <w:color w:val="000000" w:themeColor="text1"/>
                                </w:rPr>
                              </m:ctrlPr>
                            </m:radPr>
                            <m:deg/>
                            <m:e>
                              <m:sSub>
                                <m:sSubPr>
                                  <m:ctrlPr>
                                    <w:rPr>
                                      <w:rFonts w:ascii="Cambria Math" w:hAnsi="Cambria Math" w:cs="Arial"/>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nnt</m:t>
                                  </m:r>
                                </m:sub>
                              </m:sSub>
                            </m:e>
                          </m:rad>
                        </m:e>
                      </m:mr>
                    </m:m>
                  </m:e>
                </m:d>
              </m:oMath>
            </m:oMathPara>
          </w:p>
        </w:tc>
        <w:tc>
          <w:tcPr>
            <w:tcW w:w="985" w:type="dxa"/>
            <w:vAlign w:val="center"/>
          </w:tcPr>
          <w:p w14:paraId="20A191AA" w14:textId="6D7750C7" w:rsidR="00DA4541" w:rsidRPr="00B13CBE" w:rsidRDefault="00DA4541" w:rsidP="00FC6236">
            <w:pPr>
              <w:pStyle w:val="BodyText"/>
              <w:jc w:val="center"/>
              <w:rPr>
                <w:rFonts w:ascii="Arial" w:hAnsi="Arial" w:cs="Arial"/>
              </w:rPr>
            </w:pPr>
            <w:r w:rsidRPr="00B13CBE">
              <w:rPr>
                <w:rFonts w:ascii="Arial" w:hAnsi="Arial" w:cs="Arial"/>
              </w:rPr>
              <w:t>(</w:t>
            </w:r>
            <w:r w:rsidR="00FC6236" w:rsidRPr="00B13CBE">
              <w:rPr>
                <w:rFonts w:ascii="Arial" w:hAnsi="Arial" w:cs="Arial"/>
              </w:rPr>
              <w:fldChar w:fldCharType="begin"/>
            </w:r>
            <w:r w:rsidR="00FC6236" w:rsidRPr="00B13CBE">
              <w:rPr>
                <w:rFonts w:ascii="Arial" w:hAnsi="Arial" w:cs="Arial"/>
              </w:rPr>
              <w:instrText xml:space="preserve"> SEQ Eq \* MERGEFORMAT </w:instrText>
            </w:r>
            <w:r w:rsidR="00FC6236" w:rsidRPr="00B13CBE">
              <w:rPr>
                <w:rFonts w:ascii="Arial" w:hAnsi="Arial" w:cs="Arial"/>
              </w:rPr>
              <w:fldChar w:fldCharType="separate"/>
            </w:r>
            <w:r w:rsidRPr="00B13CBE">
              <w:rPr>
                <w:rFonts w:ascii="Arial" w:hAnsi="Arial" w:cs="Arial"/>
                <w:noProof/>
              </w:rPr>
              <w:t>17</w:t>
            </w:r>
            <w:r w:rsidR="00FC6236" w:rsidRPr="00B13CBE">
              <w:rPr>
                <w:rFonts w:ascii="Arial" w:hAnsi="Arial" w:cs="Arial"/>
                <w:noProof/>
              </w:rPr>
              <w:fldChar w:fldCharType="end"/>
            </w:r>
            <w:r w:rsidRPr="00B13CBE">
              <w:rPr>
                <w:rFonts w:ascii="Arial" w:hAnsi="Arial" w:cs="Arial"/>
              </w:rPr>
              <w:t>)</w:t>
            </w:r>
          </w:p>
        </w:tc>
      </w:tr>
    </w:tbl>
    <w:p w14:paraId="48B328DA" w14:textId="77777777" w:rsidR="001F4CEB" w:rsidRPr="00B13CBE" w:rsidRDefault="00C4772C" w:rsidP="00781A3B">
      <w:pPr>
        <w:pStyle w:val="FirstParagraph"/>
        <w:spacing w:line="360" w:lineRule="auto"/>
        <w:jc w:val="both"/>
        <w:rPr>
          <w:rFonts w:ascii="Arial" w:hAnsi="Arial" w:cs="Arial"/>
          <w:color w:val="000000" w:themeColor="text1"/>
        </w:rPr>
      </w:pPr>
      <w:r w:rsidRPr="00B13CBE">
        <w:rPr>
          <w:rFonts w:ascii="Arial" w:hAnsi="Arial" w:cs="Arial"/>
          <w:color w:val="000000" w:themeColor="text1"/>
        </w:rPr>
        <w:t xml:space="preserve">The purpose of </w:t>
      </w:r>
      <m:oMath>
        <m:sSubSup>
          <m:sSubSupPr>
            <m:ctrlPr>
              <w:rPr>
                <w:rFonts w:ascii="Cambria Math" w:hAnsi="Cambria Math" w:cs="Arial"/>
                <w:color w:val="000000" w:themeColor="text1"/>
              </w:rPr>
            </m:ctrlPr>
          </m:sSubSupPr>
          <m:e>
            <m:r>
              <m:rPr>
                <m:nor/>
              </m:rPr>
              <w:rPr>
                <w:rFonts w:ascii="Arial" w:hAnsi="Arial" w:cs="Arial"/>
                <w:color w:val="000000" w:themeColor="text1"/>
              </w:rPr>
              <m:t>Q</m:t>
            </m:r>
          </m:e>
          <m:sub>
            <m:r>
              <w:rPr>
                <w:rFonts w:ascii="Cambria Math" w:hAnsi="Cambria Math" w:cs="Arial"/>
                <w:color w:val="000000" w:themeColor="text1"/>
              </w:rPr>
              <m:t>t</m:t>
            </m:r>
          </m:sub>
          <m:sup>
            <m:r>
              <m:rPr>
                <m:sty m:val="p"/>
              </m:rPr>
              <w:rPr>
                <w:rFonts w:ascii="Cambria Math" w:hAnsi="Cambria Math" w:cs="Arial"/>
                <w:color w:val="000000" w:themeColor="text1"/>
              </w:rPr>
              <m:t>⋆</m:t>
            </m:r>
          </m:sup>
        </m:sSubSup>
      </m:oMath>
      <w:r w:rsidRPr="00B13CBE">
        <w:rPr>
          <w:rFonts w:ascii="Arial" w:hAnsi="Arial" w:cs="Arial"/>
          <w:color w:val="000000" w:themeColor="text1"/>
        </w:rPr>
        <w:t xml:space="preserve"> is to rescale </w:t>
      </w:r>
      <m:oMath>
        <m:sSub>
          <m:sSubPr>
            <m:ctrlPr>
              <w:rPr>
                <w:rFonts w:ascii="Cambria Math" w:hAnsi="Cambria Math" w:cs="Arial"/>
                <w:color w:val="000000" w:themeColor="text1"/>
              </w:rPr>
            </m:ctrlPr>
          </m:sSubPr>
          <m:e>
            <m:r>
              <m:rPr>
                <m:nor/>
              </m:rPr>
              <w:rPr>
                <w:rFonts w:ascii="Arial" w:hAnsi="Arial" w:cs="Arial"/>
                <w:color w:val="000000" w:themeColor="text1"/>
              </w:rPr>
              <m:t>Q</m:t>
            </m:r>
          </m:e>
          <m:sub>
            <m:r>
              <w:rPr>
                <w:rFonts w:ascii="Cambria Math" w:hAnsi="Cambria Math" w:cs="Arial"/>
                <w:color w:val="000000" w:themeColor="text1"/>
              </w:rPr>
              <m:t>t</m:t>
            </m:r>
          </m:sub>
        </m:sSub>
      </m:oMath>
      <w:r w:rsidRPr="00B13CBE">
        <w:rPr>
          <w:rFonts w:ascii="Arial" w:hAnsi="Arial" w:cs="Arial"/>
          <w:color w:val="000000" w:themeColor="text1"/>
        </w:rPr>
        <w:t xml:space="preserve"> and ensure that the second condition is met. </w:t>
      </w:r>
    </w:p>
    <w:p w14:paraId="1C3305B2" w14:textId="77777777" w:rsidR="001F4CEB" w:rsidRPr="00B13CBE" w:rsidRDefault="00C4772C" w:rsidP="00781A3B">
      <w:pPr>
        <w:pStyle w:val="BodyText"/>
        <w:spacing w:before="0" w:after="0" w:line="360" w:lineRule="auto"/>
        <w:jc w:val="both"/>
        <w:rPr>
          <w:rFonts w:ascii="Arial" w:hAnsi="Arial" w:cs="Arial"/>
          <w:color w:val="000000" w:themeColor="text1"/>
        </w:rPr>
      </w:pPr>
      <w:r w:rsidRPr="00B13CBE">
        <w:rPr>
          <w:rFonts w:ascii="Arial" w:hAnsi="Arial" w:cs="Arial"/>
          <w:color w:val="000000" w:themeColor="text1"/>
        </w:rPr>
        <w:t>The DCC-GARCH is estimated in a 2-step maximum likelihood procedure where the univariate GARCH models are estimated first and then the parameters of the DCC-GARCH are estimated. The parameter 'a' models the short-term correlation and 'b' models the long-term correlation Engle (2002)</w:t>
      </w:r>
      <w:r w:rsidR="0078397F" w:rsidRPr="00B13CBE">
        <w:rPr>
          <w:rFonts w:ascii="Arial" w:hAnsi="Arial" w:cs="Arial"/>
          <w:color w:val="000000" w:themeColor="text1"/>
        </w:rPr>
        <w:t>.</w:t>
      </w:r>
    </w:p>
    <w:p w14:paraId="6C6E309D" w14:textId="77777777" w:rsidR="001F4CEB" w:rsidRPr="00B13CBE" w:rsidRDefault="00C4772C" w:rsidP="00781A3B">
      <w:pPr>
        <w:pStyle w:val="Heading2"/>
        <w:spacing w:before="0"/>
      </w:pPr>
      <w:bookmarkStart w:id="33" w:name="_Toc82603368"/>
      <w:r w:rsidRPr="00B13CBE">
        <w:t>Evaluation Procedure</w:t>
      </w:r>
      <w:bookmarkEnd w:id="33"/>
    </w:p>
    <w:p w14:paraId="5A4BE4A7" w14:textId="77777777" w:rsidR="00D04AA9"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DCC-GARCH models were fitted </w:t>
      </w:r>
      <w:r w:rsidR="00756235" w:rsidRPr="00B13CBE">
        <w:rPr>
          <w:rFonts w:ascii="Arial" w:hAnsi="Arial" w:cs="Arial"/>
          <w:color w:val="000000" w:themeColor="text1"/>
          <w:sz w:val="24"/>
          <w:szCs w:val="24"/>
        </w:rPr>
        <w:t>between all pairs of countries. For the U.S, four indices were used instead of on</w:t>
      </w:r>
      <w:r w:rsidR="00F22CC5" w:rsidRPr="00B13CBE">
        <w:rPr>
          <w:rFonts w:ascii="Arial" w:hAnsi="Arial" w:cs="Arial"/>
          <w:color w:val="000000" w:themeColor="text1"/>
          <w:sz w:val="24"/>
          <w:szCs w:val="24"/>
        </w:rPr>
        <w:t>e hence each other DCC models involving the U.S had five variables</w:t>
      </w:r>
      <w:r w:rsidR="00756235" w:rsidRPr="00B13CBE">
        <w:rPr>
          <w:rFonts w:ascii="Arial" w:hAnsi="Arial" w:cs="Arial"/>
          <w:color w:val="000000" w:themeColor="text1"/>
          <w:sz w:val="24"/>
          <w:szCs w:val="24"/>
        </w:rPr>
        <w:t>.</w:t>
      </w:r>
      <w:r w:rsidR="00F22CC5" w:rsidRPr="00B13CBE">
        <w:rPr>
          <w:rFonts w:ascii="Arial" w:hAnsi="Arial" w:cs="Arial"/>
          <w:color w:val="000000" w:themeColor="text1"/>
          <w:sz w:val="24"/>
          <w:szCs w:val="24"/>
        </w:rPr>
        <w:t xml:space="preserve"> For other countries, only one index was used hence DCC models between non-U.S countries were bi-variate models.</w:t>
      </w:r>
      <w:r w:rsidR="00756235" w:rsidRPr="00B13CBE">
        <w:rPr>
          <w:rFonts w:ascii="Arial" w:hAnsi="Arial" w:cs="Arial"/>
          <w:color w:val="000000" w:themeColor="text1"/>
          <w:sz w:val="24"/>
          <w:szCs w:val="24"/>
        </w:rPr>
        <w:t xml:space="preserve"> </w:t>
      </w:r>
    </w:p>
    <w:p w14:paraId="2C8FD0FB" w14:textId="77777777" w:rsidR="001F4CEB"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The DCC-GARCH</w:t>
      </w:r>
      <w:r w:rsidR="00F22CC5" w:rsidRPr="00B13CBE">
        <w:rPr>
          <w:rFonts w:ascii="Arial" w:hAnsi="Arial" w:cs="Arial"/>
          <w:color w:val="000000" w:themeColor="text1"/>
          <w:sz w:val="24"/>
          <w:szCs w:val="24"/>
        </w:rPr>
        <w:t>’s</w:t>
      </w:r>
      <w:r w:rsidRPr="00B13CBE">
        <w:rPr>
          <w:rFonts w:ascii="Arial" w:hAnsi="Arial" w:cs="Arial"/>
          <w:color w:val="000000" w:themeColor="text1"/>
          <w:sz w:val="24"/>
          <w:szCs w:val="24"/>
        </w:rPr>
        <w:t xml:space="preserve"> </w:t>
      </w:r>
      <m:oMath>
        <m:r>
          <w:rPr>
            <w:rFonts w:ascii="Cambria Math" w:hAnsi="Cambria Math" w:cs="Arial"/>
            <w:color w:val="000000" w:themeColor="text1"/>
            <w:sz w:val="24"/>
            <w:szCs w:val="24"/>
          </w:rPr>
          <m:t>a</m:t>
        </m:r>
      </m:oMath>
      <w:r w:rsidRPr="00B13CBE">
        <w:rPr>
          <w:rFonts w:ascii="Arial" w:hAnsi="Arial" w:cs="Arial"/>
          <w:color w:val="000000" w:themeColor="text1"/>
          <w:sz w:val="24"/>
          <w:szCs w:val="24"/>
        </w:rPr>
        <w:t xml:space="preserve"> and </w:t>
      </w:r>
      <m:oMath>
        <m:r>
          <w:rPr>
            <w:rFonts w:ascii="Cambria Math" w:hAnsi="Cambria Math" w:cs="Arial"/>
            <w:color w:val="000000" w:themeColor="text1"/>
            <w:sz w:val="24"/>
            <w:szCs w:val="24"/>
          </w:rPr>
          <m:t>b</m:t>
        </m:r>
      </m:oMath>
      <w:r w:rsidRPr="00B13CBE">
        <w:rPr>
          <w:rFonts w:ascii="Arial" w:hAnsi="Arial" w:cs="Arial"/>
          <w:color w:val="000000" w:themeColor="text1"/>
          <w:sz w:val="24"/>
          <w:szCs w:val="24"/>
        </w:rPr>
        <w:t xml:space="preserve"> parameters </w:t>
      </w:r>
      <w:r w:rsidR="00F22CC5" w:rsidRPr="00B13CBE">
        <w:rPr>
          <w:rFonts w:ascii="Arial" w:hAnsi="Arial" w:cs="Arial"/>
          <w:color w:val="000000" w:themeColor="text1"/>
          <w:sz w:val="24"/>
          <w:szCs w:val="24"/>
        </w:rPr>
        <w:t>were</w:t>
      </w:r>
      <w:r w:rsidRPr="00B13CBE">
        <w:rPr>
          <w:rFonts w:ascii="Arial" w:hAnsi="Arial" w:cs="Arial"/>
          <w:color w:val="000000" w:themeColor="text1"/>
          <w:sz w:val="24"/>
          <w:szCs w:val="24"/>
        </w:rPr>
        <w:t xml:space="preserve"> recorded which correspond to the short-term correlation and long-term correlation between the two</w:t>
      </w:r>
      <w:r w:rsidR="00F22CC5" w:rsidRPr="00B13CBE">
        <w:rPr>
          <w:rFonts w:ascii="Arial" w:hAnsi="Arial" w:cs="Arial"/>
          <w:color w:val="000000" w:themeColor="text1"/>
          <w:sz w:val="24"/>
          <w:szCs w:val="24"/>
        </w:rPr>
        <w:t xml:space="preserve"> countries</w:t>
      </w:r>
      <w:r w:rsidRPr="00B13CBE">
        <w:rPr>
          <w:rFonts w:ascii="Arial" w:hAnsi="Arial" w:cs="Arial"/>
          <w:color w:val="000000" w:themeColor="text1"/>
          <w:sz w:val="24"/>
          <w:szCs w:val="24"/>
        </w:rPr>
        <w:t>.</w:t>
      </w:r>
      <w:r w:rsidR="00F22CC5" w:rsidRPr="00B13CBE">
        <w:rPr>
          <w:rFonts w:ascii="Arial" w:hAnsi="Arial" w:cs="Arial"/>
          <w:color w:val="000000" w:themeColor="text1"/>
          <w:sz w:val="24"/>
          <w:szCs w:val="24"/>
        </w:rPr>
        <w:t xml:space="preserve"> The results of this procedure are discussed in the next chapter.</w:t>
      </w:r>
    </w:p>
    <w:p w14:paraId="2450FFC2" w14:textId="1ACB2392" w:rsidR="0078397F" w:rsidRPr="00B13CBE" w:rsidRDefault="0078397F" w:rsidP="00781A3B">
      <w:pPr>
        <w:spacing w:line="360" w:lineRule="auto"/>
        <w:jc w:val="both"/>
        <w:rPr>
          <w:rFonts w:ascii="Arial" w:hAnsi="Arial" w:cs="Arial"/>
          <w:color w:val="000000" w:themeColor="text1"/>
          <w:sz w:val="24"/>
          <w:szCs w:val="24"/>
        </w:rPr>
      </w:pPr>
    </w:p>
    <w:p w14:paraId="7E20698F" w14:textId="16845547" w:rsidR="00781A3B" w:rsidRPr="00B13CBE" w:rsidRDefault="00781A3B" w:rsidP="00781A3B">
      <w:pPr>
        <w:spacing w:line="360" w:lineRule="auto"/>
        <w:jc w:val="both"/>
        <w:rPr>
          <w:rFonts w:ascii="Arial" w:hAnsi="Arial" w:cs="Arial"/>
          <w:color w:val="000000" w:themeColor="text1"/>
          <w:sz w:val="24"/>
          <w:szCs w:val="24"/>
        </w:rPr>
      </w:pPr>
    </w:p>
    <w:p w14:paraId="6DC8435B" w14:textId="36CCED99" w:rsidR="000C440B" w:rsidRPr="00B13CBE" w:rsidRDefault="000C440B" w:rsidP="00781A3B">
      <w:pPr>
        <w:spacing w:line="360" w:lineRule="auto"/>
        <w:jc w:val="both"/>
        <w:rPr>
          <w:rFonts w:ascii="Arial" w:hAnsi="Arial" w:cs="Arial"/>
          <w:color w:val="000000" w:themeColor="text1"/>
          <w:sz w:val="24"/>
          <w:szCs w:val="24"/>
        </w:rPr>
      </w:pPr>
    </w:p>
    <w:p w14:paraId="5CB829BE" w14:textId="77777777" w:rsidR="00781A3B" w:rsidRPr="00B13CBE" w:rsidRDefault="00781A3B" w:rsidP="00781A3B">
      <w:pPr>
        <w:spacing w:line="360" w:lineRule="auto"/>
        <w:jc w:val="both"/>
        <w:rPr>
          <w:rFonts w:ascii="Arial" w:hAnsi="Arial" w:cs="Arial"/>
          <w:color w:val="000000" w:themeColor="text1"/>
          <w:sz w:val="24"/>
          <w:szCs w:val="24"/>
        </w:rPr>
      </w:pPr>
    </w:p>
    <w:p w14:paraId="52706F65" w14:textId="77777777" w:rsidR="001F4CEB" w:rsidRPr="00B13CBE" w:rsidRDefault="00C4772C" w:rsidP="00781A3B">
      <w:pPr>
        <w:pStyle w:val="Heading1"/>
        <w:numPr>
          <w:ilvl w:val="0"/>
          <w:numId w:val="18"/>
        </w:numPr>
        <w:spacing w:before="0" w:line="360" w:lineRule="auto"/>
        <w:jc w:val="both"/>
        <w:rPr>
          <w:rFonts w:ascii="Arial" w:hAnsi="Arial" w:cs="Arial"/>
          <w:b/>
          <w:bCs/>
          <w:color w:val="000000" w:themeColor="text1"/>
          <w:sz w:val="24"/>
          <w:szCs w:val="24"/>
        </w:rPr>
      </w:pPr>
      <w:bookmarkStart w:id="34" w:name="_Toc82603369"/>
      <w:r w:rsidRPr="00B13CBE">
        <w:rPr>
          <w:rFonts w:ascii="Arial" w:hAnsi="Arial" w:cs="Arial"/>
          <w:b/>
          <w:bCs/>
          <w:color w:val="000000" w:themeColor="text1"/>
          <w:sz w:val="24"/>
          <w:szCs w:val="24"/>
        </w:rPr>
        <w:lastRenderedPageBreak/>
        <w:t>RESULTS</w:t>
      </w:r>
      <w:bookmarkEnd w:id="34"/>
    </w:p>
    <w:p w14:paraId="3E6E5F31" w14:textId="77777777" w:rsidR="001F6509" w:rsidRPr="00B13CBE" w:rsidRDefault="00C4772C" w:rsidP="00781A3B">
      <w:pPr>
        <w:pStyle w:val="Heading2"/>
        <w:spacing w:before="0"/>
      </w:pPr>
      <w:bookmarkStart w:id="35" w:name="_Toc82603370"/>
      <w:bookmarkStart w:id="36" w:name="dcc-garch"/>
      <w:bookmarkStart w:id="37" w:name="evaluation-procedure"/>
      <w:bookmarkEnd w:id="24"/>
      <w:r w:rsidRPr="00B13CBE">
        <w:t xml:space="preserve">Results of the Test for </w:t>
      </w:r>
      <w:r w:rsidR="00C32DCA" w:rsidRPr="00B13CBE">
        <w:t>Stationarity</w:t>
      </w:r>
      <w:bookmarkEnd w:id="35"/>
    </w:p>
    <w:p w14:paraId="2B46AB0D" w14:textId="77777777" w:rsidR="001F4CEB"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For Maximum Likelihood estimates of GARCH parameters to converge, the time series have to be weakly stationary. That is, they must be mean-reverting and have constant unconditional variance. The Augmented Dickey-Fuller (ADF) test was performed on each of the 12 log return series and the results are shown in Table 2</w:t>
      </w:r>
      <w:r w:rsidR="007048E9" w:rsidRPr="00B13CBE">
        <w:rPr>
          <w:rFonts w:ascii="Arial" w:hAnsi="Arial" w:cs="Arial"/>
          <w:color w:val="000000" w:themeColor="text1"/>
          <w:sz w:val="24"/>
          <w:szCs w:val="24"/>
        </w:rPr>
        <w:t>. The null hypothesis of the ADF test is that the series is non-stationary</w:t>
      </w:r>
      <w:r w:rsidRPr="00B13CBE">
        <w:rPr>
          <w:rFonts w:ascii="Arial" w:hAnsi="Arial" w:cs="Arial"/>
          <w:color w:val="000000" w:themeColor="text1"/>
          <w:sz w:val="24"/>
          <w:szCs w:val="24"/>
        </w:rPr>
        <w:t xml:space="preserve"> while the alternative hypothesis is that the series is stationary. </w:t>
      </w:r>
    </w:p>
    <w:p w14:paraId="511CD9CE" w14:textId="77777777" w:rsidR="007048E9" w:rsidRPr="00B13CBE" w:rsidRDefault="00C4772C" w:rsidP="00781A3B">
      <w:pPr>
        <w:pStyle w:val="Caption"/>
        <w:keepNext/>
        <w:spacing w:line="360" w:lineRule="auto"/>
        <w:jc w:val="both"/>
        <w:rPr>
          <w:rFonts w:ascii="Arial" w:hAnsi="Arial" w:cs="Arial"/>
          <w:color w:val="000000" w:themeColor="text1"/>
        </w:rPr>
      </w:pPr>
      <w:bookmarkStart w:id="38" w:name="_Toc82603413"/>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2</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 Augmented Dickey-Fuller (ADF) </w:t>
      </w:r>
      <w:r w:rsidR="0078397F" w:rsidRPr="00B13CBE">
        <w:rPr>
          <w:rFonts w:ascii="Arial" w:hAnsi="Arial" w:cs="Arial"/>
          <w:color w:val="000000" w:themeColor="text1"/>
        </w:rPr>
        <w:t>T</w:t>
      </w:r>
      <w:r w:rsidRPr="00B13CBE">
        <w:rPr>
          <w:rFonts w:ascii="Arial" w:hAnsi="Arial" w:cs="Arial"/>
          <w:color w:val="000000" w:themeColor="text1"/>
        </w:rPr>
        <w:t xml:space="preserve">est for </w:t>
      </w:r>
      <w:r w:rsidR="0078397F" w:rsidRPr="00B13CBE">
        <w:rPr>
          <w:rFonts w:ascii="Arial" w:hAnsi="Arial" w:cs="Arial"/>
          <w:color w:val="000000" w:themeColor="text1"/>
        </w:rPr>
        <w:t>S</w:t>
      </w:r>
      <w:r w:rsidRPr="00B13CBE">
        <w:rPr>
          <w:rFonts w:ascii="Arial" w:hAnsi="Arial" w:cs="Arial"/>
          <w:color w:val="000000" w:themeColor="text1"/>
        </w:rPr>
        <w:t xml:space="preserve">tationarity for </w:t>
      </w:r>
      <w:r w:rsidR="0078397F" w:rsidRPr="00B13CBE">
        <w:rPr>
          <w:rFonts w:ascii="Arial" w:hAnsi="Arial" w:cs="Arial"/>
          <w:color w:val="000000" w:themeColor="text1"/>
        </w:rPr>
        <w:t>T</w:t>
      </w:r>
      <w:r w:rsidRPr="00B13CBE">
        <w:rPr>
          <w:rFonts w:ascii="Arial" w:hAnsi="Arial" w:cs="Arial"/>
          <w:color w:val="000000" w:themeColor="text1"/>
        </w:rPr>
        <w:t xml:space="preserve">he </w:t>
      </w:r>
      <w:r w:rsidR="0078397F" w:rsidRPr="00B13CBE">
        <w:rPr>
          <w:rFonts w:ascii="Arial" w:hAnsi="Arial" w:cs="Arial"/>
          <w:color w:val="000000" w:themeColor="text1"/>
        </w:rPr>
        <w:t>I</w:t>
      </w:r>
      <w:r w:rsidRPr="00B13CBE">
        <w:rPr>
          <w:rFonts w:ascii="Arial" w:hAnsi="Arial" w:cs="Arial"/>
          <w:color w:val="000000" w:themeColor="text1"/>
        </w:rPr>
        <w:t xml:space="preserve">ndex </w:t>
      </w:r>
      <w:r w:rsidR="0078397F" w:rsidRPr="00B13CBE">
        <w:rPr>
          <w:rFonts w:ascii="Arial" w:hAnsi="Arial" w:cs="Arial"/>
          <w:color w:val="000000" w:themeColor="text1"/>
        </w:rPr>
        <w:t>R</w:t>
      </w:r>
      <w:r w:rsidRPr="00B13CBE">
        <w:rPr>
          <w:rFonts w:ascii="Arial" w:hAnsi="Arial" w:cs="Arial"/>
          <w:color w:val="000000" w:themeColor="text1"/>
        </w:rPr>
        <w:t xml:space="preserve">eturn </w:t>
      </w:r>
      <w:r w:rsidR="0078397F" w:rsidRPr="00B13CBE">
        <w:rPr>
          <w:rFonts w:ascii="Arial" w:hAnsi="Arial" w:cs="Arial"/>
          <w:color w:val="000000" w:themeColor="text1"/>
        </w:rPr>
        <w:t>S</w:t>
      </w:r>
      <w:r w:rsidRPr="00B13CBE">
        <w:rPr>
          <w:rFonts w:ascii="Arial" w:hAnsi="Arial" w:cs="Arial"/>
          <w:color w:val="000000" w:themeColor="text1"/>
        </w:rPr>
        <w:t>eries</w:t>
      </w:r>
      <w:r w:rsidR="0078397F" w:rsidRPr="00B13CBE">
        <w:rPr>
          <w:rFonts w:ascii="Arial" w:hAnsi="Arial" w:cs="Arial"/>
          <w:color w:val="000000" w:themeColor="text1"/>
        </w:rPr>
        <w:t>.</w:t>
      </w:r>
      <w:bookmarkEnd w:id="38"/>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651"/>
        <w:gridCol w:w="1197"/>
        <w:gridCol w:w="580"/>
        <w:gridCol w:w="1812"/>
        <w:gridCol w:w="1196"/>
        <w:gridCol w:w="1194"/>
      </w:tblGrid>
      <w:tr w:rsidR="004379AD" w:rsidRPr="00B13CBE" w14:paraId="487DD971" w14:textId="77777777" w:rsidTr="007048E9">
        <w:trPr>
          <w:trHeight w:val="288"/>
        </w:trPr>
        <w:tc>
          <w:tcPr>
            <w:tcW w:w="1571" w:type="pct"/>
            <w:tcBorders>
              <w:top w:val="single" w:sz="4" w:space="0" w:color="auto"/>
              <w:bottom w:val="single" w:sz="4" w:space="0" w:color="auto"/>
            </w:tcBorders>
            <w:shd w:val="clear" w:color="auto" w:fill="auto"/>
            <w:noWrap/>
            <w:vAlign w:val="bottom"/>
          </w:tcPr>
          <w:p w14:paraId="5ADC83A2" w14:textId="77777777" w:rsidR="001F4CEB"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Index</w:t>
            </w:r>
          </w:p>
        </w:tc>
        <w:tc>
          <w:tcPr>
            <w:tcW w:w="686" w:type="pct"/>
            <w:tcBorders>
              <w:top w:val="single" w:sz="4" w:space="0" w:color="auto"/>
              <w:bottom w:val="single" w:sz="4" w:space="0" w:color="auto"/>
            </w:tcBorders>
            <w:shd w:val="clear" w:color="auto" w:fill="auto"/>
            <w:noWrap/>
            <w:vAlign w:val="bottom"/>
          </w:tcPr>
          <w:p w14:paraId="58B2C8D9" w14:textId="77777777" w:rsidR="001F4CEB" w:rsidRPr="00B13CBE" w:rsidRDefault="001F4CEB" w:rsidP="00781A3B">
            <w:pPr>
              <w:spacing w:after="0" w:line="360" w:lineRule="auto"/>
              <w:jc w:val="both"/>
              <w:rPr>
                <w:rFonts w:ascii="Arial" w:eastAsia="Times New Roman" w:hAnsi="Arial" w:cs="Arial"/>
                <w:b/>
                <w:bCs/>
                <w:color w:val="000000" w:themeColor="text1"/>
                <w:sz w:val="24"/>
                <w:szCs w:val="24"/>
              </w:rPr>
            </w:pPr>
          </w:p>
        </w:tc>
        <w:tc>
          <w:tcPr>
            <w:tcW w:w="311" w:type="pct"/>
            <w:tcBorders>
              <w:top w:val="single" w:sz="4" w:space="0" w:color="auto"/>
              <w:bottom w:val="single" w:sz="4" w:space="0" w:color="auto"/>
              <w:right w:val="nil"/>
            </w:tcBorders>
            <w:shd w:val="clear" w:color="auto" w:fill="auto"/>
            <w:noWrap/>
            <w:vAlign w:val="bottom"/>
          </w:tcPr>
          <w:p w14:paraId="5DD0155B" w14:textId="77777777" w:rsidR="001F4CEB" w:rsidRPr="00B13CBE" w:rsidRDefault="001F4CEB" w:rsidP="00781A3B">
            <w:pPr>
              <w:spacing w:after="0" w:line="360" w:lineRule="auto"/>
              <w:jc w:val="both"/>
              <w:rPr>
                <w:rFonts w:ascii="Arial" w:eastAsia="Times New Roman" w:hAnsi="Arial" w:cs="Arial"/>
                <w:b/>
                <w:bCs/>
                <w:color w:val="000000" w:themeColor="text1"/>
                <w:sz w:val="24"/>
                <w:szCs w:val="24"/>
              </w:rPr>
            </w:pPr>
          </w:p>
        </w:tc>
        <w:tc>
          <w:tcPr>
            <w:tcW w:w="1061" w:type="pct"/>
            <w:tcBorders>
              <w:top w:val="single" w:sz="4" w:space="0" w:color="auto"/>
              <w:left w:val="nil"/>
              <w:bottom w:val="single" w:sz="4" w:space="0" w:color="auto"/>
            </w:tcBorders>
            <w:shd w:val="clear" w:color="auto" w:fill="auto"/>
            <w:noWrap/>
            <w:vAlign w:val="bottom"/>
          </w:tcPr>
          <w:p w14:paraId="12D02CD0" w14:textId="77777777" w:rsidR="001F4CEB"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ADF statistic</w:t>
            </w:r>
          </w:p>
        </w:tc>
        <w:tc>
          <w:tcPr>
            <w:tcW w:w="686" w:type="pct"/>
            <w:tcBorders>
              <w:top w:val="single" w:sz="4" w:space="0" w:color="auto"/>
              <w:bottom w:val="single" w:sz="4" w:space="0" w:color="auto"/>
            </w:tcBorders>
            <w:shd w:val="clear" w:color="auto" w:fill="auto"/>
            <w:noWrap/>
            <w:vAlign w:val="bottom"/>
          </w:tcPr>
          <w:p w14:paraId="5753D87D" w14:textId="77777777" w:rsidR="001F4CEB" w:rsidRPr="00B13CBE" w:rsidRDefault="001F4CEB" w:rsidP="00781A3B">
            <w:pPr>
              <w:spacing w:after="0" w:line="360" w:lineRule="auto"/>
              <w:jc w:val="both"/>
              <w:rPr>
                <w:rFonts w:ascii="Arial" w:eastAsia="Times New Roman" w:hAnsi="Arial" w:cs="Arial"/>
                <w:b/>
                <w:bCs/>
                <w:color w:val="000000" w:themeColor="text1"/>
                <w:sz w:val="24"/>
                <w:szCs w:val="24"/>
              </w:rPr>
            </w:pPr>
          </w:p>
        </w:tc>
        <w:tc>
          <w:tcPr>
            <w:tcW w:w="686" w:type="pct"/>
            <w:tcBorders>
              <w:top w:val="single" w:sz="4" w:space="0" w:color="auto"/>
              <w:bottom w:val="single" w:sz="4" w:space="0" w:color="auto"/>
            </w:tcBorders>
            <w:shd w:val="clear" w:color="auto" w:fill="auto"/>
            <w:noWrap/>
            <w:vAlign w:val="bottom"/>
          </w:tcPr>
          <w:p w14:paraId="46A524B4" w14:textId="77777777" w:rsidR="001F4CEB"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43DB1065" w14:textId="77777777" w:rsidTr="007048E9">
        <w:trPr>
          <w:trHeight w:val="288"/>
        </w:trPr>
        <w:tc>
          <w:tcPr>
            <w:tcW w:w="1571" w:type="pct"/>
            <w:tcBorders>
              <w:top w:val="single" w:sz="4" w:space="0" w:color="auto"/>
            </w:tcBorders>
            <w:shd w:val="clear" w:color="auto" w:fill="auto"/>
            <w:noWrap/>
            <w:vAlign w:val="bottom"/>
            <w:hideMark/>
          </w:tcPr>
          <w:p w14:paraId="1F0BABE7"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S&amp;P 500.</w:t>
            </w:r>
          </w:p>
        </w:tc>
        <w:tc>
          <w:tcPr>
            <w:tcW w:w="686" w:type="pct"/>
            <w:tcBorders>
              <w:top w:val="single" w:sz="4" w:space="0" w:color="auto"/>
            </w:tcBorders>
            <w:shd w:val="clear" w:color="auto" w:fill="auto"/>
            <w:noWrap/>
            <w:vAlign w:val="bottom"/>
            <w:hideMark/>
          </w:tcPr>
          <w:p w14:paraId="1DCE8D52"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top w:val="single" w:sz="4" w:space="0" w:color="auto"/>
              <w:right w:val="nil"/>
            </w:tcBorders>
            <w:shd w:val="clear" w:color="auto" w:fill="auto"/>
            <w:noWrap/>
            <w:vAlign w:val="bottom"/>
            <w:hideMark/>
          </w:tcPr>
          <w:p w14:paraId="18103272"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top w:val="single" w:sz="4" w:space="0" w:color="auto"/>
              <w:left w:val="nil"/>
            </w:tcBorders>
            <w:shd w:val="clear" w:color="auto" w:fill="auto"/>
            <w:noWrap/>
            <w:vAlign w:val="bottom"/>
            <w:hideMark/>
          </w:tcPr>
          <w:p w14:paraId="406C06F9"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-10.2039</w:t>
            </w:r>
            <w:r w:rsidR="007048E9" w:rsidRPr="00B13CBE">
              <w:rPr>
                <w:rFonts w:ascii="Arial" w:eastAsia="Times New Roman" w:hAnsi="Arial" w:cs="Arial"/>
                <w:color w:val="000000" w:themeColor="text1"/>
                <w:sz w:val="24"/>
                <w:szCs w:val="24"/>
              </w:rPr>
              <w:t>***</w:t>
            </w:r>
          </w:p>
        </w:tc>
        <w:tc>
          <w:tcPr>
            <w:tcW w:w="686" w:type="pct"/>
            <w:tcBorders>
              <w:top w:val="single" w:sz="4" w:space="0" w:color="auto"/>
            </w:tcBorders>
            <w:shd w:val="clear" w:color="auto" w:fill="auto"/>
            <w:noWrap/>
            <w:vAlign w:val="bottom"/>
            <w:hideMark/>
          </w:tcPr>
          <w:p w14:paraId="0B5443D8"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tcBorders>
              <w:top w:val="single" w:sz="4" w:space="0" w:color="auto"/>
            </w:tcBorders>
            <w:shd w:val="clear" w:color="auto" w:fill="auto"/>
            <w:noWrap/>
            <w:vAlign w:val="bottom"/>
            <w:hideMark/>
          </w:tcPr>
          <w:p w14:paraId="3ABB7096"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7D9C63DE" w14:textId="77777777" w:rsidTr="007048E9">
        <w:trPr>
          <w:trHeight w:val="288"/>
        </w:trPr>
        <w:tc>
          <w:tcPr>
            <w:tcW w:w="1571" w:type="pct"/>
            <w:shd w:val="clear" w:color="auto" w:fill="auto"/>
            <w:noWrap/>
            <w:vAlign w:val="bottom"/>
            <w:hideMark/>
          </w:tcPr>
          <w:p w14:paraId="4610CDBB"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Dow Jones</w:t>
            </w:r>
          </w:p>
        </w:tc>
        <w:tc>
          <w:tcPr>
            <w:tcW w:w="686" w:type="pct"/>
            <w:shd w:val="clear" w:color="auto" w:fill="auto"/>
            <w:noWrap/>
            <w:vAlign w:val="bottom"/>
            <w:hideMark/>
          </w:tcPr>
          <w:p w14:paraId="0DB14D03"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65E429E7"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7D287D7F"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-10.3544</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156377A3"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23F15D7E"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15786C51" w14:textId="77777777" w:rsidTr="007048E9">
        <w:trPr>
          <w:trHeight w:val="288"/>
        </w:trPr>
        <w:tc>
          <w:tcPr>
            <w:tcW w:w="1571" w:type="pct"/>
            <w:shd w:val="clear" w:color="auto" w:fill="auto"/>
            <w:noWrap/>
            <w:vAlign w:val="bottom"/>
            <w:hideMark/>
          </w:tcPr>
          <w:p w14:paraId="73B02538"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NASDAQ</w:t>
            </w:r>
          </w:p>
        </w:tc>
        <w:tc>
          <w:tcPr>
            <w:tcW w:w="686" w:type="pct"/>
            <w:shd w:val="clear" w:color="auto" w:fill="auto"/>
            <w:noWrap/>
            <w:vAlign w:val="bottom"/>
            <w:hideMark/>
          </w:tcPr>
          <w:p w14:paraId="4790D300"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19FB7202"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5E516362"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-10.301</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735E8A54"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0CEDAFA8"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23DC6D59" w14:textId="77777777" w:rsidTr="007048E9">
        <w:trPr>
          <w:trHeight w:val="288"/>
        </w:trPr>
        <w:tc>
          <w:tcPr>
            <w:tcW w:w="1571" w:type="pct"/>
            <w:shd w:val="clear" w:color="auto" w:fill="auto"/>
            <w:noWrap/>
            <w:vAlign w:val="bottom"/>
            <w:hideMark/>
          </w:tcPr>
          <w:p w14:paraId="47E02050"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Russel 2000</w:t>
            </w:r>
          </w:p>
        </w:tc>
        <w:tc>
          <w:tcPr>
            <w:tcW w:w="686" w:type="pct"/>
            <w:shd w:val="clear" w:color="auto" w:fill="auto"/>
            <w:noWrap/>
            <w:vAlign w:val="bottom"/>
            <w:hideMark/>
          </w:tcPr>
          <w:p w14:paraId="7C448270"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6B4CF9AC"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03132669"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-9.54882</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10B5456B"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1534C0FD"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4C604426" w14:textId="77777777" w:rsidTr="007048E9">
        <w:trPr>
          <w:trHeight w:val="288"/>
        </w:trPr>
        <w:tc>
          <w:tcPr>
            <w:tcW w:w="1571" w:type="pct"/>
            <w:shd w:val="clear" w:color="auto" w:fill="auto"/>
            <w:noWrap/>
            <w:vAlign w:val="bottom"/>
            <w:hideMark/>
          </w:tcPr>
          <w:p w14:paraId="5A5BB517"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DAX Performance Index</w:t>
            </w:r>
          </w:p>
        </w:tc>
        <w:tc>
          <w:tcPr>
            <w:tcW w:w="686" w:type="pct"/>
            <w:shd w:val="clear" w:color="auto" w:fill="auto"/>
            <w:noWrap/>
            <w:vAlign w:val="bottom"/>
            <w:hideMark/>
          </w:tcPr>
          <w:p w14:paraId="0B3F1152"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0D8821BA"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3A82931E"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-10.4251</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3E52C8BB"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08EB77D1"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33DDA56B" w14:textId="77777777" w:rsidTr="007048E9">
        <w:trPr>
          <w:trHeight w:val="288"/>
        </w:trPr>
        <w:tc>
          <w:tcPr>
            <w:tcW w:w="1571" w:type="pct"/>
            <w:shd w:val="clear" w:color="auto" w:fill="auto"/>
            <w:noWrap/>
            <w:vAlign w:val="bottom"/>
            <w:hideMark/>
          </w:tcPr>
          <w:p w14:paraId="24233AA0"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CAC 40</w:t>
            </w:r>
          </w:p>
        </w:tc>
        <w:tc>
          <w:tcPr>
            <w:tcW w:w="686" w:type="pct"/>
            <w:shd w:val="clear" w:color="auto" w:fill="auto"/>
            <w:noWrap/>
            <w:vAlign w:val="bottom"/>
            <w:hideMark/>
          </w:tcPr>
          <w:p w14:paraId="768CD746"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142B9FC1"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689C6463"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-10.7443</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52C4096C"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45AA5DCF"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5DD567EB" w14:textId="77777777" w:rsidTr="007048E9">
        <w:trPr>
          <w:trHeight w:val="288"/>
        </w:trPr>
        <w:tc>
          <w:tcPr>
            <w:tcW w:w="1571" w:type="pct"/>
            <w:shd w:val="clear" w:color="auto" w:fill="auto"/>
            <w:noWrap/>
            <w:vAlign w:val="bottom"/>
            <w:hideMark/>
          </w:tcPr>
          <w:p w14:paraId="591FBDD4"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FTSE</w:t>
            </w:r>
          </w:p>
        </w:tc>
        <w:tc>
          <w:tcPr>
            <w:tcW w:w="686" w:type="pct"/>
            <w:shd w:val="clear" w:color="auto" w:fill="auto"/>
            <w:noWrap/>
            <w:vAlign w:val="bottom"/>
            <w:hideMark/>
          </w:tcPr>
          <w:p w14:paraId="31C2648E"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09985CB4"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352912F3"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-10.8642</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03C8B88B"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465C4BD1"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0A10C069" w14:textId="77777777" w:rsidTr="007048E9">
        <w:trPr>
          <w:trHeight w:val="288"/>
        </w:trPr>
        <w:tc>
          <w:tcPr>
            <w:tcW w:w="1571" w:type="pct"/>
            <w:shd w:val="clear" w:color="auto" w:fill="auto"/>
            <w:noWrap/>
            <w:vAlign w:val="bottom"/>
            <w:hideMark/>
          </w:tcPr>
          <w:p w14:paraId="5F0077CA"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NIKKEI</w:t>
            </w:r>
          </w:p>
        </w:tc>
        <w:tc>
          <w:tcPr>
            <w:tcW w:w="686" w:type="pct"/>
            <w:shd w:val="clear" w:color="auto" w:fill="auto"/>
            <w:noWrap/>
            <w:vAlign w:val="bottom"/>
            <w:hideMark/>
          </w:tcPr>
          <w:p w14:paraId="30005CEC"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18F989BA"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38255CB1"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-10.1358</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0C61CE04"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1F292F85"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30175A24" w14:textId="77777777" w:rsidTr="007048E9">
        <w:trPr>
          <w:trHeight w:val="288"/>
        </w:trPr>
        <w:tc>
          <w:tcPr>
            <w:tcW w:w="1571" w:type="pct"/>
            <w:shd w:val="clear" w:color="auto" w:fill="auto"/>
            <w:noWrap/>
            <w:vAlign w:val="bottom"/>
            <w:hideMark/>
          </w:tcPr>
          <w:p w14:paraId="3FB22D5F" w14:textId="6FAD7C8F"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w:t>
            </w:r>
            <w:r w:rsidR="000C2323"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SENG</w:t>
            </w:r>
          </w:p>
        </w:tc>
        <w:tc>
          <w:tcPr>
            <w:tcW w:w="686" w:type="pct"/>
            <w:shd w:val="clear" w:color="auto" w:fill="auto"/>
            <w:noWrap/>
            <w:vAlign w:val="bottom"/>
            <w:hideMark/>
          </w:tcPr>
          <w:p w14:paraId="31837C51"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1C44EAFF"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1AF7FBA0"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-10.2946</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367CEB70"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7160F802"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5B474207" w14:textId="77777777" w:rsidTr="007048E9">
        <w:trPr>
          <w:trHeight w:val="288"/>
        </w:trPr>
        <w:tc>
          <w:tcPr>
            <w:tcW w:w="1571" w:type="pct"/>
            <w:shd w:val="clear" w:color="auto" w:fill="auto"/>
            <w:noWrap/>
            <w:vAlign w:val="bottom"/>
            <w:hideMark/>
          </w:tcPr>
          <w:p w14:paraId="0AE9E2D6"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SHENZHEN</w:t>
            </w:r>
          </w:p>
        </w:tc>
        <w:tc>
          <w:tcPr>
            <w:tcW w:w="686" w:type="pct"/>
            <w:shd w:val="clear" w:color="auto" w:fill="auto"/>
            <w:noWrap/>
            <w:vAlign w:val="bottom"/>
            <w:hideMark/>
          </w:tcPr>
          <w:p w14:paraId="49AFD15B"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78FF70F0"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7A9CA211"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-10.1289</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6602622E"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047D703B"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4ED6C8DE" w14:textId="77777777" w:rsidTr="007048E9">
        <w:trPr>
          <w:trHeight w:val="288"/>
        </w:trPr>
        <w:tc>
          <w:tcPr>
            <w:tcW w:w="1571" w:type="pct"/>
            <w:shd w:val="clear" w:color="auto" w:fill="auto"/>
            <w:noWrap/>
            <w:vAlign w:val="bottom"/>
            <w:hideMark/>
          </w:tcPr>
          <w:p w14:paraId="57BCE207"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686" w:type="pct"/>
            <w:shd w:val="clear" w:color="auto" w:fill="auto"/>
            <w:noWrap/>
            <w:vAlign w:val="bottom"/>
            <w:hideMark/>
          </w:tcPr>
          <w:p w14:paraId="04381E6F"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right w:val="nil"/>
            </w:tcBorders>
            <w:shd w:val="clear" w:color="auto" w:fill="auto"/>
            <w:noWrap/>
            <w:vAlign w:val="bottom"/>
            <w:hideMark/>
          </w:tcPr>
          <w:p w14:paraId="77F42D69"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tcBorders>
            <w:shd w:val="clear" w:color="auto" w:fill="auto"/>
            <w:noWrap/>
            <w:vAlign w:val="bottom"/>
            <w:hideMark/>
          </w:tcPr>
          <w:p w14:paraId="6D7F11F9"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-10.472</w:t>
            </w:r>
            <w:r w:rsidR="007048E9" w:rsidRPr="00B13CBE">
              <w:rPr>
                <w:rFonts w:ascii="Arial" w:eastAsia="Times New Roman" w:hAnsi="Arial" w:cs="Arial"/>
                <w:color w:val="000000" w:themeColor="text1"/>
                <w:sz w:val="24"/>
                <w:szCs w:val="24"/>
              </w:rPr>
              <w:t>***</w:t>
            </w:r>
          </w:p>
        </w:tc>
        <w:tc>
          <w:tcPr>
            <w:tcW w:w="686" w:type="pct"/>
            <w:shd w:val="clear" w:color="auto" w:fill="auto"/>
            <w:noWrap/>
            <w:vAlign w:val="bottom"/>
            <w:hideMark/>
          </w:tcPr>
          <w:p w14:paraId="3EE16EF9"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shd w:val="clear" w:color="auto" w:fill="auto"/>
            <w:noWrap/>
            <w:vAlign w:val="bottom"/>
            <w:hideMark/>
          </w:tcPr>
          <w:p w14:paraId="696B277D"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4379AD" w:rsidRPr="00B13CBE" w14:paraId="6D5D5D3F" w14:textId="77777777" w:rsidTr="007048E9">
        <w:trPr>
          <w:trHeight w:val="288"/>
        </w:trPr>
        <w:tc>
          <w:tcPr>
            <w:tcW w:w="1571" w:type="pct"/>
            <w:tcBorders>
              <w:bottom w:val="single" w:sz="4" w:space="0" w:color="auto"/>
            </w:tcBorders>
            <w:shd w:val="clear" w:color="auto" w:fill="auto"/>
            <w:noWrap/>
            <w:vAlign w:val="bottom"/>
            <w:hideMark/>
          </w:tcPr>
          <w:p w14:paraId="20E4BA0D"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lastRenderedPageBreak/>
              <w:t>Jakarta Islamic Index</w:t>
            </w:r>
          </w:p>
        </w:tc>
        <w:tc>
          <w:tcPr>
            <w:tcW w:w="686" w:type="pct"/>
            <w:tcBorders>
              <w:bottom w:val="single" w:sz="4" w:space="0" w:color="auto"/>
            </w:tcBorders>
            <w:shd w:val="clear" w:color="auto" w:fill="auto"/>
            <w:noWrap/>
            <w:vAlign w:val="bottom"/>
            <w:hideMark/>
          </w:tcPr>
          <w:p w14:paraId="01C2508E"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311" w:type="pct"/>
            <w:tcBorders>
              <w:bottom w:val="single" w:sz="4" w:space="0" w:color="auto"/>
              <w:right w:val="nil"/>
            </w:tcBorders>
            <w:shd w:val="clear" w:color="auto" w:fill="auto"/>
            <w:noWrap/>
            <w:vAlign w:val="bottom"/>
            <w:hideMark/>
          </w:tcPr>
          <w:p w14:paraId="1699042C"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1061" w:type="pct"/>
            <w:tcBorders>
              <w:left w:val="nil"/>
              <w:bottom w:val="single" w:sz="4" w:space="0" w:color="auto"/>
            </w:tcBorders>
            <w:shd w:val="clear" w:color="auto" w:fill="auto"/>
            <w:noWrap/>
            <w:vAlign w:val="bottom"/>
            <w:hideMark/>
          </w:tcPr>
          <w:p w14:paraId="0741C263"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-11.9352</w:t>
            </w:r>
            <w:r w:rsidR="007048E9" w:rsidRPr="00B13CBE">
              <w:rPr>
                <w:rFonts w:ascii="Arial" w:eastAsia="Times New Roman" w:hAnsi="Arial" w:cs="Arial"/>
                <w:color w:val="000000" w:themeColor="text1"/>
                <w:sz w:val="24"/>
                <w:szCs w:val="24"/>
              </w:rPr>
              <w:t>***</w:t>
            </w:r>
          </w:p>
        </w:tc>
        <w:tc>
          <w:tcPr>
            <w:tcW w:w="686" w:type="pct"/>
            <w:tcBorders>
              <w:bottom w:val="single" w:sz="4" w:space="0" w:color="auto"/>
            </w:tcBorders>
            <w:shd w:val="clear" w:color="auto" w:fill="auto"/>
            <w:noWrap/>
            <w:vAlign w:val="bottom"/>
            <w:hideMark/>
          </w:tcPr>
          <w:p w14:paraId="00CB1581" w14:textId="77777777" w:rsidR="001F4CEB" w:rsidRPr="00B13CBE" w:rsidRDefault="001F4CEB" w:rsidP="00781A3B">
            <w:pPr>
              <w:spacing w:after="0" w:line="360" w:lineRule="auto"/>
              <w:jc w:val="both"/>
              <w:rPr>
                <w:rFonts w:ascii="Arial" w:eastAsia="Times New Roman" w:hAnsi="Arial" w:cs="Arial"/>
                <w:color w:val="000000" w:themeColor="text1"/>
                <w:sz w:val="24"/>
                <w:szCs w:val="24"/>
              </w:rPr>
            </w:pPr>
          </w:p>
        </w:tc>
        <w:tc>
          <w:tcPr>
            <w:tcW w:w="686" w:type="pct"/>
            <w:tcBorders>
              <w:bottom w:val="single" w:sz="4" w:space="0" w:color="auto"/>
            </w:tcBorders>
            <w:shd w:val="clear" w:color="auto" w:fill="auto"/>
            <w:noWrap/>
            <w:vAlign w:val="bottom"/>
            <w:hideMark/>
          </w:tcPr>
          <w:p w14:paraId="0A04988F" w14:textId="77777777" w:rsidR="001F4CEB"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w:t>
            </w:r>
          </w:p>
        </w:tc>
      </w:tr>
      <w:tr w:rsidR="00581A28" w:rsidRPr="00B13CBE" w14:paraId="7F24EB17" w14:textId="77777777" w:rsidTr="007048E9">
        <w:trPr>
          <w:trHeight w:val="288"/>
        </w:trPr>
        <w:tc>
          <w:tcPr>
            <w:tcW w:w="5000" w:type="pct"/>
            <w:gridSpan w:val="6"/>
            <w:tcBorders>
              <w:top w:val="single" w:sz="4" w:space="0" w:color="auto"/>
              <w:bottom w:val="single" w:sz="4" w:space="0" w:color="auto"/>
            </w:tcBorders>
            <w:shd w:val="clear" w:color="auto" w:fill="auto"/>
            <w:noWrap/>
            <w:vAlign w:val="bottom"/>
          </w:tcPr>
          <w:p w14:paraId="31CF212D" w14:textId="77777777" w:rsidR="007048E9"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p w14:paraId="72389123" w14:textId="77777777" w:rsidR="00C32DCA"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R’s output fails to show very small p-values and simply sets them equal to 0.01</w:t>
            </w:r>
          </w:p>
        </w:tc>
      </w:tr>
    </w:tbl>
    <w:p w14:paraId="465BC977" w14:textId="77777777" w:rsidR="001F4CEB" w:rsidRPr="00B13CBE" w:rsidRDefault="001F4CEB" w:rsidP="00781A3B">
      <w:pPr>
        <w:spacing w:line="360" w:lineRule="auto"/>
        <w:jc w:val="both"/>
        <w:rPr>
          <w:rFonts w:ascii="Arial" w:hAnsi="Arial" w:cs="Arial"/>
          <w:color w:val="000000" w:themeColor="text1"/>
          <w:sz w:val="24"/>
          <w:szCs w:val="24"/>
        </w:rPr>
      </w:pPr>
    </w:p>
    <w:p w14:paraId="4A4CBAAA" w14:textId="77777777" w:rsidR="001F4CEB" w:rsidRPr="00B13CBE" w:rsidRDefault="00C4772C" w:rsidP="00781A3B">
      <w:pPr>
        <w:pStyle w:val="BodyText"/>
        <w:spacing w:before="0" w:after="0" w:line="360" w:lineRule="auto"/>
        <w:jc w:val="both"/>
        <w:rPr>
          <w:rFonts w:ascii="Arial" w:hAnsi="Arial" w:cs="Arial"/>
          <w:color w:val="000000" w:themeColor="text1"/>
        </w:rPr>
      </w:pPr>
      <w:r w:rsidRPr="00B13CBE">
        <w:rPr>
          <w:rFonts w:ascii="Arial" w:hAnsi="Arial" w:cs="Arial"/>
          <w:color w:val="000000" w:themeColor="text1"/>
        </w:rPr>
        <w:t>For all the index return series, the p-values of the ADF test statistic were less than 0.01 and therefore the null hypothesis of a unit root and hence non-stationarity was rejected at a 99% level of significance. This means that all the series were stationary and Maximum Likelihood estimates of the GARCH parameters would converge.</w:t>
      </w:r>
    </w:p>
    <w:p w14:paraId="7CA1DCD4" w14:textId="77777777" w:rsidR="007048E9" w:rsidRPr="00B13CBE" w:rsidRDefault="00C4772C" w:rsidP="00781A3B">
      <w:pPr>
        <w:pStyle w:val="Heading2"/>
        <w:spacing w:before="0"/>
      </w:pPr>
      <w:bookmarkStart w:id="39" w:name="_Toc82603371"/>
      <w:r w:rsidRPr="00B13CBE">
        <w:t xml:space="preserve">Results of the </w:t>
      </w:r>
      <w:r w:rsidR="00C32DCA" w:rsidRPr="00B13CBE">
        <w:t>ARCH Effects Tests</w:t>
      </w:r>
      <w:bookmarkEnd w:id="39"/>
    </w:p>
    <w:p w14:paraId="68A19F62" w14:textId="77777777" w:rsidR="007048E9"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GARCH models are meant for series that have conditional heteroscedasticity</w:t>
      </w:r>
      <w:r w:rsidR="00525F1F" w:rsidRPr="00B13CBE">
        <w:rPr>
          <w:rFonts w:ascii="Arial" w:hAnsi="Arial" w:cs="Arial"/>
          <w:color w:val="000000" w:themeColor="text1"/>
          <w:sz w:val="24"/>
          <w:szCs w:val="24"/>
        </w:rPr>
        <w:t xml:space="preserve"> or ‘ARCH effects’. ARCH-LM test was performed on each of the 12 index return series to formalize whether conditional heteroscedasticity was present or not. The results are shown in Table </w:t>
      </w:r>
      <w:r w:rsidRPr="00B13CBE">
        <w:rPr>
          <w:rFonts w:ascii="Arial" w:hAnsi="Arial" w:cs="Arial"/>
          <w:color w:val="000000" w:themeColor="text1"/>
          <w:sz w:val="24"/>
          <w:szCs w:val="24"/>
        </w:rPr>
        <w:t>3</w:t>
      </w:r>
      <w:r w:rsidR="00525F1F" w:rsidRPr="00B13CBE">
        <w:rPr>
          <w:rFonts w:ascii="Arial" w:hAnsi="Arial" w:cs="Arial"/>
          <w:color w:val="000000" w:themeColor="text1"/>
          <w:sz w:val="24"/>
          <w:szCs w:val="24"/>
        </w:rPr>
        <w:t>. The null hypothesis of the ARCH-LM test is that there is no conditional heteroscedasticity in the series</w:t>
      </w:r>
      <w:r w:rsidRPr="00B13CBE">
        <w:rPr>
          <w:rFonts w:ascii="Arial" w:hAnsi="Arial" w:cs="Arial"/>
          <w:color w:val="000000" w:themeColor="text1"/>
          <w:sz w:val="24"/>
          <w:szCs w:val="24"/>
        </w:rPr>
        <w:t xml:space="preserve"> and the alternative hypothesis is that there is conditional heteroscedasticity in the series.</w:t>
      </w:r>
      <w:r w:rsidR="00525F1F" w:rsidRPr="00B13CBE">
        <w:rPr>
          <w:rFonts w:ascii="Arial" w:hAnsi="Arial" w:cs="Arial"/>
          <w:color w:val="000000" w:themeColor="text1"/>
          <w:sz w:val="24"/>
          <w:szCs w:val="24"/>
        </w:rPr>
        <w:t xml:space="preserve"> </w:t>
      </w:r>
    </w:p>
    <w:p w14:paraId="1B6C61DF" w14:textId="77777777" w:rsidR="00525F1F" w:rsidRPr="00B13CBE" w:rsidRDefault="00C4772C" w:rsidP="00781A3B">
      <w:pPr>
        <w:pStyle w:val="Caption"/>
        <w:keepNext/>
        <w:spacing w:line="360" w:lineRule="auto"/>
        <w:jc w:val="both"/>
        <w:rPr>
          <w:rFonts w:ascii="Arial" w:hAnsi="Arial" w:cs="Arial"/>
          <w:color w:val="000000" w:themeColor="text1"/>
        </w:rPr>
      </w:pPr>
      <w:bookmarkStart w:id="40" w:name="_Toc82603414"/>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3</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 ARCH-LM </w:t>
      </w:r>
      <w:r w:rsidR="0078397F" w:rsidRPr="00B13CBE">
        <w:rPr>
          <w:rFonts w:ascii="Arial" w:hAnsi="Arial" w:cs="Arial"/>
          <w:color w:val="000000" w:themeColor="text1"/>
        </w:rPr>
        <w:t>T</w:t>
      </w:r>
      <w:r w:rsidRPr="00B13CBE">
        <w:rPr>
          <w:rFonts w:ascii="Arial" w:hAnsi="Arial" w:cs="Arial"/>
          <w:color w:val="000000" w:themeColor="text1"/>
        </w:rPr>
        <w:t xml:space="preserve">est </w:t>
      </w:r>
      <w:r w:rsidR="0078397F" w:rsidRPr="00B13CBE">
        <w:rPr>
          <w:rFonts w:ascii="Arial" w:hAnsi="Arial" w:cs="Arial"/>
          <w:color w:val="000000" w:themeColor="text1"/>
        </w:rPr>
        <w:t>R</w:t>
      </w:r>
      <w:r w:rsidRPr="00B13CBE">
        <w:rPr>
          <w:rFonts w:ascii="Arial" w:hAnsi="Arial" w:cs="Arial"/>
          <w:color w:val="000000" w:themeColor="text1"/>
        </w:rPr>
        <w:t xml:space="preserve">esults for </w:t>
      </w:r>
      <w:r w:rsidR="0078397F" w:rsidRPr="00B13CBE">
        <w:rPr>
          <w:rFonts w:ascii="Arial" w:hAnsi="Arial" w:cs="Arial"/>
          <w:color w:val="000000" w:themeColor="text1"/>
        </w:rPr>
        <w:t>T</w:t>
      </w:r>
      <w:r w:rsidRPr="00B13CBE">
        <w:rPr>
          <w:rFonts w:ascii="Arial" w:hAnsi="Arial" w:cs="Arial"/>
          <w:color w:val="000000" w:themeColor="text1"/>
        </w:rPr>
        <w:t xml:space="preserve">he </w:t>
      </w:r>
      <w:r w:rsidR="0078397F" w:rsidRPr="00B13CBE">
        <w:rPr>
          <w:rFonts w:ascii="Arial" w:hAnsi="Arial" w:cs="Arial"/>
          <w:color w:val="000000" w:themeColor="text1"/>
        </w:rPr>
        <w:t>I</w:t>
      </w:r>
      <w:r w:rsidRPr="00B13CBE">
        <w:rPr>
          <w:rFonts w:ascii="Arial" w:hAnsi="Arial" w:cs="Arial"/>
          <w:color w:val="000000" w:themeColor="text1"/>
        </w:rPr>
        <w:t xml:space="preserve">ndex </w:t>
      </w:r>
      <w:r w:rsidR="0078397F" w:rsidRPr="00B13CBE">
        <w:rPr>
          <w:rFonts w:ascii="Arial" w:hAnsi="Arial" w:cs="Arial"/>
          <w:color w:val="000000" w:themeColor="text1"/>
        </w:rPr>
        <w:t>R</w:t>
      </w:r>
      <w:r w:rsidRPr="00B13CBE">
        <w:rPr>
          <w:rFonts w:ascii="Arial" w:hAnsi="Arial" w:cs="Arial"/>
          <w:color w:val="000000" w:themeColor="text1"/>
        </w:rPr>
        <w:t xml:space="preserve">eturn </w:t>
      </w:r>
      <w:r w:rsidR="0078397F" w:rsidRPr="00B13CBE">
        <w:rPr>
          <w:rFonts w:ascii="Arial" w:hAnsi="Arial" w:cs="Arial"/>
          <w:color w:val="000000" w:themeColor="text1"/>
        </w:rPr>
        <w:t>S</w:t>
      </w:r>
      <w:r w:rsidRPr="00B13CBE">
        <w:rPr>
          <w:rFonts w:ascii="Arial" w:hAnsi="Arial" w:cs="Arial"/>
          <w:color w:val="000000" w:themeColor="text1"/>
        </w:rPr>
        <w:t>eries</w:t>
      </w:r>
      <w:bookmarkEnd w:id="40"/>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978"/>
        <w:gridCol w:w="1330"/>
        <w:gridCol w:w="1331"/>
        <w:gridCol w:w="1391"/>
        <w:gridCol w:w="1600"/>
      </w:tblGrid>
      <w:tr w:rsidR="004379AD" w:rsidRPr="00B13CBE" w14:paraId="1B68DB54" w14:textId="77777777" w:rsidTr="00525F1F">
        <w:trPr>
          <w:trHeight w:val="288"/>
        </w:trPr>
        <w:tc>
          <w:tcPr>
            <w:tcW w:w="1755" w:type="pct"/>
            <w:tcBorders>
              <w:top w:val="single" w:sz="4" w:space="0" w:color="auto"/>
              <w:bottom w:val="single" w:sz="4" w:space="0" w:color="auto"/>
            </w:tcBorders>
            <w:shd w:val="clear" w:color="auto" w:fill="auto"/>
            <w:noWrap/>
            <w:vAlign w:val="bottom"/>
          </w:tcPr>
          <w:p w14:paraId="27F377BD" w14:textId="77777777" w:rsidR="00525F1F"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Index</w:t>
            </w:r>
          </w:p>
        </w:tc>
        <w:tc>
          <w:tcPr>
            <w:tcW w:w="761" w:type="pct"/>
            <w:tcBorders>
              <w:top w:val="single" w:sz="4" w:space="0" w:color="auto"/>
              <w:bottom w:val="single" w:sz="4" w:space="0" w:color="auto"/>
            </w:tcBorders>
            <w:shd w:val="clear" w:color="auto" w:fill="auto"/>
            <w:noWrap/>
            <w:vAlign w:val="bottom"/>
          </w:tcPr>
          <w:p w14:paraId="42454B54" w14:textId="77777777" w:rsidR="00525F1F" w:rsidRPr="00B13CBE" w:rsidRDefault="00525F1F" w:rsidP="00781A3B">
            <w:pPr>
              <w:spacing w:after="0" w:line="360" w:lineRule="auto"/>
              <w:jc w:val="both"/>
              <w:rPr>
                <w:rFonts w:ascii="Arial" w:eastAsia="Times New Roman" w:hAnsi="Arial" w:cs="Arial"/>
                <w:b/>
                <w:bCs/>
                <w:color w:val="000000" w:themeColor="text1"/>
                <w:sz w:val="24"/>
                <w:szCs w:val="24"/>
              </w:rPr>
            </w:pPr>
          </w:p>
        </w:tc>
        <w:tc>
          <w:tcPr>
            <w:tcW w:w="762" w:type="pct"/>
            <w:tcBorders>
              <w:top w:val="single" w:sz="4" w:space="0" w:color="auto"/>
              <w:bottom w:val="single" w:sz="4" w:space="0" w:color="auto"/>
            </w:tcBorders>
            <w:shd w:val="clear" w:color="auto" w:fill="auto"/>
            <w:noWrap/>
            <w:vAlign w:val="bottom"/>
          </w:tcPr>
          <w:p w14:paraId="77679BCC" w14:textId="77777777" w:rsidR="00525F1F" w:rsidRPr="00B13CBE" w:rsidRDefault="00525F1F" w:rsidP="00781A3B">
            <w:pPr>
              <w:spacing w:after="0" w:line="360" w:lineRule="auto"/>
              <w:jc w:val="both"/>
              <w:rPr>
                <w:rFonts w:ascii="Arial" w:eastAsia="Times New Roman" w:hAnsi="Arial" w:cs="Arial"/>
                <w:b/>
                <w:bCs/>
                <w:color w:val="000000" w:themeColor="text1"/>
                <w:sz w:val="24"/>
                <w:szCs w:val="24"/>
              </w:rPr>
            </w:pPr>
          </w:p>
        </w:tc>
        <w:tc>
          <w:tcPr>
            <w:tcW w:w="798" w:type="pct"/>
            <w:tcBorders>
              <w:top w:val="single" w:sz="4" w:space="0" w:color="auto"/>
              <w:bottom w:val="single" w:sz="4" w:space="0" w:color="auto"/>
            </w:tcBorders>
            <w:shd w:val="clear" w:color="auto" w:fill="auto"/>
            <w:noWrap/>
            <w:vAlign w:val="bottom"/>
          </w:tcPr>
          <w:p w14:paraId="5CD0C97C" w14:textId="77777777" w:rsidR="00525F1F"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ARCH statistic</w:t>
            </w:r>
          </w:p>
        </w:tc>
        <w:tc>
          <w:tcPr>
            <w:tcW w:w="924" w:type="pct"/>
            <w:tcBorders>
              <w:top w:val="single" w:sz="4" w:space="0" w:color="auto"/>
              <w:bottom w:val="single" w:sz="4" w:space="0" w:color="auto"/>
            </w:tcBorders>
            <w:shd w:val="clear" w:color="auto" w:fill="auto"/>
            <w:noWrap/>
            <w:vAlign w:val="bottom"/>
          </w:tcPr>
          <w:p w14:paraId="50CE74EF" w14:textId="77777777" w:rsidR="00525F1F"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17FE30F4" w14:textId="77777777" w:rsidTr="00525F1F">
        <w:trPr>
          <w:trHeight w:val="288"/>
        </w:trPr>
        <w:tc>
          <w:tcPr>
            <w:tcW w:w="1755" w:type="pct"/>
            <w:tcBorders>
              <w:top w:val="single" w:sz="4" w:space="0" w:color="auto"/>
            </w:tcBorders>
            <w:shd w:val="clear" w:color="auto" w:fill="auto"/>
            <w:noWrap/>
          </w:tcPr>
          <w:p w14:paraId="20B2EB93"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S&amp;P 500.</w:t>
            </w:r>
          </w:p>
        </w:tc>
        <w:tc>
          <w:tcPr>
            <w:tcW w:w="761" w:type="pct"/>
            <w:tcBorders>
              <w:top w:val="single" w:sz="4" w:space="0" w:color="auto"/>
            </w:tcBorders>
            <w:shd w:val="clear" w:color="auto" w:fill="auto"/>
            <w:noWrap/>
          </w:tcPr>
          <w:p w14:paraId="0B0439E0"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tcBorders>
              <w:top w:val="single" w:sz="4" w:space="0" w:color="auto"/>
            </w:tcBorders>
            <w:shd w:val="clear" w:color="auto" w:fill="auto"/>
            <w:noWrap/>
          </w:tcPr>
          <w:p w14:paraId="3C2D0730"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tcBorders>
              <w:top w:val="single" w:sz="4" w:space="0" w:color="auto"/>
            </w:tcBorders>
            <w:shd w:val="clear" w:color="auto" w:fill="auto"/>
            <w:noWrap/>
          </w:tcPr>
          <w:p w14:paraId="26799AD9"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565.154***</w:t>
            </w:r>
          </w:p>
        </w:tc>
        <w:tc>
          <w:tcPr>
            <w:tcW w:w="924" w:type="pct"/>
            <w:tcBorders>
              <w:top w:val="single" w:sz="4" w:space="0" w:color="auto"/>
            </w:tcBorders>
            <w:shd w:val="clear" w:color="auto" w:fill="auto"/>
            <w:noWrap/>
          </w:tcPr>
          <w:p w14:paraId="22364B94"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5D1FF0BE" w14:textId="77777777" w:rsidTr="00525F1F">
        <w:trPr>
          <w:trHeight w:val="288"/>
        </w:trPr>
        <w:tc>
          <w:tcPr>
            <w:tcW w:w="1755" w:type="pct"/>
            <w:shd w:val="clear" w:color="auto" w:fill="auto"/>
            <w:noWrap/>
          </w:tcPr>
          <w:p w14:paraId="0DA8BF5C"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Dow Jones</w:t>
            </w:r>
          </w:p>
        </w:tc>
        <w:tc>
          <w:tcPr>
            <w:tcW w:w="761" w:type="pct"/>
            <w:shd w:val="clear" w:color="auto" w:fill="auto"/>
            <w:noWrap/>
          </w:tcPr>
          <w:p w14:paraId="1DC1E12C"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31E82A07"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32A12E9A"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598.255***</w:t>
            </w:r>
          </w:p>
        </w:tc>
        <w:tc>
          <w:tcPr>
            <w:tcW w:w="924" w:type="pct"/>
            <w:shd w:val="clear" w:color="auto" w:fill="auto"/>
            <w:noWrap/>
          </w:tcPr>
          <w:p w14:paraId="6C859E89"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0DA85B48" w14:textId="77777777" w:rsidTr="00525F1F">
        <w:trPr>
          <w:trHeight w:val="288"/>
        </w:trPr>
        <w:tc>
          <w:tcPr>
            <w:tcW w:w="1755" w:type="pct"/>
            <w:shd w:val="clear" w:color="auto" w:fill="auto"/>
            <w:noWrap/>
          </w:tcPr>
          <w:p w14:paraId="2D639658"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lastRenderedPageBreak/>
              <w:t>NASDAQ</w:t>
            </w:r>
          </w:p>
        </w:tc>
        <w:tc>
          <w:tcPr>
            <w:tcW w:w="761" w:type="pct"/>
            <w:shd w:val="clear" w:color="auto" w:fill="auto"/>
            <w:noWrap/>
          </w:tcPr>
          <w:p w14:paraId="608B8855"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63FA00F7"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0903E6A4"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420.489***</w:t>
            </w:r>
          </w:p>
        </w:tc>
        <w:tc>
          <w:tcPr>
            <w:tcW w:w="924" w:type="pct"/>
            <w:shd w:val="clear" w:color="auto" w:fill="auto"/>
            <w:noWrap/>
          </w:tcPr>
          <w:p w14:paraId="75B3CC0F"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26E37099" w14:textId="77777777" w:rsidTr="00525F1F">
        <w:trPr>
          <w:trHeight w:val="288"/>
        </w:trPr>
        <w:tc>
          <w:tcPr>
            <w:tcW w:w="1755" w:type="pct"/>
            <w:shd w:val="clear" w:color="auto" w:fill="auto"/>
            <w:noWrap/>
          </w:tcPr>
          <w:p w14:paraId="0EC28824"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Russel 2000</w:t>
            </w:r>
          </w:p>
        </w:tc>
        <w:tc>
          <w:tcPr>
            <w:tcW w:w="761" w:type="pct"/>
            <w:shd w:val="clear" w:color="auto" w:fill="auto"/>
            <w:noWrap/>
          </w:tcPr>
          <w:p w14:paraId="57ED7C48"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4CC5C0A1"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597BBE99"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559.949***</w:t>
            </w:r>
          </w:p>
        </w:tc>
        <w:tc>
          <w:tcPr>
            <w:tcW w:w="924" w:type="pct"/>
            <w:shd w:val="clear" w:color="auto" w:fill="auto"/>
            <w:noWrap/>
          </w:tcPr>
          <w:p w14:paraId="7B4BD2D0"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115A23F3" w14:textId="77777777" w:rsidTr="00525F1F">
        <w:trPr>
          <w:trHeight w:val="288"/>
        </w:trPr>
        <w:tc>
          <w:tcPr>
            <w:tcW w:w="1755" w:type="pct"/>
            <w:shd w:val="clear" w:color="auto" w:fill="auto"/>
            <w:noWrap/>
          </w:tcPr>
          <w:p w14:paraId="7E635AF2"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DAX Performance Index</w:t>
            </w:r>
          </w:p>
        </w:tc>
        <w:tc>
          <w:tcPr>
            <w:tcW w:w="761" w:type="pct"/>
            <w:shd w:val="clear" w:color="auto" w:fill="auto"/>
            <w:noWrap/>
          </w:tcPr>
          <w:p w14:paraId="44A4ED0D"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0626DE5F"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1C2DA367"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248.829***</w:t>
            </w:r>
          </w:p>
        </w:tc>
        <w:tc>
          <w:tcPr>
            <w:tcW w:w="924" w:type="pct"/>
            <w:shd w:val="clear" w:color="auto" w:fill="auto"/>
            <w:noWrap/>
          </w:tcPr>
          <w:p w14:paraId="1DE2656F"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6E2D3E59" w14:textId="77777777" w:rsidTr="00525F1F">
        <w:trPr>
          <w:trHeight w:val="288"/>
        </w:trPr>
        <w:tc>
          <w:tcPr>
            <w:tcW w:w="1755" w:type="pct"/>
            <w:shd w:val="clear" w:color="auto" w:fill="auto"/>
            <w:noWrap/>
          </w:tcPr>
          <w:p w14:paraId="4A21E5D6"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CAC 40</w:t>
            </w:r>
          </w:p>
        </w:tc>
        <w:tc>
          <w:tcPr>
            <w:tcW w:w="761" w:type="pct"/>
            <w:shd w:val="clear" w:color="auto" w:fill="auto"/>
            <w:noWrap/>
          </w:tcPr>
          <w:p w14:paraId="117B244D"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3C2C647B"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0E17999B"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229.409***</w:t>
            </w:r>
          </w:p>
        </w:tc>
        <w:tc>
          <w:tcPr>
            <w:tcW w:w="924" w:type="pct"/>
            <w:shd w:val="clear" w:color="auto" w:fill="auto"/>
            <w:noWrap/>
          </w:tcPr>
          <w:p w14:paraId="3A6C7765"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2F779241" w14:textId="77777777" w:rsidTr="00525F1F">
        <w:trPr>
          <w:trHeight w:val="288"/>
        </w:trPr>
        <w:tc>
          <w:tcPr>
            <w:tcW w:w="1755" w:type="pct"/>
            <w:shd w:val="clear" w:color="auto" w:fill="auto"/>
            <w:noWrap/>
          </w:tcPr>
          <w:p w14:paraId="58BDC24F"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FTSE</w:t>
            </w:r>
          </w:p>
        </w:tc>
        <w:tc>
          <w:tcPr>
            <w:tcW w:w="761" w:type="pct"/>
            <w:shd w:val="clear" w:color="auto" w:fill="auto"/>
            <w:noWrap/>
          </w:tcPr>
          <w:p w14:paraId="02D432C9"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21ACF395"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03095534"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267.345***</w:t>
            </w:r>
          </w:p>
        </w:tc>
        <w:tc>
          <w:tcPr>
            <w:tcW w:w="924" w:type="pct"/>
            <w:shd w:val="clear" w:color="auto" w:fill="auto"/>
            <w:noWrap/>
          </w:tcPr>
          <w:p w14:paraId="18166D9B"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007895F0" w14:textId="77777777" w:rsidTr="00525F1F">
        <w:trPr>
          <w:trHeight w:val="288"/>
        </w:trPr>
        <w:tc>
          <w:tcPr>
            <w:tcW w:w="1755" w:type="pct"/>
            <w:shd w:val="clear" w:color="auto" w:fill="auto"/>
            <w:noWrap/>
          </w:tcPr>
          <w:p w14:paraId="193281E9"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NIKKEI</w:t>
            </w:r>
          </w:p>
        </w:tc>
        <w:tc>
          <w:tcPr>
            <w:tcW w:w="761" w:type="pct"/>
            <w:shd w:val="clear" w:color="auto" w:fill="auto"/>
            <w:noWrap/>
          </w:tcPr>
          <w:p w14:paraId="41AE8742"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5F87D0FB"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78691D7F"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112.410***</w:t>
            </w:r>
          </w:p>
        </w:tc>
        <w:tc>
          <w:tcPr>
            <w:tcW w:w="924" w:type="pct"/>
            <w:shd w:val="clear" w:color="auto" w:fill="auto"/>
            <w:noWrap/>
          </w:tcPr>
          <w:p w14:paraId="739D9C0D"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2DED99D6" w14:textId="77777777" w:rsidTr="00525F1F">
        <w:trPr>
          <w:trHeight w:val="288"/>
        </w:trPr>
        <w:tc>
          <w:tcPr>
            <w:tcW w:w="1755" w:type="pct"/>
            <w:shd w:val="clear" w:color="auto" w:fill="auto"/>
            <w:noWrap/>
          </w:tcPr>
          <w:p w14:paraId="2D1CCB5D" w14:textId="7260A6F8"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HANG</w:t>
            </w:r>
            <w:r w:rsidR="000C2323"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SENG</w:t>
            </w:r>
          </w:p>
        </w:tc>
        <w:tc>
          <w:tcPr>
            <w:tcW w:w="761" w:type="pct"/>
            <w:shd w:val="clear" w:color="auto" w:fill="auto"/>
            <w:noWrap/>
          </w:tcPr>
          <w:p w14:paraId="44B28AF3"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10895B4B"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0080014D"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46.681***</w:t>
            </w:r>
          </w:p>
        </w:tc>
        <w:tc>
          <w:tcPr>
            <w:tcW w:w="924" w:type="pct"/>
            <w:shd w:val="clear" w:color="auto" w:fill="auto"/>
            <w:noWrap/>
          </w:tcPr>
          <w:p w14:paraId="49BE8B2A"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515F6615" w14:textId="77777777" w:rsidTr="00525F1F">
        <w:trPr>
          <w:trHeight w:val="288"/>
        </w:trPr>
        <w:tc>
          <w:tcPr>
            <w:tcW w:w="1755" w:type="pct"/>
            <w:shd w:val="clear" w:color="auto" w:fill="auto"/>
            <w:noWrap/>
          </w:tcPr>
          <w:p w14:paraId="0F3361F0"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SHENZEN</w:t>
            </w:r>
          </w:p>
        </w:tc>
        <w:tc>
          <w:tcPr>
            <w:tcW w:w="761" w:type="pct"/>
            <w:shd w:val="clear" w:color="auto" w:fill="auto"/>
            <w:noWrap/>
          </w:tcPr>
          <w:p w14:paraId="4140FAB2"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74DE5594"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10860395"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242.867***</w:t>
            </w:r>
          </w:p>
        </w:tc>
        <w:tc>
          <w:tcPr>
            <w:tcW w:w="924" w:type="pct"/>
            <w:shd w:val="clear" w:color="auto" w:fill="auto"/>
            <w:noWrap/>
          </w:tcPr>
          <w:p w14:paraId="00442581"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77BC30E4" w14:textId="77777777" w:rsidTr="00525F1F">
        <w:trPr>
          <w:trHeight w:val="288"/>
        </w:trPr>
        <w:tc>
          <w:tcPr>
            <w:tcW w:w="1755" w:type="pct"/>
            <w:shd w:val="clear" w:color="auto" w:fill="auto"/>
            <w:noWrap/>
          </w:tcPr>
          <w:p w14:paraId="53DC1184"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IPC Mexico</w:t>
            </w:r>
          </w:p>
        </w:tc>
        <w:tc>
          <w:tcPr>
            <w:tcW w:w="761" w:type="pct"/>
            <w:shd w:val="clear" w:color="auto" w:fill="auto"/>
            <w:noWrap/>
          </w:tcPr>
          <w:p w14:paraId="3C98CDAB"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shd w:val="clear" w:color="auto" w:fill="auto"/>
            <w:noWrap/>
          </w:tcPr>
          <w:p w14:paraId="4D16F55B"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shd w:val="clear" w:color="auto" w:fill="auto"/>
            <w:noWrap/>
          </w:tcPr>
          <w:p w14:paraId="04CF94E8"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297.501***</w:t>
            </w:r>
          </w:p>
        </w:tc>
        <w:tc>
          <w:tcPr>
            <w:tcW w:w="924" w:type="pct"/>
            <w:shd w:val="clear" w:color="auto" w:fill="auto"/>
            <w:noWrap/>
          </w:tcPr>
          <w:p w14:paraId="2A902A86"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4379AD" w:rsidRPr="00B13CBE" w14:paraId="63C44D52" w14:textId="77777777" w:rsidTr="00525F1F">
        <w:trPr>
          <w:trHeight w:val="288"/>
        </w:trPr>
        <w:tc>
          <w:tcPr>
            <w:tcW w:w="1755" w:type="pct"/>
            <w:tcBorders>
              <w:bottom w:val="single" w:sz="4" w:space="0" w:color="auto"/>
            </w:tcBorders>
            <w:shd w:val="clear" w:color="auto" w:fill="auto"/>
            <w:noWrap/>
          </w:tcPr>
          <w:p w14:paraId="09AC8F58"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proofErr w:type="spellStart"/>
            <w:r w:rsidRPr="00B13CBE">
              <w:rPr>
                <w:rFonts w:ascii="Arial" w:hAnsi="Arial" w:cs="Arial"/>
                <w:color w:val="000000" w:themeColor="text1"/>
                <w:sz w:val="24"/>
                <w:szCs w:val="24"/>
              </w:rPr>
              <w:t>Jakarta.Islamic</w:t>
            </w:r>
            <w:proofErr w:type="spellEnd"/>
            <w:r w:rsidRPr="00B13CBE">
              <w:rPr>
                <w:rFonts w:ascii="Arial" w:hAnsi="Arial" w:cs="Arial"/>
                <w:color w:val="000000" w:themeColor="text1"/>
                <w:sz w:val="24"/>
                <w:szCs w:val="24"/>
              </w:rPr>
              <w:t xml:space="preserve"> Index</w:t>
            </w:r>
          </w:p>
        </w:tc>
        <w:tc>
          <w:tcPr>
            <w:tcW w:w="761" w:type="pct"/>
            <w:tcBorders>
              <w:bottom w:val="single" w:sz="4" w:space="0" w:color="auto"/>
            </w:tcBorders>
            <w:shd w:val="clear" w:color="auto" w:fill="auto"/>
            <w:noWrap/>
          </w:tcPr>
          <w:p w14:paraId="3C03E7D4"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62" w:type="pct"/>
            <w:tcBorders>
              <w:bottom w:val="single" w:sz="4" w:space="0" w:color="auto"/>
            </w:tcBorders>
            <w:shd w:val="clear" w:color="auto" w:fill="auto"/>
            <w:noWrap/>
          </w:tcPr>
          <w:p w14:paraId="7CE18714" w14:textId="77777777" w:rsidR="00525F1F" w:rsidRPr="00B13CBE" w:rsidRDefault="00525F1F" w:rsidP="00781A3B">
            <w:pPr>
              <w:spacing w:after="0" w:line="360" w:lineRule="auto"/>
              <w:jc w:val="both"/>
              <w:rPr>
                <w:rFonts w:ascii="Arial" w:eastAsia="Times New Roman" w:hAnsi="Arial" w:cs="Arial"/>
                <w:color w:val="000000" w:themeColor="text1"/>
                <w:sz w:val="24"/>
                <w:szCs w:val="24"/>
              </w:rPr>
            </w:pPr>
          </w:p>
        </w:tc>
        <w:tc>
          <w:tcPr>
            <w:tcW w:w="798" w:type="pct"/>
            <w:tcBorders>
              <w:bottom w:val="single" w:sz="4" w:space="0" w:color="auto"/>
            </w:tcBorders>
            <w:shd w:val="clear" w:color="auto" w:fill="auto"/>
            <w:noWrap/>
          </w:tcPr>
          <w:p w14:paraId="73080D03"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327.364***</w:t>
            </w:r>
          </w:p>
        </w:tc>
        <w:tc>
          <w:tcPr>
            <w:tcW w:w="924" w:type="pct"/>
            <w:tcBorders>
              <w:bottom w:val="single" w:sz="4" w:space="0" w:color="auto"/>
            </w:tcBorders>
            <w:shd w:val="clear" w:color="auto" w:fill="auto"/>
            <w:noWrap/>
          </w:tcPr>
          <w:p w14:paraId="16E82AF2"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hAnsi="Arial" w:cs="Arial"/>
                <w:color w:val="000000" w:themeColor="text1"/>
                <w:sz w:val="24"/>
                <w:szCs w:val="24"/>
              </w:rPr>
              <w:t>0.000</w:t>
            </w:r>
          </w:p>
        </w:tc>
      </w:tr>
      <w:tr w:rsidR="00581A28" w:rsidRPr="00B13CBE" w14:paraId="640A774E" w14:textId="77777777" w:rsidTr="00525F1F">
        <w:trPr>
          <w:trHeight w:val="288"/>
        </w:trPr>
        <w:tc>
          <w:tcPr>
            <w:tcW w:w="5000" w:type="pct"/>
            <w:gridSpan w:val="5"/>
            <w:tcBorders>
              <w:top w:val="single" w:sz="4" w:space="0" w:color="auto"/>
              <w:bottom w:val="single" w:sz="4" w:space="0" w:color="auto"/>
            </w:tcBorders>
            <w:shd w:val="clear" w:color="auto" w:fill="auto"/>
            <w:noWrap/>
            <w:vAlign w:val="bottom"/>
          </w:tcPr>
          <w:p w14:paraId="7CD72099" w14:textId="77777777" w:rsidR="00525F1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tc>
      </w:tr>
    </w:tbl>
    <w:p w14:paraId="008FD091" w14:textId="77777777" w:rsidR="00525F1F" w:rsidRPr="00B13CBE" w:rsidRDefault="00525F1F" w:rsidP="00781A3B">
      <w:pPr>
        <w:spacing w:line="360" w:lineRule="auto"/>
        <w:jc w:val="both"/>
        <w:rPr>
          <w:rFonts w:ascii="Arial" w:hAnsi="Arial" w:cs="Arial"/>
          <w:color w:val="000000" w:themeColor="text1"/>
          <w:sz w:val="24"/>
          <w:szCs w:val="24"/>
        </w:rPr>
      </w:pPr>
    </w:p>
    <w:p w14:paraId="28410D5D" w14:textId="77777777" w:rsidR="001F4CEB"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 p-values of the ARCH-LM test statistics for the </w:t>
      </w:r>
      <w:r w:rsidR="00AD616B" w:rsidRPr="00B13CBE">
        <w:rPr>
          <w:rFonts w:ascii="Arial" w:hAnsi="Arial" w:cs="Arial"/>
          <w:color w:val="000000" w:themeColor="text1"/>
          <w:sz w:val="24"/>
          <w:szCs w:val="24"/>
        </w:rPr>
        <w:t xml:space="preserve">returns of the </w:t>
      </w:r>
      <w:r w:rsidRPr="00B13CBE">
        <w:rPr>
          <w:rFonts w:ascii="Arial" w:hAnsi="Arial" w:cs="Arial"/>
          <w:color w:val="000000" w:themeColor="text1"/>
          <w:sz w:val="24"/>
          <w:szCs w:val="24"/>
        </w:rPr>
        <w:t>12</w:t>
      </w:r>
      <w:r w:rsidR="00AD616B" w:rsidRPr="00B13CBE">
        <w:rPr>
          <w:rFonts w:ascii="Arial" w:hAnsi="Arial" w:cs="Arial"/>
          <w:color w:val="000000" w:themeColor="text1"/>
          <w:sz w:val="24"/>
          <w:szCs w:val="24"/>
        </w:rPr>
        <w:t xml:space="preserve"> i</w:t>
      </w:r>
      <w:r w:rsidRPr="00B13CBE">
        <w:rPr>
          <w:rFonts w:ascii="Arial" w:hAnsi="Arial" w:cs="Arial"/>
          <w:color w:val="000000" w:themeColor="text1"/>
          <w:sz w:val="24"/>
          <w:szCs w:val="24"/>
        </w:rPr>
        <w:t>nd</w:t>
      </w:r>
      <w:r w:rsidR="00AD616B" w:rsidRPr="00B13CBE">
        <w:rPr>
          <w:rFonts w:ascii="Arial" w:hAnsi="Arial" w:cs="Arial"/>
          <w:color w:val="000000" w:themeColor="text1"/>
          <w:sz w:val="24"/>
          <w:szCs w:val="24"/>
        </w:rPr>
        <w:t xml:space="preserve">ices </w:t>
      </w:r>
      <w:r w:rsidRPr="00B13CBE">
        <w:rPr>
          <w:rFonts w:ascii="Arial" w:hAnsi="Arial" w:cs="Arial"/>
          <w:color w:val="000000" w:themeColor="text1"/>
          <w:sz w:val="24"/>
          <w:szCs w:val="24"/>
        </w:rPr>
        <w:t xml:space="preserve">were less than 0.01 hence the null hypothesis of no heteroscedasticity is rejected for all the series and it is concluded that all the index returns have conditional heteroscedasticity. </w:t>
      </w:r>
    </w:p>
    <w:p w14:paraId="62AA7596" w14:textId="77777777" w:rsidR="00525F1F" w:rsidRPr="00B13CBE" w:rsidRDefault="00C4772C" w:rsidP="00781A3B">
      <w:pPr>
        <w:pStyle w:val="Heading2"/>
        <w:spacing w:before="0"/>
      </w:pPr>
      <w:bookmarkStart w:id="41" w:name="_Toc82603372"/>
      <w:r w:rsidRPr="00B13CBE">
        <w:t>Correlation between the U.S. and Other Parts of the World</w:t>
      </w:r>
      <w:bookmarkEnd w:id="41"/>
    </w:p>
    <w:p w14:paraId="406DE7CD" w14:textId="77777777" w:rsidR="00ED4E73"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To determine the volatility spillover from the U.S to other parts of the world, DCC models were fitted to four U.S indices: S&amp;P 500, Dow Jones, Nasdaq,</w:t>
      </w:r>
      <w:r w:rsidR="00FB5EA8"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and Russel 2000, and indices from other parts of the world. </w:t>
      </w:r>
      <w:bookmarkStart w:id="42" w:name="_Hlk79928712"/>
      <w:r w:rsidRPr="00B13CBE">
        <w:rPr>
          <w:rFonts w:ascii="Arial" w:hAnsi="Arial" w:cs="Arial"/>
          <w:color w:val="000000" w:themeColor="text1"/>
          <w:sz w:val="24"/>
          <w:szCs w:val="24"/>
        </w:rPr>
        <w:t xml:space="preserve">A GARCH (1,1) model with normally distributed residuals was used as the univariate distribution. </w:t>
      </w:r>
      <w:bookmarkEnd w:id="42"/>
      <w:r w:rsidRPr="00B13CBE">
        <w:rPr>
          <w:rFonts w:ascii="Arial" w:hAnsi="Arial" w:cs="Arial"/>
          <w:color w:val="000000" w:themeColor="text1"/>
          <w:sz w:val="24"/>
          <w:szCs w:val="24"/>
        </w:rPr>
        <w:t xml:space="preserve">The results are shown in Table 4. </w:t>
      </w:r>
    </w:p>
    <w:p w14:paraId="53627FA2" w14:textId="77777777" w:rsidR="00AD616B" w:rsidRPr="00B13CBE" w:rsidRDefault="00C4772C" w:rsidP="00781A3B">
      <w:pPr>
        <w:pStyle w:val="BodyText"/>
        <w:spacing w:line="360" w:lineRule="auto"/>
        <w:jc w:val="both"/>
        <w:rPr>
          <w:rFonts w:ascii="Arial" w:hAnsi="Arial" w:cs="Arial"/>
          <w:color w:val="000000" w:themeColor="text1"/>
        </w:rPr>
      </w:pPr>
      <w:r w:rsidRPr="00B13CBE">
        <w:rPr>
          <w:rFonts w:ascii="Arial" w:hAnsi="Arial" w:cs="Arial"/>
          <w:color w:val="000000" w:themeColor="text1"/>
        </w:rPr>
        <w:lastRenderedPageBreak/>
        <w:t xml:space="preserve">The DCC parameters </w:t>
      </w:r>
      <w:r w:rsidRPr="00B13CBE">
        <w:rPr>
          <w:rFonts w:ascii="Arial" w:hAnsi="Arial" w:cs="Arial"/>
          <w:i/>
          <w:iCs/>
          <w:color w:val="000000" w:themeColor="text1"/>
        </w:rPr>
        <w:t xml:space="preserve">a </w:t>
      </w:r>
      <w:r w:rsidRPr="00B13CBE">
        <w:rPr>
          <w:rFonts w:ascii="Arial" w:hAnsi="Arial" w:cs="Arial"/>
          <w:color w:val="000000" w:themeColor="text1"/>
        </w:rPr>
        <w:t xml:space="preserve">and </w:t>
      </w:r>
      <w:r w:rsidRPr="00B13CBE">
        <w:rPr>
          <w:rFonts w:ascii="Arial" w:hAnsi="Arial" w:cs="Arial"/>
          <w:i/>
          <w:iCs/>
          <w:color w:val="000000" w:themeColor="text1"/>
        </w:rPr>
        <w:t xml:space="preserve">b </w:t>
      </w:r>
      <w:r w:rsidRPr="00B13CBE">
        <w:rPr>
          <w:rFonts w:ascii="Arial" w:hAnsi="Arial" w:cs="Arial"/>
          <w:color w:val="000000" w:themeColor="text1"/>
        </w:rPr>
        <w:t>are the short-term and long-term correlation among the series. The four U.S indices have their highest short-term correlation with the U.K (a = 0.0654, s.e=0.0196), and their highest long-term correlation with Hang Seng index of Hong Kong (b = 0.8658, s.e = 0.0501). All indices had a low short-term correlation with the U.S indices. However, the long-term correlations were greater than 0.8.</w:t>
      </w:r>
    </w:p>
    <w:p w14:paraId="04C753BB" w14:textId="77777777" w:rsidR="00AD616B" w:rsidRPr="00B13CBE" w:rsidRDefault="00AD616B" w:rsidP="00781A3B">
      <w:pPr>
        <w:spacing w:line="360" w:lineRule="auto"/>
        <w:jc w:val="both"/>
        <w:rPr>
          <w:rFonts w:ascii="Arial" w:hAnsi="Arial" w:cs="Arial"/>
          <w:color w:val="000000" w:themeColor="text1"/>
          <w:sz w:val="24"/>
          <w:szCs w:val="24"/>
        </w:rPr>
      </w:pPr>
    </w:p>
    <w:p w14:paraId="6DE3D34B" w14:textId="77777777" w:rsidR="00882AD3" w:rsidRPr="00B13CBE" w:rsidRDefault="00C4772C" w:rsidP="00781A3B">
      <w:pPr>
        <w:pStyle w:val="Caption"/>
        <w:keepNext/>
        <w:spacing w:line="360" w:lineRule="auto"/>
        <w:jc w:val="both"/>
        <w:rPr>
          <w:rFonts w:ascii="Arial" w:hAnsi="Arial" w:cs="Arial"/>
          <w:color w:val="000000" w:themeColor="text1"/>
        </w:rPr>
      </w:pPr>
      <w:bookmarkStart w:id="43" w:name="_Toc82603415"/>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4</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 Correlations between U.S indices: S&amp;P 500, Dow Jones, Nasdaq, and Russel 2000 and indices from </w:t>
      </w:r>
      <w:r w:rsidR="0078397F" w:rsidRPr="00B13CBE">
        <w:rPr>
          <w:rFonts w:ascii="Arial" w:hAnsi="Arial" w:cs="Arial"/>
          <w:color w:val="000000" w:themeColor="text1"/>
        </w:rPr>
        <w:t>O</w:t>
      </w:r>
      <w:r w:rsidRPr="00B13CBE">
        <w:rPr>
          <w:rFonts w:ascii="Arial" w:hAnsi="Arial" w:cs="Arial"/>
          <w:color w:val="000000" w:themeColor="text1"/>
        </w:rPr>
        <w:t xml:space="preserve">ther </w:t>
      </w:r>
      <w:r w:rsidR="0078397F" w:rsidRPr="00B13CBE">
        <w:rPr>
          <w:rFonts w:ascii="Arial" w:hAnsi="Arial" w:cs="Arial"/>
          <w:color w:val="000000" w:themeColor="text1"/>
        </w:rPr>
        <w:t>C</w:t>
      </w:r>
      <w:r w:rsidRPr="00B13CBE">
        <w:rPr>
          <w:rFonts w:ascii="Arial" w:hAnsi="Arial" w:cs="Arial"/>
          <w:color w:val="000000" w:themeColor="text1"/>
        </w:rPr>
        <w:t>ountries</w:t>
      </w:r>
      <w:r w:rsidR="0078397F" w:rsidRPr="00B13CBE">
        <w:rPr>
          <w:rFonts w:ascii="Arial" w:hAnsi="Arial" w:cs="Arial"/>
          <w:color w:val="000000" w:themeColor="text1"/>
        </w:rPr>
        <w:t>.</w:t>
      </w:r>
      <w:bookmarkEnd w:id="43"/>
    </w:p>
    <w:tbl>
      <w:tblPr>
        <w:tblW w:w="0" w:type="auto"/>
        <w:tblLook w:val="04A0" w:firstRow="1" w:lastRow="0" w:firstColumn="1" w:lastColumn="0" w:noHBand="0" w:noVBand="1"/>
      </w:tblPr>
      <w:tblGrid>
        <w:gridCol w:w="1168"/>
        <w:gridCol w:w="2246"/>
        <w:gridCol w:w="2164"/>
        <w:gridCol w:w="2153"/>
        <w:gridCol w:w="889"/>
      </w:tblGrid>
      <w:tr w:rsidR="004379AD" w:rsidRPr="00B13CBE" w14:paraId="0FF492A0" w14:textId="77777777" w:rsidTr="00882AD3">
        <w:trPr>
          <w:trHeight w:val="300"/>
        </w:trPr>
        <w:tc>
          <w:tcPr>
            <w:tcW w:w="0" w:type="auto"/>
            <w:tcBorders>
              <w:top w:val="single" w:sz="8" w:space="0" w:color="auto"/>
              <w:left w:val="single" w:sz="8" w:space="0" w:color="auto"/>
              <w:bottom w:val="single" w:sz="8" w:space="0" w:color="auto"/>
              <w:right w:val="nil"/>
            </w:tcBorders>
            <w:shd w:val="clear" w:color="auto" w:fill="auto"/>
            <w:noWrap/>
            <w:vAlign w:val="center"/>
            <w:hideMark/>
          </w:tcPr>
          <w:p w14:paraId="582DE472"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Country</w:t>
            </w:r>
          </w:p>
        </w:tc>
        <w:tc>
          <w:tcPr>
            <w:tcW w:w="0" w:type="auto"/>
            <w:tcBorders>
              <w:top w:val="single" w:sz="8" w:space="0" w:color="auto"/>
              <w:left w:val="nil"/>
              <w:bottom w:val="single" w:sz="8" w:space="0" w:color="auto"/>
              <w:right w:val="nil"/>
            </w:tcBorders>
            <w:shd w:val="clear" w:color="auto" w:fill="auto"/>
            <w:noWrap/>
            <w:vAlign w:val="center"/>
            <w:hideMark/>
          </w:tcPr>
          <w:p w14:paraId="73A1E185"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Index</w:t>
            </w:r>
          </w:p>
        </w:tc>
        <w:tc>
          <w:tcPr>
            <w:tcW w:w="0" w:type="auto"/>
            <w:tcBorders>
              <w:top w:val="single" w:sz="8" w:space="0" w:color="auto"/>
              <w:left w:val="nil"/>
              <w:bottom w:val="single" w:sz="8" w:space="0" w:color="auto"/>
              <w:right w:val="nil"/>
            </w:tcBorders>
            <w:shd w:val="clear" w:color="auto" w:fill="auto"/>
            <w:noWrap/>
            <w:vAlign w:val="center"/>
            <w:hideMark/>
          </w:tcPr>
          <w:p w14:paraId="2455B20A"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0" w:type="auto"/>
            <w:tcBorders>
              <w:top w:val="single" w:sz="8" w:space="0" w:color="auto"/>
              <w:left w:val="nil"/>
              <w:bottom w:val="single" w:sz="8" w:space="0" w:color="auto"/>
              <w:right w:val="nil"/>
            </w:tcBorders>
            <w:shd w:val="clear" w:color="auto" w:fill="auto"/>
            <w:noWrap/>
            <w:vAlign w:val="center"/>
            <w:hideMark/>
          </w:tcPr>
          <w:p w14:paraId="069BF3E4"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7E82588"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263A295B"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34A9AAC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Germany</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C09D6B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DAX Performance Index</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07FAB7C"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4CE28F1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0.0641***</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2A980D1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0.0005</w:t>
            </w:r>
          </w:p>
        </w:tc>
      </w:tr>
      <w:tr w:rsidR="004379AD" w:rsidRPr="00B13CBE" w14:paraId="2383B8BC"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20515C4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C4DEFE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04FA32A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0D76560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(0.0183)</w:t>
            </w:r>
          </w:p>
        </w:tc>
        <w:tc>
          <w:tcPr>
            <w:tcW w:w="0" w:type="auto"/>
            <w:vMerge/>
            <w:tcBorders>
              <w:top w:val="nil"/>
              <w:left w:val="single" w:sz="8" w:space="0" w:color="auto"/>
              <w:bottom w:val="nil"/>
              <w:right w:val="single" w:sz="8" w:space="0" w:color="auto"/>
            </w:tcBorders>
            <w:vAlign w:val="center"/>
            <w:hideMark/>
          </w:tcPr>
          <w:p w14:paraId="0FCF6C8B"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2DACB82D"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0F52CC8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767D34C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3C5E990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14224AC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0.8174***</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029BCA4E"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7B563FE0"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562265C6"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00A73C1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AB90C0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18105CC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(0.0751)</w:t>
            </w:r>
          </w:p>
        </w:tc>
        <w:tc>
          <w:tcPr>
            <w:tcW w:w="0" w:type="auto"/>
            <w:vMerge/>
            <w:tcBorders>
              <w:top w:val="nil"/>
              <w:left w:val="single" w:sz="8" w:space="0" w:color="auto"/>
              <w:bottom w:val="nil"/>
              <w:right w:val="single" w:sz="8" w:space="0" w:color="auto"/>
            </w:tcBorders>
            <w:vAlign w:val="center"/>
            <w:hideMark/>
          </w:tcPr>
          <w:p w14:paraId="46C47F5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3C602D0E"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36DD61EC"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France</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60263C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CAC 40</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04BB1A0C"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18E2F3C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0.0598***</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5AF2D0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0.0001</w:t>
            </w:r>
          </w:p>
        </w:tc>
      </w:tr>
      <w:tr w:rsidR="004379AD" w:rsidRPr="00B13CBE" w14:paraId="07A6C2C2"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50AD4A0D"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2FEB80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0E5CBB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2AC40A2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(0.0157)</w:t>
            </w:r>
          </w:p>
        </w:tc>
        <w:tc>
          <w:tcPr>
            <w:tcW w:w="0" w:type="auto"/>
            <w:vMerge/>
            <w:tcBorders>
              <w:top w:val="nil"/>
              <w:left w:val="single" w:sz="8" w:space="0" w:color="auto"/>
              <w:bottom w:val="nil"/>
              <w:right w:val="single" w:sz="8" w:space="0" w:color="auto"/>
            </w:tcBorders>
            <w:vAlign w:val="center"/>
            <w:hideMark/>
          </w:tcPr>
          <w:p w14:paraId="3DC69DF6"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579162AC"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238A3E8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098DA7C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1A6A0B8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71492783"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0.8397***</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1E7DB4E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0FB874DF"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7F834423"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9D9E2E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6E1CECB"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7FC721A7"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(0.0592)</w:t>
            </w:r>
          </w:p>
        </w:tc>
        <w:tc>
          <w:tcPr>
            <w:tcW w:w="0" w:type="auto"/>
            <w:vMerge/>
            <w:tcBorders>
              <w:top w:val="nil"/>
              <w:left w:val="single" w:sz="8" w:space="0" w:color="auto"/>
              <w:bottom w:val="nil"/>
              <w:right w:val="single" w:sz="8" w:space="0" w:color="auto"/>
            </w:tcBorders>
            <w:vAlign w:val="center"/>
            <w:hideMark/>
          </w:tcPr>
          <w:p w14:paraId="1562F0B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3B29238A"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326835D3" w14:textId="6D907714"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U.K</w:t>
            </w:r>
            <w:r w:rsidR="000C2323" w:rsidRPr="00B13CBE">
              <w:rPr>
                <w:rFonts w:ascii="Arial" w:eastAsia="Times New Roman" w:hAnsi="Arial" w:cs="Arial"/>
                <w:color w:val="000000" w:themeColor="text1"/>
                <w:sz w:val="24"/>
                <w:szCs w:val="24"/>
              </w:rPr>
              <w:t>.</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2E5BCF0"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FTSE</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228E2280"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41CE3DC6"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0.0654***</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2024B46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0.0009</w:t>
            </w:r>
          </w:p>
        </w:tc>
      </w:tr>
      <w:tr w:rsidR="004379AD" w:rsidRPr="00B13CBE" w14:paraId="3BF8F7CD"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34453C5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5F290CA7"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44D75934"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1486075F"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(0.0196)</w:t>
            </w:r>
          </w:p>
        </w:tc>
        <w:tc>
          <w:tcPr>
            <w:tcW w:w="0" w:type="auto"/>
            <w:vMerge/>
            <w:tcBorders>
              <w:top w:val="nil"/>
              <w:left w:val="single" w:sz="8" w:space="0" w:color="auto"/>
              <w:bottom w:val="nil"/>
              <w:right w:val="single" w:sz="8" w:space="0" w:color="auto"/>
            </w:tcBorders>
            <w:vAlign w:val="center"/>
            <w:hideMark/>
          </w:tcPr>
          <w:p w14:paraId="74D5751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72773D23"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5947393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1C6B6A65"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FDD75F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4E0447D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0.8192***</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1544261F"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2CFDA641"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63716BA9"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113C2DA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4CB031C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1E72EF3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(0.0749)</w:t>
            </w:r>
          </w:p>
        </w:tc>
        <w:tc>
          <w:tcPr>
            <w:tcW w:w="0" w:type="auto"/>
            <w:vMerge/>
            <w:tcBorders>
              <w:top w:val="nil"/>
              <w:left w:val="single" w:sz="8" w:space="0" w:color="auto"/>
              <w:bottom w:val="nil"/>
              <w:right w:val="single" w:sz="8" w:space="0" w:color="auto"/>
            </w:tcBorders>
            <w:vAlign w:val="center"/>
            <w:hideMark/>
          </w:tcPr>
          <w:p w14:paraId="3A501335"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60F6542F"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19DFE8D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lastRenderedPageBreak/>
              <w:t>Japan</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3DF3BEFE"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NIKKEI</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4AF2F60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65D56FF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0.0503***</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48362A0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0.0074</w:t>
            </w:r>
          </w:p>
        </w:tc>
      </w:tr>
      <w:tr w:rsidR="004379AD" w:rsidRPr="00B13CBE" w14:paraId="7221E464"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65087786"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10DE3177"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371C574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554D2FB5"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(0.0188)</w:t>
            </w:r>
          </w:p>
        </w:tc>
        <w:tc>
          <w:tcPr>
            <w:tcW w:w="0" w:type="auto"/>
            <w:vMerge/>
            <w:tcBorders>
              <w:top w:val="nil"/>
              <w:left w:val="single" w:sz="8" w:space="0" w:color="auto"/>
              <w:bottom w:val="nil"/>
              <w:right w:val="single" w:sz="8" w:space="0" w:color="auto"/>
            </w:tcBorders>
            <w:vAlign w:val="center"/>
            <w:hideMark/>
          </w:tcPr>
          <w:p w14:paraId="0D2C28B2"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1E694BE9"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1943C53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57F1B69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EF73A2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1D7F3FA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0.8596***</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35B93D1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24A88506"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4891F818"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2E7916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8C0F5DB"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0DA48E3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(0.0692)</w:t>
            </w:r>
          </w:p>
        </w:tc>
        <w:tc>
          <w:tcPr>
            <w:tcW w:w="0" w:type="auto"/>
            <w:vMerge/>
            <w:tcBorders>
              <w:top w:val="nil"/>
              <w:left w:val="single" w:sz="8" w:space="0" w:color="auto"/>
              <w:bottom w:val="nil"/>
              <w:right w:val="single" w:sz="8" w:space="0" w:color="auto"/>
            </w:tcBorders>
            <w:vAlign w:val="center"/>
            <w:hideMark/>
          </w:tcPr>
          <w:p w14:paraId="7CF02AD7"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7AAEA656"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7004080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Hong Kong</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5B4CE01" w14:textId="5A98615D"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w:t>
            </w:r>
            <w:r w:rsidR="000C2323"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SENG</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44FF81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6AECA01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0.0497***</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12C7164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0.0003</w:t>
            </w:r>
          </w:p>
        </w:tc>
      </w:tr>
      <w:tr w:rsidR="004379AD" w:rsidRPr="00B13CBE" w14:paraId="4AAE931B"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19303DC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ABFFEB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29CC957"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33E4F44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(0.0136)</w:t>
            </w:r>
          </w:p>
        </w:tc>
        <w:tc>
          <w:tcPr>
            <w:tcW w:w="0" w:type="auto"/>
            <w:vMerge/>
            <w:tcBorders>
              <w:top w:val="nil"/>
              <w:left w:val="single" w:sz="8" w:space="0" w:color="auto"/>
              <w:bottom w:val="nil"/>
              <w:right w:val="single" w:sz="8" w:space="0" w:color="auto"/>
            </w:tcBorders>
            <w:vAlign w:val="center"/>
            <w:hideMark/>
          </w:tcPr>
          <w:p w14:paraId="717C5AA6"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247F3B16"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264E55F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2643BDF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0FDA93A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4F5F43FC" w14:textId="77777777" w:rsidR="00ED4E7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0.8658***</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14BFFDF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CB6A6B9"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400A779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C9B737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2AA57C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7BF55CC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(0.0501)</w:t>
            </w:r>
          </w:p>
        </w:tc>
        <w:tc>
          <w:tcPr>
            <w:tcW w:w="0" w:type="auto"/>
            <w:vMerge/>
            <w:tcBorders>
              <w:top w:val="nil"/>
              <w:left w:val="single" w:sz="8" w:space="0" w:color="auto"/>
              <w:bottom w:val="nil"/>
              <w:right w:val="single" w:sz="8" w:space="0" w:color="auto"/>
            </w:tcBorders>
            <w:vAlign w:val="center"/>
            <w:hideMark/>
          </w:tcPr>
          <w:p w14:paraId="0EF4498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4FD5D982"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1626F4C1"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China</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F88590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w:t>
            </w:r>
            <w:r w:rsidR="00232E17" w:rsidRPr="00B13CBE">
              <w:rPr>
                <w:rFonts w:ascii="Arial" w:eastAsia="Times New Roman" w:hAnsi="Arial" w:cs="Arial"/>
                <w:color w:val="000000" w:themeColor="text1"/>
                <w:sz w:val="24"/>
                <w:szCs w:val="24"/>
              </w:rPr>
              <w:t>H</w:t>
            </w:r>
            <w:r w:rsidRPr="00B13CBE">
              <w:rPr>
                <w:rFonts w:ascii="Arial" w:eastAsia="Times New Roman" w:hAnsi="Arial" w:cs="Arial"/>
                <w:color w:val="000000" w:themeColor="text1"/>
                <w:sz w:val="24"/>
                <w:szCs w:val="24"/>
              </w:rPr>
              <w:t>EN</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CCBE48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150B662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0.0569***</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715B1F8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0.0007</w:t>
            </w:r>
          </w:p>
        </w:tc>
      </w:tr>
      <w:tr w:rsidR="004379AD" w:rsidRPr="00B13CBE" w14:paraId="1A1B0B70"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5A062B1D"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39B0DE0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5142EBB1"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0F58B8C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(0.0168)</w:t>
            </w:r>
          </w:p>
        </w:tc>
        <w:tc>
          <w:tcPr>
            <w:tcW w:w="0" w:type="auto"/>
            <w:vMerge/>
            <w:tcBorders>
              <w:top w:val="nil"/>
              <w:left w:val="single" w:sz="8" w:space="0" w:color="auto"/>
              <w:bottom w:val="nil"/>
              <w:right w:val="single" w:sz="8" w:space="0" w:color="auto"/>
            </w:tcBorders>
            <w:vAlign w:val="center"/>
            <w:hideMark/>
          </w:tcPr>
          <w:p w14:paraId="59B544BE"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1D137725"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1A92761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7FC854B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43672249"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669B25B5"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0.8345***</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9026CC3"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5AD14A84"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0ECE750D"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216D2674"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7368E27D"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19C5D803"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(0.0685)</w:t>
            </w:r>
          </w:p>
        </w:tc>
        <w:tc>
          <w:tcPr>
            <w:tcW w:w="0" w:type="auto"/>
            <w:vMerge/>
            <w:tcBorders>
              <w:top w:val="nil"/>
              <w:left w:val="single" w:sz="8" w:space="0" w:color="auto"/>
              <w:bottom w:val="nil"/>
              <w:right w:val="single" w:sz="8" w:space="0" w:color="auto"/>
            </w:tcBorders>
            <w:vAlign w:val="center"/>
            <w:hideMark/>
          </w:tcPr>
          <w:p w14:paraId="55FCB5A4"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2CF3FA9E"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2A24800C"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5511AE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238137BB"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2F43BC6E"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0.0636***</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4A083F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0.0013</w:t>
            </w:r>
          </w:p>
        </w:tc>
      </w:tr>
      <w:tr w:rsidR="004379AD" w:rsidRPr="00B13CBE" w14:paraId="662CDED3"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26E24F59"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530ADBE7"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2A30D33"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243E4707"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(0.0198)</w:t>
            </w:r>
          </w:p>
        </w:tc>
        <w:tc>
          <w:tcPr>
            <w:tcW w:w="0" w:type="auto"/>
            <w:vMerge/>
            <w:tcBorders>
              <w:top w:val="nil"/>
              <w:left w:val="single" w:sz="8" w:space="0" w:color="auto"/>
              <w:bottom w:val="nil"/>
              <w:right w:val="single" w:sz="8" w:space="0" w:color="auto"/>
            </w:tcBorders>
            <w:vAlign w:val="center"/>
            <w:hideMark/>
          </w:tcPr>
          <w:p w14:paraId="0437A7C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3D68824A"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bottom"/>
            <w:hideMark/>
          </w:tcPr>
          <w:p w14:paraId="626D3AD0"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bottom"/>
            <w:hideMark/>
          </w:tcPr>
          <w:p w14:paraId="13762890"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36FEDE7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6AA9B0B4"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0.8175***</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0AECE70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0DF8E7E6"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6D5B1CE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5B71E4A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3B5E9165"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35FCB3A6"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(0.0771)</w:t>
            </w:r>
          </w:p>
        </w:tc>
        <w:tc>
          <w:tcPr>
            <w:tcW w:w="0" w:type="auto"/>
            <w:vMerge/>
            <w:tcBorders>
              <w:top w:val="nil"/>
              <w:left w:val="single" w:sz="8" w:space="0" w:color="auto"/>
              <w:bottom w:val="nil"/>
              <w:right w:val="single" w:sz="8" w:space="0" w:color="auto"/>
            </w:tcBorders>
            <w:vAlign w:val="center"/>
            <w:hideMark/>
          </w:tcPr>
          <w:p w14:paraId="3A84A69F"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524151A9" w14:textId="77777777" w:rsidTr="00882AD3">
        <w:trPr>
          <w:trHeight w:val="288"/>
        </w:trPr>
        <w:tc>
          <w:tcPr>
            <w:tcW w:w="0" w:type="auto"/>
            <w:vMerge w:val="restart"/>
            <w:tcBorders>
              <w:top w:val="nil"/>
              <w:left w:val="single" w:sz="8" w:space="0" w:color="auto"/>
              <w:bottom w:val="nil"/>
              <w:right w:val="single" w:sz="8" w:space="0" w:color="auto"/>
            </w:tcBorders>
            <w:shd w:val="clear" w:color="auto" w:fill="auto"/>
            <w:noWrap/>
            <w:vAlign w:val="center"/>
            <w:hideMark/>
          </w:tcPr>
          <w:p w14:paraId="20E516A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0FA2018C"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w:t>
            </w:r>
            <w:r w:rsidR="00FB5EA8"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Islamic Index</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5522104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0" w:type="auto"/>
            <w:tcBorders>
              <w:top w:val="nil"/>
              <w:left w:val="nil"/>
              <w:bottom w:val="nil"/>
              <w:right w:val="single" w:sz="8" w:space="0" w:color="auto"/>
            </w:tcBorders>
            <w:shd w:val="clear" w:color="auto" w:fill="auto"/>
            <w:noWrap/>
            <w:vAlign w:val="center"/>
            <w:hideMark/>
          </w:tcPr>
          <w:p w14:paraId="16D76B62"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0.0567***</w:t>
            </w:r>
          </w:p>
        </w:tc>
        <w:tc>
          <w:tcPr>
            <w:tcW w:w="0" w:type="auto"/>
            <w:vMerge w:val="restart"/>
            <w:tcBorders>
              <w:top w:val="nil"/>
              <w:left w:val="single" w:sz="8" w:space="0" w:color="auto"/>
              <w:bottom w:val="nil"/>
              <w:right w:val="single" w:sz="8" w:space="0" w:color="auto"/>
            </w:tcBorders>
            <w:shd w:val="clear" w:color="auto" w:fill="auto"/>
            <w:noWrap/>
            <w:vAlign w:val="center"/>
            <w:hideMark/>
          </w:tcPr>
          <w:p w14:paraId="613F3E2E"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0.0002</w:t>
            </w:r>
          </w:p>
        </w:tc>
      </w:tr>
      <w:tr w:rsidR="004379AD" w:rsidRPr="00B13CBE" w14:paraId="5855A50B" w14:textId="77777777" w:rsidTr="00882AD3">
        <w:trPr>
          <w:trHeight w:val="288"/>
        </w:trPr>
        <w:tc>
          <w:tcPr>
            <w:tcW w:w="0" w:type="auto"/>
            <w:vMerge/>
            <w:tcBorders>
              <w:top w:val="nil"/>
              <w:left w:val="single" w:sz="8" w:space="0" w:color="auto"/>
              <w:bottom w:val="nil"/>
              <w:right w:val="single" w:sz="8" w:space="0" w:color="auto"/>
            </w:tcBorders>
            <w:vAlign w:val="center"/>
            <w:hideMark/>
          </w:tcPr>
          <w:p w14:paraId="2EE6B044"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6304DB72"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nil"/>
              <w:right w:val="single" w:sz="8" w:space="0" w:color="auto"/>
            </w:tcBorders>
            <w:vAlign w:val="center"/>
            <w:hideMark/>
          </w:tcPr>
          <w:p w14:paraId="4C638DD6"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nil"/>
              <w:right w:val="single" w:sz="8" w:space="0" w:color="auto"/>
            </w:tcBorders>
            <w:shd w:val="clear" w:color="auto" w:fill="auto"/>
            <w:noWrap/>
            <w:vAlign w:val="center"/>
            <w:hideMark/>
          </w:tcPr>
          <w:p w14:paraId="22453A63"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(0.0153)</w:t>
            </w:r>
          </w:p>
        </w:tc>
        <w:tc>
          <w:tcPr>
            <w:tcW w:w="0" w:type="auto"/>
            <w:vMerge/>
            <w:tcBorders>
              <w:top w:val="nil"/>
              <w:left w:val="single" w:sz="8" w:space="0" w:color="auto"/>
              <w:bottom w:val="nil"/>
              <w:right w:val="single" w:sz="8" w:space="0" w:color="auto"/>
            </w:tcBorders>
            <w:vAlign w:val="center"/>
            <w:hideMark/>
          </w:tcPr>
          <w:p w14:paraId="54DDB42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4379AD" w:rsidRPr="00B13CBE" w14:paraId="46CAB54D" w14:textId="77777777" w:rsidTr="00882AD3">
        <w:trPr>
          <w:trHeight w:val="288"/>
        </w:trPr>
        <w:tc>
          <w:tcPr>
            <w:tcW w:w="0" w:type="auto"/>
            <w:vMerge w:val="restart"/>
            <w:tcBorders>
              <w:top w:val="nil"/>
              <w:left w:val="single" w:sz="8" w:space="0" w:color="auto"/>
              <w:bottom w:val="single" w:sz="8" w:space="0" w:color="000000"/>
              <w:right w:val="single" w:sz="8" w:space="0" w:color="auto"/>
            </w:tcBorders>
            <w:shd w:val="clear" w:color="auto" w:fill="auto"/>
            <w:noWrap/>
            <w:vAlign w:val="bottom"/>
            <w:hideMark/>
          </w:tcPr>
          <w:p w14:paraId="68A98583"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single" w:sz="8" w:space="0" w:color="000000"/>
              <w:right w:val="single" w:sz="8" w:space="0" w:color="auto"/>
            </w:tcBorders>
            <w:shd w:val="clear" w:color="auto" w:fill="auto"/>
            <w:noWrap/>
            <w:vAlign w:val="bottom"/>
            <w:hideMark/>
          </w:tcPr>
          <w:p w14:paraId="4A73EFB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 </w:t>
            </w:r>
          </w:p>
        </w:tc>
        <w:tc>
          <w:tcPr>
            <w:tcW w:w="0" w:type="auto"/>
            <w:vMerge w:val="restart"/>
            <w:tcBorders>
              <w:top w:val="nil"/>
              <w:left w:val="single" w:sz="8" w:space="0" w:color="auto"/>
              <w:bottom w:val="single" w:sz="8" w:space="0" w:color="000000"/>
              <w:right w:val="single" w:sz="8" w:space="0" w:color="auto"/>
            </w:tcBorders>
            <w:shd w:val="clear" w:color="auto" w:fill="auto"/>
            <w:noWrap/>
            <w:vAlign w:val="center"/>
            <w:hideMark/>
          </w:tcPr>
          <w:p w14:paraId="5CC04CB8"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0" w:type="auto"/>
            <w:tcBorders>
              <w:top w:val="nil"/>
              <w:left w:val="nil"/>
              <w:bottom w:val="nil"/>
              <w:right w:val="single" w:sz="8" w:space="0" w:color="auto"/>
            </w:tcBorders>
            <w:shd w:val="clear" w:color="auto" w:fill="auto"/>
            <w:noWrap/>
            <w:vAlign w:val="center"/>
            <w:hideMark/>
          </w:tcPr>
          <w:p w14:paraId="584C17BE"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0.8501***</w:t>
            </w:r>
          </w:p>
        </w:tc>
        <w:tc>
          <w:tcPr>
            <w:tcW w:w="0" w:type="auto"/>
            <w:vMerge w:val="restart"/>
            <w:tcBorders>
              <w:top w:val="nil"/>
              <w:left w:val="single" w:sz="8" w:space="0" w:color="auto"/>
              <w:bottom w:val="single" w:sz="8" w:space="0" w:color="000000"/>
              <w:right w:val="single" w:sz="8" w:space="0" w:color="auto"/>
            </w:tcBorders>
            <w:shd w:val="clear" w:color="auto" w:fill="auto"/>
            <w:noWrap/>
            <w:vAlign w:val="center"/>
            <w:hideMark/>
          </w:tcPr>
          <w:p w14:paraId="7A37B940"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04C3D5AA" w14:textId="77777777" w:rsidTr="00882AD3">
        <w:trPr>
          <w:trHeight w:val="300"/>
        </w:trPr>
        <w:tc>
          <w:tcPr>
            <w:tcW w:w="0" w:type="auto"/>
            <w:vMerge/>
            <w:tcBorders>
              <w:top w:val="nil"/>
              <w:left w:val="single" w:sz="8" w:space="0" w:color="auto"/>
              <w:bottom w:val="single" w:sz="8" w:space="0" w:color="000000"/>
              <w:right w:val="single" w:sz="8" w:space="0" w:color="auto"/>
            </w:tcBorders>
            <w:vAlign w:val="center"/>
            <w:hideMark/>
          </w:tcPr>
          <w:p w14:paraId="699A17EC"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single" w:sz="8" w:space="0" w:color="000000"/>
              <w:right w:val="single" w:sz="8" w:space="0" w:color="auto"/>
            </w:tcBorders>
            <w:vAlign w:val="center"/>
            <w:hideMark/>
          </w:tcPr>
          <w:p w14:paraId="5794A77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vMerge/>
            <w:tcBorders>
              <w:top w:val="nil"/>
              <w:left w:val="single" w:sz="8" w:space="0" w:color="auto"/>
              <w:bottom w:val="single" w:sz="8" w:space="0" w:color="000000"/>
              <w:right w:val="single" w:sz="8" w:space="0" w:color="auto"/>
            </w:tcBorders>
            <w:vAlign w:val="center"/>
            <w:hideMark/>
          </w:tcPr>
          <w:p w14:paraId="7CE9DEFD"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c>
          <w:tcPr>
            <w:tcW w:w="0" w:type="auto"/>
            <w:tcBorders>
              <w:top w:val="nil"/>
              <w:left w:val="nil"/>
              <w:bottom w:val="single" w:sz="8" w:space="0" w:color="auto"/>
              <w:right w:val="single" w:sz="8" w:space="0" w:color="auto"/>
            </w:tcBorders>
            <w:shd w:val="clear" w:color="auto" w:fill="auto"/>
            <w:noWrap/>
            <w:vAlign w:val="center"/>
            <w:hideMark/>
          </w:tcPr>
          <w:p w14:paraId="331C90CA"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(0.0573)</w:t>
            </w:r>
          </w:p>
        </w:tc>
        <w:tc>
          <w:tcPr>
            <w:tcW w:w="0" w:type="auto"/>
            <w:vMerge/>
            <w:tcBorders>
              <w:top w:val="nil"/>
              <w:left w:val="single" w:sz="8" w:space="0" w:color="auto"/>
              <w:bottom w:val="single" w:sz="8" w:space="0" w:color="000000"/>
              <w:right w:val="single" w:sz="8" w:space="0" w:color="auto"/>
            </w:tcBorders>
            <w:vAlign w:val="center"/>
            <w:hideMark/>
          </w:tcPr>
          <w:p w14:paraId="69EB590A" w14:textId="77777777" w:rsidR="00ED4E73" w:rsidRPr="00B13CBE" w:rsidRDefault="00ED4E73" w:rsidP="00781A3B">
            <w:pPr>
              <w:spacing w:after="0" w:line="360" w:lineRule="auto"/>
              <w:jc w:val="both"/>
              <w:rPr>
                <w:rFonts w:ascii="Arial" w:eastAsia="Times New Roman" w:hAnsi="Arial" w:cs="Arial"/>
                <w:color w:val="000000" w:themeColor="text1"/>
                <w:sz w:val="24"/>
                <w:szCs w:val="24"/>
              </w:rPr>
            </w:pPr>
          </w:p>
        </w:tc>
      </w:tr>
      <w:tr w:rsidR="00581A28" w:rsidRPr="00B13CBE" w14:paraId="5E6933B1" w14:textId="77777777" w:rsidTr="00882AD3">
        <w:trPr>
          <w:trHeight w:val="300"/>
        </w:trPr>
        <w:tc>
          <w:tcPr>
            <w:tcW w:w="0" w:type="auto"/>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7E885FD" w14:textId="77777777" w:rsidR="00ED4E7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tc>
      </w:tr>
    </w:tbl>
    <w:p w14:paraId="04F10604" w14:textId="77777777" w:rsidR="00ED4E73" w:rsidRPr="00B13CBE" w:rsidRDefault="00ED4E73" w:rsidP="00781A3B">
      <w:pPr>
        <w:spacing w:after="0" w:line="360" w:lineRule="auto"/>
        <w:jc w:val="both"/>
        <w:rPr>
          <w:rFonts w:ascii="Arial" w:hAnsi="Arial" w:cs="Arial"/>
          <w:color w:val="000000" w:themeColor="text1"/>
          <w:sz w:val="24"/>
          <w:szCs w:val="24"/>
        </w:rPr>
      </w:pPr>
    </w:p>
    <w:p w14:paraId="2D806C78" w14:textId="77777777" w:rsidR="001F4CEB" w:rsidRPr="00B13CBE" w:rsidRDefault="00C4772C" w:rsidP="00781A3B">
      <w:pPr>
        <w:pStyle w:val="Heading2"/>
      </w:pPr>
      <w:bookmarkStart w:id="44" w:name="_Toc82603373"/>
      <w:r w:rsidRPr="00B13CBE">
        <w:lastRenderedPageBreak/>
        <w:t>Correlation</w:t>
      </w:r>
      <w:r w:rsidR="00567E47" w:rsidRPr="00B13CBE">
        <w:t xml:space="preserve"> </w:t>
      </w:r>
      <w:r w:rsidRPr="00B13CBE">
        <w:t>between</w:t>
      </w:r>
      <w:r w:rsidR="00567E47" w:rsidRPr="00B13CBE">
        <w:t xml:space="preserve"> </w:t>
      </w:r>
      <w:r w:rsidR="00FB5EA8" w:rsidRPr="00B13CBE">
        <w:t xml:space="preserve">Germany </w:t>
      </w:r>
      <w:r w:rsidRPr="00B13CBE">
        <w:t>and</w:t>
      </w:r>
      <w:r w:rsidR="00FB5EA8" w:rsidRPr="00B13CBE">
        <w:t xml:space="preserve"> Other Parts of the World</w:t>
      </w:r>
      <w:bookmarkEnd w:id="44"/>
    </w:p>
    <w:p w14:paraId="32CE0718" w14:textId="77777777" w:rsidR="00FB5EA8"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DCC-GARCH models were fitted between Germany’s DAX Performance index and indices from other parts of the world and the results are shown in Table 5. A GARCH (1,1) model with normally distributed residuals was used as the univariate distribution.</w:t>
      </w:r>
    </w:p>
    <w:p w14:paraId="24F2F2D8" w14:textId="77777777" w:rsidR="00FE101D" w:rsidRPr="00B13CBE" w:rsidRDefault="00C4772C" w:rsidP="00781A3B">
      <w:pPr>
        <w:pStyle w:val="Caption"/>
        <w:keepNext/>
        <w:spacing w:line="360" w:lineRule="auto"/>
        <w:jc w:val="both"/>
        <w:rPr>
          <w:rFonts w:ascii="Arial" w:hAnsi="Arial" w:cs="Arial"/>
          <w:color w:val="000000" w:themeColor="text1"/>
        </w:rPr>
      </w:pPr>
      <w:bookmarkStart w:id="45" w:name="_Toc82603416"/>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5</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:Correlation between Germany's DAX Performance Index and indices from </w:t>
      </w:r>
      <w:r w:rsidR="0078397F" w:rsidRPr="00B13CBE">
        <w:rPr>
          <w:rFonts w:ascii="Arial" w:hAnsi="Arial" w:cs="Arial"/>
          <w:color w:val="000000" w:themeColor="text1"/>
        </w:rPr>
        <w:t>O</w:t>
      </w:r>
      <w:r w:rsidRPr="00B13CBE">
        <w:rPr>
          <w:rFonts w:ascii="Arial" w:hAnsi="Arial" w:cs="Arial"/>
          <w:color w:val="000000" w:themeColor="text1"/>
        </w:rPr>
        <w:t xml:space="preserve">ther </w:t>
      </w:r>
      <w:r w:rsidR="0078397F" w:rsidRPr="00B13CBE">
        <w:rPr>
          <w:rFonts w:ascii="Arial" w:hAnsi="Arial" w:cs="Arial"/>
          <w:color w:val="000000" w:themeColor="text1"/>
        </w:rPr>
        <w:t>C</w:t>
      </w:r>
      <w:r w:rsidRPr="00B13CBE">
        <w:rPr>
          <w:rFonts w:ascii="Arial" w:hAnsi="Arial" w:cs="Arial"/>
          <w:color w:val="000000" w:themeColor="text1"/>
        </w:rPr>
        <w:t>ountries</w:t>
      </w:r>
      <w:bookmarkEnd w:id="45"/>
    </w:p>
    <w:tbl>
      <w:tblPr>
        <w:tblW w:w="958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300"/>
        <w:gridCol w:w="2227"/>
        <w:gridCol w:w="2426"/>
        <w:gridCol w:w="2052"/>
        <w:gridCol w:w="1583"/>
      </w:tblGrid>
      <w:tr w:rsidR="004379AD" w:rsidRPr="00B13CBE" w14:paraId="2445A520" w14:textId="77777777" w:rsidTr="000C2323">
        <w:trPr>
          <w:trHeight w:val="288"/>
        </w:trPr>
        <w:tc>
          <w:tcPr>
            <w:tcW w:w="1300" w:type="dxa"/>
            <w:tcBorders>
              <w:top w:val="single" w:sz="4" w:space="0" w:color="auto"/>
              <w:bottom w:val="nil"/>
              <w:right w:val="single" w:sz="4" w:space="0" w:color="auto"/>
            </w:tcBorders>
            <w:shd w:val="clear" w:color="auto" w:fill="auto"/>
            <w:noWrap/>
            <w:vAlign w:val="center"/>
          </w:tcPr>
          <w:p w14:paraId="175B1B1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2227" w:type="dxa"/>
            <w:tcBorders>
              <w:top w:val="single" w:sz="4" w:space="0" w:color="auto"/>
              <w:left w:val="single" w:sz="4" w:space="0" w:color="auto"/>
              <w:bottom w:val="nil"/>
              <w:right w:val="single" w:sz="4" w:space="0" w:color="auto"/>
            </w:tcBorders>
            <w:shd w:val="clear" w:color="auto" w:fill="auto"/>
            <w:noWrap/>
            <w:vAlign w:val="center"/>
          </w:tcPr>
          <w:p w14:paraId="1D2C0ECA"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2426" w:type="dxa"/>
            <w:tcBorders>
              <w:top w:val="single" w:sz="4" w:space="0" w:color="auto"/>
              <w:left w:val="single" w:sz="4" w:space="0" w:color="auto"/>
              <w:bottom w:val="nil"/>
              <w:right w:val="single" w:sz="4" w:space="0" w:color="auto"/>
            </w:tcBorders>
            <w:shd w:val="clear" w:color="auto" w:fill="auto"/>
            <w:noWrap/>
            <w:vAlign w:val="center"/>
          </w:tcPr>
          <w:p w14:paraId="3E401A6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2052" w:type="dxa"/>
            <w:tcBorders>
              <w:top w:val="single" w:sz="4" w:space="0" w:color="auto"/>
              <w:left w:val="single" w:sz="4" w:space="0" w:color="auto"/>
              <w:bottom w:val="nil"/>
              <w:right w:val="single" w:sz="4" w:space="0" w:color="auto"/>
            </w:tcBorders>
            <w:shd w:val="clear" w:color="auto" w:fill="auto"/>
            <w:noWrap/>
            <w:vAlign w:val="center"/>
          </w:tcPr>
          <w:p w14:paraId="3C418BA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1583" w:type="dxa"/>
            <w:tcBorders>
              <w:top w:val="single" w:sz="4" w:space="0" w:color="auto"/>
              <w:left w:val="single" w:sz="4" w:space="0" w:color="auto"/>
              <w:bottom w:val="single" w:sz="4" w:space="0" w:color="auto"/>
            </w:tcBorders>
            <w:shd w:val="clear" w:color="auto" w:fill="auto"/>
            <w:noWrap/>
            <w:vAlign w:val="bottom"/>
          </w:tcPr>
          <w:p w14:paraId="399856C5"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5E87C204" w14:textId="77777777" w:rsidTr="000C2323">
        <w:trPr>
          <w:trHeight w:val="288"/>
        </w:trPr>
        <w:tc>
          <w:tcPr>
            <w:tcW w:w="1300" w:type="dxa"/>
            <w:tcBorders>
              <w:top w:val="single" w:sz="4" w:space="0" w:color="auto"/>
              <w:bottom w:val="nil"/>
              <w:right w:val="single" w:sz="4" w:space="0" w:color="auto"/>
            </w:tcBorders>
            <w:shd w:val="clear" w:color="auto" w:fill="auto"/>
            <w:noWrap/>
            <w:vAlign w:val="bottom"/>
            <w:hideMark/>
          </w:tcPr>
          <w:p w14:paraId="1EDC8323"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France</w:t>
            </w:r>
          </w:p>
        </w:tc>
        <w:tc>
          <w:tcPr>
            <w:tcW w:w="2227" w:type="dxa"/>
            <w:tcBorders>
              <w:top w:val="single" w:sz="4" w:space="0" w:color="auto"/>
              <w:left w:val="single" w:sz="4" w:space="0" w:color="auto"/>
              <w:bottom w:val="nil"/>
              <w:right w:val="single" w:sz="4" w:space="0" w:color="auto"/>
            </w:tcBorders>
            <w:shd w:val="clear" w:color="auto" w:fill="auto"/>
            <w:noWrap/>
            <w:vAlign w:val="bottom"/>
            <w:hideMark/>
          </w:tcPr>
          <w:p w14:paraId="0C9F864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CAC 40</w:t>
            </w:r>
          </w:p>
        </w:tc>
        <w:tc>
          <w:tcPr>
            <w:tcW w:w="2426" w:type="dxa"/>
            <w:tcBorders>
              <w:top w:val="single" w:sz="4" w:space="0" w:color="auto"/>
              <w:left w:val="single" w:sz="4" w:space="0" w:color="auto"/>
              <w:bottom w:val="nil"/>
              <w:right w:val="single" w:sz="4" w:space="0" w:color="auto"/>
            </w:tcBorders>
            <w:shd w:val="clear" w:color="auto" w:fill="auto"/>
            <w:noWrap/>
            <w:vAlign w:val="bottom"/>
            <w:hideMark/>
          </w:tcPr>
          <w:p w14:paraId="5EEED384"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single" w:sz="4" w:space="0" w:color="auto"/>
              <w:left w:val="single" w:sz="4" w:space="0" w:color="auto"/>
              <w:bottom w:val="nil"/>
              <w:right w:val="single" w:sz="4" w:space="0" w:color="auto"/>
            </w:tcBorders>
            <w:shd w:val="clear" w:color="auto" w:fill="auto"/>
            <w:noWrap/>
            <w:vAlign w:val="bottom"/>
            <w:hideMark/>
          </w:tcPr>
          <w:p w14:paraId="0B354F9D"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0.0522</w:t>
            </w:r>
            <w:r w:rsidR="00232E17" w:rsidRPr="00B13CBE">
              <w:rPr>
                <w:rFonts w:ascii="Arial" w:eastAsia="Times New Roman" w:hAnsi="Arial" w:cs="Arial"/>
                <w:color w:val="000000" w:themeColor="text1"/>
                <w:sz w:val="24"/>
                <w:szCs w:val="24"/>
              </w:rPr>
              <w:t>***</w:t>
            </w:r>
          </w:p>
          <w:p w14:paraId="173BF9A7"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(0.01570)</w:t>
            </w:r>
          </w:p>
        </w:tc>
        <w:tc>
          <w:tcPr>
            <w:tcW w:w="1583" w:type="dxa"/>
            <w:tcBorders>
              <w:top w:val="single" w:sz="4" w:space="0" w:color="auto"/>
              <w:left w:val="single" w:sz="4" w:space="0" w:color="auto"/>
            </w:tcBorders>
            <w:shd w:val="clear" w:color="auto" w:fill="auto"/>
            <w:noWrap/>
            <w:vAlign w:val="bottom"/>
            <w:hideMark/>
          </w:tcPr>
          <w:p w14:paraId="72E5374F"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0.0009</w:t>
            </w:r>
          </w:p>
        </w:tc>
      </w:tr>
      <w:tr w:rsidR="004379AD" w:rsidRPr="00B13CBE" w14:paraId="49743AD0"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192AF816"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207C154C"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5349CC04"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51249343"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0.8606</w:t>
            </w:r>
            <w:r w:rsidR="00232E17" w:rsidRPr="00B13CBE">
              <w:rPr>
                <w:rFonts w:ascii="Arial" w:eastAsia="Times New Roman" w:hAnsi="Arial" w:cs="Arial"/>
                <w:color w:val="000000" w:themeColor="text1"/>
                <w:sz w:val="24"/>
                <w:szCs w:val="24"/>
              </w:rPr>
              <w:t>***</w:t>
            </w:r>
          </w:p>
          <w:p w14:paraId="03325B11"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(0.0458)</w:t>
            </w:r>
          </w:p>
        </w:tc>
        <w:tc>
          <w:tcPr>
            <w:tcW w:w="1583" w:type="dxa"/>
            <w:tcBorders>
              <w:left w:val="single" w:sz="4" w:space="0" w:color="auto"/>
            </w:tcBorders>
            <w:shd w:val="clear" w:color="auto" w:fill="auto"/>
            <w:noWrap/>
            <w:vAlign w:val="bottom"/>
            <w:hideMark/>
          </w:tcPr>
          <w:p w14:paraId="3DDC59F7"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1B4FE37"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0B01257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proofErr w:type="gramStart"/>
            <w:r w:rsidRPr="00B13CBE">
              <w:rPr>
                <w:rFonts w:ascii="Arial" w:eastAsia="Times New Roman" w:hAnsi="Arial" w:cs="Arial"/>
                <w:color w:val="000000" w:themeColor="text1"/>
                <w:sz w:val="24"/>
                <w:szCs w:val="24"/>
              </w:rPr>
              <w:t>U.K</w:t>
            </w:r>
            <w:proofErr w:type="gramEnd"/>
          </w:p>
        </w:tc>
        <w:tc>
          <w:tcPr>
            <w:tcW w:w="2227" w:type="dxa"/>
            <w:tcBorders>
              <w:top w:val="nil"/>
              <w:left w:val="single" w:sz="4" w:space="0" w:color="auto"/>
              <w:bottom w:val="nil"/>
              <w:right w:val="single" w:sz="4" w:space="0" w:color="auto"/>
            </w:tcBorders>
            <w:shd w:val="clear" w:color="auto" w:fill="auto"/>
            <w:noWrap/>
            <w:vAlign w:val="bottom"/>
            <w:hideMark/>
          </w:tcPr>
          <w:p w14:paraId="460803C7"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FTSE</w:t>
            </w:r>
          </w:p>
        </w:tc>
        <w:tc>
          <w:tcPr>
            <w:tcW w:w="2426" w:type="dxa"/>
            <w:tcBorders>
              <w:top w:val="nil"/>
              <w:left w:val="single" w:sz="4" w:space="0" w:color="auto"/>
              <w:bottom w:val="nil"/>
              <w:right w:val="single" w:sz="4" w:space="0" w:color="auto"/>
            </w:tcBorders>
            <w:shd w:val="clear" w:color="auto" w:fill="auto"/>
            <w:noWrap/>
            <w:vAlign w:val="bottom"/>
            <w:hideMark/>
          </w:tcPr>
          <w:p w14:paraId="3C85BB31"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716B0EBB" w14:textId="77777777" w:rsidR="00882AD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0.0613</w:t>
            </w:r>
            <w:r w:rsidR="00232E17" w:rsidRPr="00B13CBE">
              <w:rPr>
                <w:rFonts w:ascii="Arial" w:eastAsia="Times New Roman" w:hAnsi="Arial" w:cs="Arial"/>
                <w:b/>
                <w:bCs/>
                <w:color w:val="000000" w:themeColor="text1"/>
                <w:sz w:val="24"/>
                <w:szCs w:val="24"/>
              </w:rPr>
              <w:t>***</w:t>
            </w:r>
          </w:p>
          <w:p w14:paraId="33210429"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(0.0202)</w:t>
            </w:r>
          </w:p>
        </w:tc>
        <w:tc>
          <w:tcPr>
            <w:tcW w:w="1583" w:type="dxa"/>
            <w:tcBorders>
              <w:left w:val="single" w:sz="4" w:space="0" w:color="auto"/>
            </w:tcBorders>
            <w:shd w:val="clear" w:color="auto" w:fill="auto"/>
            <w:noWrap/>
            <w:vAlign w:val="bottom"/>
            <w:hideMark/>
          </w:tcPr>
          <w:p w14:paraId="14A965D9"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0.0024</w:t>
            </w:r>
          </w:p>
        </w:tc>
      </w:tr>
      <w:tr w:rsidR="004379AD" w:rsidRPr="00B13CBE" w14:paraId="2E5C32EF"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5789494A"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48CD7665"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0D43EAB8"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0190492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0.8587</w:t>
            </w:r>
            <w:r w:rsidR="00232E17" w:rsidRPr="00B13CBE">
              <w:rPr>
                <w:rFonts w:ascii="Arial" w:eastAsia="Times New Roman" w:hAnsi="Arial" w:cs="Arial"/>
                <w:color w:val="000000" w:themeColor="text1"/>
                <w:sz w:val="24"/>
                <w:szCs w:val="24"/>
              </w:rPr>
              <w:t>***</w:t>
            </w:r>
          </w:p>
          <w:p w14:paraId="1752E20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(0.0589)</w:t>
            </w:r>
          </w:p>
        </w:tc>
        <w:tc>
          <w:tcPr>
            <w:tcW w:w="1583" w:type="dxa"/>
            <w:tcBorders>
              <w:left w:val="single" w:sz="4" w:space="0" w:color="auto"/>
            </w:tcBorders>
            <w:shd w:val="clear" w:color="auto" w:fill="auto"/>
            <w:noWrap/>
            <w:vAlign w:val="bottom"/>
            <w:hideMark/>
          </w:tcPr>
          <w:p w14:paraId="61B66C0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32CC2D50"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221AD4E4"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Japan</w:t>
            </w:r>
          </w:p>
        </w:tc>
        <w:tc>
          <w:tcPr>
            <w:tcW w:w="2227" w:type="dxa"/>
            <w:tcBorders>
              <w:top w:val="nil"/>
              <w:left w:val="single" w:sz="4" w:space="0" w:color="auto"/>
              <w:bottom w:val="nil"/>
              <w:right w:val="single" w:sz="4" w:space="0" w:color="auto"/>
            </w:tcBorders>
            <w:shd w:val="clear" w:color="auto" w:fill="auto"/>
            <w:noWrap/>
            <w:vAlign w:val="bottom"/>
            <w:hideMark/>
          </w:tcPr>
          <w:p w14:paraId="7A65EF0A"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NIKKEI</w:t>
            </w:r>
          </w:p>
        </w:tc>
        <w:tc>
          <w:tcPr>
            <w:tcW w:w="2426" w:type="dxa"/>
            <w:tcBorders>
              <w:top w:val="nil"/>
              <w:left w:val="single" w:sz="4" w:space="0" w:color="auto"/>
              <w:bottom w:val="nil"/>
              <w:right w:val="single" w:sz="4" w:space="0" w:color="auto"/>
            </w:tcBorders>
            <w:shd w:val="clear" w:color="auto" w:fill="auto"/>
            <w:noWrap/>
            <w:vAlign w:val="bottom"/>
            <w:hideMark/>
          </w:tcPr>
          <w:p w14:paraId="3390460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40DB2387"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0.0070</w:t>
            </w:r>
          </w:p>
          <w:p w14:paraId="31EED998"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(0.0077)</w:t>
            </w:r>
          </w:p>
        </w:tc>
        <w:tc>
          <w:tcPr>
            <w:tcW w:w="1583" w:type="dxa"/>
            <w:tcBorders>
              <w:left w:val="single" w:sz="4" w:space="0" w:color="auto"/>
            </w:tcBorders>
            <w:shd w:val="clear" w:color="auto" w:fill="auto"/>
            <w:noWrap/>
            <w:vAlign w:val="bottom"/>
            <w:hideMark/>
          </w:tcPr>
          <w:p w14:paraId="331E771C"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0.3680</w:t>
            </w:r>
          </w:p>
        </w:tc>
      </w:tr>
      <w:tr w:rsidR="004379AD" w:rsidRPr="00B13CBE" w14:paraId="791B3D2D"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5DF31C1E"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528AA4BB"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2BDE811D"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120BED9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0.9539</w:t>
            </w:r>
          </w:p>
          <w:p w14:paraId="6EA641DF"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(0.0164)</w:t>
            </w:r>
          </w:p>
        </w:tc>
        <w:tc>
          <w:tcPr>
            <w:tcW w:w="1583" w:type="dxa"/>
            <w:tcBorders>
              <w:left w:val="single" w:sz="4" w:space="0" w:color="auto"/>
            </w:tcBorders>
            <w:shd w:val="clear" w:color="auto" w:fill="auto"/>
            <w:noWrap/>
            <w:vAlign w:val="bottom"/>
            <w:hideMark/>
          </w:tcPr>
          <w:p w14:paraId="7B39F28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1524859"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2506D079"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Hong Kong</w:t>
            </w:r>
          </w:p>
        </w:tc>
        <w:tc>
          <w:tcPr>
            <w:tcW w:w="2227" w:type="dxa"/>
            <w:tcBorders>
              <w:top w:val="nil"/>
              <w:left w:val="single" w:sz="4" w:space="0" w:color="auto"/>
              <w:bottom w:val="nil"/>
              <w:right w:val="single" w:sz="4" w:space="0" w:color="auto"/>
            </w:tcBorders>
            <w:shd w:val="clear" w:color="auto" w:fill="auto"/>
            <w:noWrap/>
            <w:vAlign w:val="bottom"/>
            <w:hideMark/>
          </w:tcPr>
          <w:p w14:paraId="117885CE" w14:textId="3D3F7C2E"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w:t>
            </w:r>
            <w:r w:rsidR="000C2323"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SENG</w:t>
            </w:r>
          </w:p>
        </w:tc>
        <w:tc>
          <w:tcPr>
            <w:tcW w:w="2426" w:type="dxa"/>
            <w:tcBorders>
              <w:top w:val="nil"/>
              <w:left w:val="single" w:sz="4" w:space="0" w:color="auto"/>
              <w:bottom w:val="nil"/>
              <w:right w:val="single" w:sz="4" w:space="0" w:color="auto"/>
            </w:tcBorders>
            <w:shd w:val="clear" w:color="auto" w:fill="auto"/>
            <w:noWrap/>
            <w:vAlign w:val="bottom"/>
            <w:hideMark/>
          </w:tcPr>
          <w:p w14:paraId="57B1ED20"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5FE2D4C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0.0145</w:t>
            </w:r>
            <w:r w:rsidR="00232E17" w:rsidRPr="00B13CBE">
              <w:rPr>
                <w:rFonts w:ascii="Arial" w:eastAsia="Times New Roman" w:hAnsi="Arial" w:cs="Arial"/>
                <w:color w:val="000000" w:themeColor="text1"/>
                <w:sz w:val="24"/>
                <w:szCs w:val="24"/>
              </w:rPr>
              <w:t>**</w:t>
            </w:r>
          </w:p>
          <w:p w14:paraId="1C0A465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(0.0068)</w:t>
            </w:r>
          </w:p>
        </w:tc>
        <w:tc>
          <w:tcPr>
            <w:tcW w:w="1583" w:type="dxa"/>
            <w:tcBorders>
              <w:left w:val="single" w:sz="4" w:space="0" w:color="auto"/>
            </w:tcBorders>
            <w:shd w:val="clear" w:color="auto" w:fill="auto"/>
            <w:noWrap/>
            <w:vAlign w:val="bottom"/>
            <w:hideMark/>
          </w:tcPr>
          <w:p w14:paraId="513A36B9"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0.0340</w:t>
            </w:r>
          </w:p>
        </w:tc>
      </w:tr>
      <w:tr w:rsidR="004379AD" w:rsidRPr="00B13CBE" w14:paraId="34DBFA7A"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0CAE62D0"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19118F4B"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51B2FFE5"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5B0FD140" w14:textId="77777777" w:rsidR="00882AD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0.9624</w:t>
            </w:r>
            <w:r w:rsidR="00232E17" w:rsidRPr="00B13CBE">
              <w:rPr>
                <w:rFonts w:ascii="Arial" w:eastAsia="Times New Roman" w:hAnsi="Arial" w:cs="Arial"/>
                <w:b/>
                <w:bCs/>
                <w:color w:val="000000" w:themeColor="text1"/>
                <w:sz w:val="24"/>
                <w:szCs w:val="24"/>
              </w:rPr>
              <w:t>***</w:t>
            </w:r>
          </w:p>
          <w:p w14:paraId="08DB7505"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(0.0178)</w:t>
            </w:r>
          </w:p>
        </w:tc>
        <w:tc>
          <w:tcPr>
            <w:tcW w:w="1583" w:type="dxa"/>
            <w:tcBorders>
              <w:left w:val="single" w:sz="4" w:space="0" w:color="auto"/>
            </w:tcBorders>
            <w:shd w:val="clear" w:color="auto" w:fill="auto"/>
            <w:noWrap/>
            <w:vAlign w:val="bottom"/>
            <w:hideMark/>
          </w:tcPr>
          <w:p w14:paraId="66250274"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360CE1EA"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7624E818"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China</w:t>
            </w:r>
          </w:p>
        </w:tc>
        <w:tc>
          <w:tcPr>
            <w:tcW w:w="2227" w:type="dxa"/>
            <w:tcBorders>
              <w:top w:val="nil"/>
              <w:left w:val="single" w:sz="4" w:space="0" w:color="auto"/>
              <w:bottom w:val="nil"/>
              <w:right w:val="single" w:sz="4" w:space="0" w:color="auto"/>
            </w:tcBorders>
            <w:shd w:val="clear" w:color="auto" w:fill="auto"/>
            <w:noWrap/>
            <w:vAlign w:val="bottom"/>
            <w:hideMark/>
          </w:tcPr>
          <w:p w14:paraId="00E8CF64"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w:t>
            </w:r>
            <w:r w:rsidR="00232E17" w:rsidRPr="00B13CBE">
              <w:rPr>
                <w:rFonts w:ascii="Arial" w:eastAsia="Times New Roman" w:hAnsi="Arial" w:cs="Arial"/>
                <w:color w:val="000000" w:themeColor="text1"/>
                <w:sz w:val="24"/>
                <w:szCs w:val="24"/>
              </w:rPr>
              <w:t>H</w:t>
            </w:r>
            <w:r w:rsidRPr="00B13CBE">
              <w:rPr>
                <w:rFonts w:ascii="Arial" w:eastAsia="Times New Roman" w:hAnsi="Arial" w:cs="Arial"/>
                <w:color w:val="000000" w:themeColor="text1"/>
                <w:sz w:val="24"/>
                <w:szCs w:val="24"/>
              </w:rPr>
              <w:t>EN</w:t>
            </w:r>
          </w:p>
        </w:tc>
        <w:tc>
          <w:tcPr>
            <w:tcW w:w="2426" w:type="dxa"/>
            <w:tcBorders>
              <w:top w:val="nil"/>
              <w:left w:val="single" w:sz="4" w:space="0" w:color="auto"/>
              <w:bottom w:val="nil"/>
              <w:right w:val="single" w:sz="4" w:space="0" w:color="auto"/>
            </w:tcBorders>
            <w:shd w:val="clear" w:color="auto" w:fill="auto"/>
            <w:noWrap/>
            <w:vAlign w:val="bottom"/>
            <w:hideMark/>
          </w:tcPr>
          <w:p w14:paraId="7E68EDBD"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1A7577A1"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0.0044</w:t>
            </w:r>
          </w:p>
          <w:p w14:paraId="277B2632"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(0.0066)</w:t>
            </w:r>
          </w:p>
        </w:tc>
        <w:tc>
          <w:tcPr>
            <w:tcW w:w="1583" w:type="dxa"/>
            <w:tcBorders>
              <w:left w:val="single" w:sz="4" w:space="0" w:color="auto"/>
            </w:tcBorders>
            <w:shd w:val="clear" w:color="auto" w:fill="auto"/>
            <w:noWrap/>
            <w:vAlign w:val="bottom"/>
            <w:hideMark/>
          </w:tcPr>
          <w:p w14:paraId="3A750350"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0.5067</w:t>
            </w:r>
          </w:p>
        </w:tc>
      </w:tr>
      <w:tr w:rsidR="004379AD" w:rsidRPr="00B13CBE" w14:paraId="4F1DE6A9"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27439D49"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67F5B3BD"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57FD38A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2873DE40" w14:textId="77777777" w:rsidR="00882AD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0.9831</w:t>
            </w:r>
            <w:r w:rsidR="00232E17" w:rsidRPr="00B13CBE">
              <w:rPr>
                <w:rFonts w:ascii="Arial" w:eastAsia="Times New Roman" w:hAnsi="Arial" w:cs="Arial"/>
                <w:b/>
                <w:bCs/>
                <w:color w:val="000000" w:themeColor="text1"/>
                <w:sz w:val="24"/>
                <w:szCs w:val="24"/>
              </w:rPr>
              <w:t>***</w:t>
            </w:r>
          </w:p>
          <w:p w14:paraId="002206D5"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(0.0089)</w:t>
            </w:r>
          </w:p>
        </w:tc>
        <w:tc>
          <w:tcPr>
            <w:tcW w:w="1583" w:type="dxa"/>
            <w:tcBorders>
              <w:left w:val="single" w:sz="4" w:space="0" w:color="auto"/>
            </w:tcBorders>
            <w:shd w:val="clear" w:color="auto" w:fill="auto"/>
            <w:noWrap/>
            <w:vAlign w:val="bottom"/>
            <w:hideMark/>
          </w:tcPr>
          <w:p w14:paraId="346CDB18"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58425DAD"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4926B96F"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2227" w:type="dxa"/>
            <w:tcBorders>
              <w:top w:val="nil"/>
              <w:left w:val="single" w:sz="4" w:space="0" w:color="auto"/>
              <w:bottom w:val="nil"/>
              <w:right w:val="single" w:sz="4" w:space="0" w:color="auto"/>
            </w:tcBorders>
            <w:shd w:val="clear" w:color="auto" w:fill="auto"/>
            <w:noWrap/>
            <w:vAlign w:val="bottom"/>
            <w:hideMark/>
          </w:tcPr>
          <w:p w14:paraId="6DA4C192"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2426" w:type="dxa"/>
            <w:tcBorders>
              <w:top w:val="nil"/>
              <w:left w:val="single" w:sz="4" w:space="0" w:color="auto"/>
              <w:bottom w:val="nil"/>
              <w:right w:val="single" w:sz="4" w:space="0" w:color="auto"/>
            </w:tcBorders>
            <w:shd w:val="clear" w:color="auto" w:fill="auto"/>
            <w:noWrap/>
            <w:vAlign w:val="bottom"/>
            <w:hideMark/>
          </w:tcPr>
          <w:p w14:paraId="64A2ED9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59823EF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0.0138</w:t>
            </w:r>
          </w:p>
          <w:p w14:paraId="74B6FDB2"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(0.0114)</w:t>
            </w:r>
          </w:p>
        </w:tc>
        <w:tc>
          <w:tcPr>
            <w:tcW w:w="1583" w:type="dxa"/>
            <w:tcBorders>
              <w:left w:val="single" w:sz="4" w:space="0" w:color="auto"/>
            </w:tcBorders>
            <w:shd w:val="clear" w:color="auto" w:fill="auto"/>
            <w:noWrap/>
            <w:vAlign w:val="bottom"/>
            <w:hideMark/>
          </w:tcPr>
          <w:p w14:paraId="2B2F7FB0"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0.2243</w:t>
            </w:r>
          </w:p>
        </w:tc>
      </w:tr>
      <w:tr w:rsidR="004379AD" w:rsidRPr="00B13CBE" w14:paraId="593F4DCE"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05108E6B"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nil"/>
              <w:right w:val="single" w:sz="4" w:space="0" w:color="auto"/>
            </w:tcBorders>
            <w:shd w:val="clear" w:color="auto" w:fill="auto"/>
            <w:noWrap/>
            <w:vAlign w:val="bottom"/>
            <w:hideMark/>
          </w:tcPr>
          <w:p w14:paraId="673446CE"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nil"/>
              <w:right w:val="single" w:sz="4" w:space="0" w:color="auto"/>
            </w:tcBorders>
            <w:shd w:val="clear" w:color="auto" w:fill="auto"/>
            <w:noWrap/>
            <w:vAlign w:val="bottom"/>
            <w:hideMark/>
          </w:tcPr>
          <w:p w14:paraId="5B8D45EB"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nil"/>
              <w:right w:val="single" w:sz="4" w:space="0" w:color="auto"/>
            </w:tcBorders>
            <w:shd w:val="clear" w:color="auto" w:fill="auto"/>
            <w:noWrap/>
            <w:vAlign w:val="bottom"/>
            <w:hideMark/>
          </w:tcPr>
          <w:p w14:paraId="55C03697" w14:textId="77777777" w:rsidR="00882AD3"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0.9602</w:t>
            </w:r>
            <w:r w:rsidR="00232E17" w:rsidRPr="00B13CBE">
              <w:rPr>
                <w:rFonts w:ascii="Arial" w:eastAsia="Times New Roman" w:hAnsi="Arial" w:cs="Arial"/>
                <w:b/>
                <w:bCs/>
                <w:color w:val="000000" w:themeColor="text1"/>
                <w:sz w:val="24"/>
                <w:szCs w:val="24"/>
              </w:rPr>
              <w:t>***</w:t>
            </w:r>
          </w:p>
          <w:p w14:paraId="49FB201D"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(0.0463)</w:t>
            </w:r>
          </w:p>
        </w:tc>
        <w:tc>
          <w:tcPr>
            <w:tcW w:w="1583" w:type="dxa"/>
            <w:tcBorders>
              <w:left w:val="single" w:sz="4" w:space="0" w:color="auto"/>
            </w:tcBorders>
            <w:shd w:val="clear" w:color="auto" w:fill="auto"/>
            <w:noWrap/>
            <w:vAlign w:val="bottom"/>
            <w:hideMark/>
          </w:tcPr>
          <w:p w14:paraId="420BC988"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06CAD566" w14:textId="77777777" w:rsidTr="000C2323">
        <w:trPr>
          <w:trHeight w:val="288"/>
        </w:trPr>
        <w:tc>
          <w:tcPr>
            <w:tcW w:w="1300" w:type="dxa"/>
            <w:tcBorders>
              <w:top w:val="nil"/>
              <w:bottom w:val="nil"/>
              <w:right w:val="single" w:sz="4" w:space="0" w:color="auto"/>
            </w:tcBorders>
            <w:shd w:val="clear" w:color="auto" w:fill="auto"/>
            <w:noWrap/>
            <w:vAlign w:val="bottom"/>
            <w:hideMark/>
          </w:tcPr>
          <w:p w14:paraId="6C98CB26"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2227" w:type="dxa"/>
            <w:tcBorders>
              <w:top w:val="nil"/>
              <w:left w:val="single" w:sz="4" w:space="0" w:color="auto"/>
              <w:bottom w:val="nil"/>
              <w:right w:val="single" w:sz="4" w:space="0" w:color="auto"/>
            </w:tcBorders>
            <w:shd w:val="clear" w:color="auto" w:fill="auto"/>
            <w:noWrap/>
            <w:vAlign w:val="bottom"/>
            <w:hideMark/>
          </w:tcPr>
          <w:p w14:paraId="3CB65F8D"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w:t>
            </w:r>
            <w:r w:rsidR="00232E17"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Islamic Index</w:t>
            </w:r>
          </w:p>
        </w:tc>
        <w:tc>
          <w:tcPr>
            <w:tcW w:w="2426" w:type="dxa"/>
            <w:tcBorders>
              <w:top w:val="nil"/>
              <w:left w:val="single" w:sz="4" w:space="0" w:color="auto"/>
              <w:bottom w:val="nil"/>
              <w:right w:val="single" w:sz="4" w:space="0" w:color="auto"/>
            </w:tcBorders>
            <w:shd w:val="clear" w:color="auto" w:fill="auto"/>
            <w:noWrap/>
            <w:vAlign w:val="bottom"/>
            <w:hideMark/>
          </w:tcPr>
          <w:p w14:paraId="3B7C69AF"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2052" w:type="dxa"/>
            <w:tcBorders>
              <w:top w:val="nil"/>
              <w:left w:val="single" w:sz="4" w:space="0" w:color="auto"/>
              <w:bottom w:val="nil"/>
              <w:right w:val="single" w:sz="4" w:space="0" w:color="auto"/>
            </w:tcBorders>
            <w:shd w:val="clear" w:color="auto" w:fill="auto"/>
            <w:noWrap/>
            <w:vAlign w:val="bottom"/>
            <w:hideMark/>
          </w:tcPr>
          <w:p w14:paraId="2EEF20AA"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0.1012</w:t>
            </w:r>
            <w:r w:rsidR="00232E17" w:rsidRPr="00B13CBE">
              <w:rPr>
                <w:rFonts w:ascii="Arial" w:eastAsia="Times New Roman" w:hAnsi="Arial" w:cs="Arial"/>
                <w:color w:val="000000" w:themeColor="text1"/>
                <w:sz w:val="24"/>
                <w:szCs w:val="24"/>
              </w:rPr>
              <w:t>***</w:t>
            </w:r>
          </w:p>
          <w:p w14:paraId="26C4D52E"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(0.0341)</w:t>
            </w:r>
          </w:p>
        </w:tc>
        <w:tc>
          <w:tcPr>
            <w:tcW w:w="1583" w:type="dxa"/>
            <w:tcBorders>
              <w:left w:val="single" w:sz="4" w:space="0" w:color="auto"/>
            </w:tcBorders>
            <w:shd w:val="clear" w:color="auto" w:fill="auto"/>
            <w:noWrap/>
            <w:vAlign w:val="bottom"/>
            <w:hideMark/>
          </w:tcPr>
          <w:p w14:paraId="6832FAC2"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0.0030</w:t>
            </w:r>
          </w:p>
        </w:tc>
      </w:tr>
      <w:tr w:rsidR="004379AD" w:rsidRPr="00B13CBE" w14:paraId="57EF3F41" w14:textId="77777777" w:rsidTr="000C2323">
        <w:trPr>
          <w:trHeight w:val="288"/>
        </w:trPr>
        <w:tc>
          <w:tcPr>
            <w:tcW w:w="1300" w:type="dxa"/>
            <w:tcBorders>
              <w:top w:val="nil"/>
              <w:bottom w:val="single" w:sz="4" w:space="0" w:color="auto"/>
              <w:right w:val="single" w:sz="4" w:space="0" w:color="auto"/>
            </w:tcBorders>
            <w:shd w:val="clear" w:color="auto" w:fill="auto"/>
            <w:noWrap/>
            <w:vAlign w:val="bottom"/>
            <w:hideMark/>
          </w:tcPr>
          <w:p w14:paraId="2E695344"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227" w:type="dxa"/>
            <w:tcBorders>
              <w:top w:val="nil"/>
              <w:left w:val="single" w:sz="4" w:space="0" w:color="auto"/>
              <w:bottom w:val="single" w:sz="4" w:space="0" w:color="auto"/>
              <w:right w:val="single" w:sz="4" w:space="0" w:color="auto"/>
            </w:tcBorders>
            <w:shd w:val="clear" w:color="auto" w:fill="auto"/>
            <w:noWrap/>
            <w:vAlign w:val="bottom"/>
            <w:hideMark/>
          </w:tcPr>
          <w:p w14:paraId="19AC2DCC" w14:textId="77777777" w:rsidR="00882AD3" w:rsidRPr="00B13CBE" w:rsidRDefault="00882AD3" w:rsidP="00781A3B">
            <w:pPr>
              <w:spacing w:after="0" w:line="360" w:lineRule="auto"/>
              <w:jc w:val="both"/>
              <w:rPr>
                <w:rFonts w:ascii="Arial" w:eastAsia="Times New Roman" w:hAnsi="Arial" w:cs="Arial"/>
                <w:color w:val="000000" w:themeColor="text1"/>
                <w:sz w:val="24"/>
                <w:szCs w:val="24"/>
              </w:rPr>
            </w:pPr>
          </w:p>
        </w:tc>
        <w:tc>
          <w:tcPr>
            <w:tcW w:w="2426" w:type="dxa"/>
            <w:tcBorders>
              <w:top w:val="nil"/>
              <w:left w:val="single" w:sz="4" w:space="0" w:color="auto"/>
              <w:bottom w:val="single" w:sz="4" w:space="0" w:color="auto"/>
              <w:right w:val="single" w:sz="4" w:space="0" w:color="auto"/>
            </w:tcBorders>
            <w:shd w:val="clear" w:color="auto" w:fill="auto"/>
            <w:noWrap/>
            <w:vAlign w:val="bottom"/>
            <w:hideMark/>
          </w:tcPr>
          <w:p w14:paraId="7D65B9A1" w14:textId="2461B4E6" w:rsidR="00882AD3" w:rsidRPr="00B13CBE" w:rsidRDefault="00781A3B"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2052" w:type="dxa"/>
            <w:tcBorders>
              <w:top w:val="nil"/>
              <w:left w:val="single" w:sz="4" w:space="0" w:color="auto"/>
              <w:bottom w:val="single" w:sz="4" w:space="0" w:color="auto"/>
              <w:right w:val="single" w:sz="4" w:space="0" w:color="auto"/>
            </w:tcBorders>
            <w:shd w:val="clear" w:color="auto" w:fill="auto"/>
            <w:noWrap/>
            <w:vAlign w:val="bottom"/>
            <w:hideMark/>
          </w:tcPr>
          <w:p w14:paraId="428F637A"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p w14:paraId="11E82141"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(0.9603)</w:t>
            </w:r>
          </w:p>
        </w:tc>
        <w:tc>
          <w:tcPr>
            <w:tcW w:w="1583" w:type="dxa"/>
            <w:tcBorders>
              <w:left w:val="single" w:sz="4" w:space="0" w:color="auto"/>
              <w:bottom w:val="single" w:sz="4" w:space="0" w:color="auto"/>
            </w:tcBorders>
            <w:shd w:val="clear" w:color="auto" w:fill="auto"/>
            <w:noWrap/>
            <w:vAlign w:val="bottom"/>
            <w:hideMark/>
          </w:tcPr>
          <w:p w14:paraId="11507D9A" w14:textId="77777777" w:rsidR="00882AD3"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1.0000</w:t>
            </w:r>
          </w:p>
        </w:tc>
      </w:tr>
      <w:tr w:rsidR="004379AD" w:rsidRPr="00B13CBE" w14:paraId="7E6B3405" w14:textId="77777777" w:rsidTr="000C2323">
        <w:trPr>
          <w:trHeight w:val="288"/>
        </w:trPr>
        <w:tc>
          <w:tcPr>
            <w:tcW w:w="9588" w:type="dxa"/>
            <w:gridSpan w:val="5"/>
            <w:tcBorders>
              <w:top w:val="single" w:sz="4" w:space="0" w:color="auto"/>
              <w:bottom w:val="single" w:sz="4" w:space="0" w:color="auto"/>
            </w:tcBorders>
            <w:shd w:val="clear" w:color="auto" w:fill="auto"/>
            <w:noWrap/>
            <w:vAlign w:val="bottom"/>
          </w:tcPr>
          <w:p w14:paraId="105A974E" w14:textId="77777777" w:rsidR="00AF71BE"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tc>
      </w:tr>
    </w:tbl>
    <w:p w14:paraId="71B795DB" w14:textId="77777777" w:rsidR="001F4CEB" w:rsidRPr="00B13CBE" w:rsidRDefault="00C4772C" w:rsidP="00781A3B">
      <w:pPr>
        <w:pStyle w:val="BodyText"/>
        <w:spacing w:before="0" w:after="0" w:line="360" w:lineRule="auto"/>
        <w:jc w:val="both"/>
        <w:rPr>
          <w:rFonts w:ascii="Arial" w:hAnsi="Arial" w:cs="Arial"/>
          <w:color w:val="000000" w:themeColor="text1"/>
        </w:rPr>
      </w:pPr>
      <w:r w:rsidRPr="00B13CBE">
        <w:rPr>
          <w:rFonts w:ascii="Arial" w:hAnsi="Arial" w:cs="Arial"/>
          <w:color w:val="000000" w:themeColor="text1"/>
        </w:rPr>
        <w:t>Germany’s Dax Performance index had its highest short-term correlation with UK’s FTSE 100 index (a = 0.0613, s.e = 0.0202). It had its highest long-term correlation with China’s Shenzhen index (b=0.9831, s.e</w:t>
      </w:r>
      <w:r w:rsidR="00AF71BE" w:rsidRPr="00B13CBE">
        <w:rPr>
          <w:rFonts w:ascii="Arial" w:hAnsi="Arial" w:cs="Arial"/>
          <w:color w:val="000000" w:themeColor="text1"/>
        </w:rPr>
        <w:t xml:space="preserve"> </w:t>
      </w:r>
      <w:r w:rsidRPr="00B13CBE">
        <w:rPr>
          <w:rFonts w:ascii="Arial" w:hAnsi="Arial" w:cs="Arial"/>
          <w:color w:val="000000" w:themeColor="text1"/>
        </w:rPr>
        <w:t>=0.0089)</w:t>
      </w:r>
      <w:r w:rsidR="00232E17" w:rsidRPr="00B13CBE">
        <w:rPr>
          <w:rFonts w:ascii="Arial" w:hAnsi="Arial" w:cs="Arial"/>
          <w:color w:val="000000" w:themeColor="text1"/>
        </w:rPr>
        <w:t xml:space="preserve"> and this high correlation of 0.98 was statistically significant at 1%</w:t>
      </w:r>
      <w:r w:rsidRPr="00B13CBE">
        <w:rPr>
          <w:rFonts w:ascii="Arial" w:hAnsi="Arial" w:cs="Arial"/>
          <w:color w:val="000000" w:themeColor="text1"/>
        </w:rPr>
        <w:t>. Japan’s NIKKEI 225 index, Hong Kong’s Hang Seng index, China’s Shenzhen index</w:t>
      </w:r>
      <w:r w:rsidR="00232E17" w:rsidRPr="00B13CBE">
        <w:rPr>
          <w:rFonts w:ascii="Arial" w:hAnsi="Arial" w:cs="Arial"/>
          <w:color w:val="000000" w:themeColor="text1"/>
        </w:rPr>
        <w:t xml:space="preserve">, </w:t>
      </w:r>
      <w:r w:rsidR="00EE77D0" w:rsidRPr="00B13CBE">
        <w:rPr>
          <w:rFonts w:ascii="Arial" w:hAnsi="Arial" w:cs="Arial"/>
          <w:color w:val="000000" w:themeColor="text1"/>
        </w:rPr>
        <w:t>and</w:t>
      </w:r>
      <w:r w:rsidR="00232E17" w:rsidRPr="00B13CBE">
        <w:rPr>
          <w:rFonts w:ascii="Arial" w:hAnsi="Arial" w:cs="Arial"/>
          <w:color w:val="000000" w:themeColor="text1"/>
        </w:rPr>
        <w:t xml:space="preserve"> </w:t>
      </w:r>
      <w:r w:rsidRPr="00B13CBE">
        <w:rPr>
          <w:rFonts w:ascii="Arial" w:hAnsi="Arial" w:cs="Arial"/>
          <w:color w:val="000000" w:themeColor="text1"/>
        </w:rPr>
        <w:t>Mexico’s IPC Mexico index all had correlations higher than 0.95 with Germany’s DAX Performance index.</w:t>
      </w:r>
      <w:r w:rsidR="00EE77D0" w:rsidRPr="00B13CBE">
        <w:rPr>
          <w:rFonts w:ascii="Arial" w:hAnsi="Arial" w:cs="Arial"/>
          <w:color w:val="000000" w:themeColor="text1"/>
        </w:rPr>
        <w:t xml:space="preserve"> Among these pairings, the correlation between NIKKEI and DAX Performance index was not statistically significant.</w:t>
      </w:r>
      <w:r w:rsidRPr="00B13CBE">
        <w:rPr>
          <w:rFonts w:ascii="Arial" w:hAnsi="Arial" w:cs="Arial"/>
          <w:color w:val="000000" w:themeColor="text1"/>
        </w:rPr>
        <w:t xml:space="preserve"> </w:t>
      </w:r>
      <w:r w:rsidR="00232E17" w:rsidRPr="00B13CBE">
        <w:rPr>
          <w:rFonts w:ascii="Arial" w:hAnsi="Arial" w:cs="Arial"/>
          <w:color w:val="000000" w:themeColor="text1"/>
        </w:rPr>
        <w:t xml:space="preserve">Indonesia’s Jakarta Islamic index had 0 long-term </w:t>
      </w:r>
      <w:r w:rsidR="00232E17" w:rsidRPr="00B13CBE">
        <w:rPr>
          <w:rFonts w:ascii="Arial" w:hAnsi="Arial" w:cs="Arial"/>
          <w:color w:val="000000" w:themeColor="text1"/>
        </w:rPr>
        <w:lastRenderedPageBreak/>
        <w:t>correlation with the DAX Performance index however this value was not statistically significant at any level of significance.</w:t>
      </w:r>
    </w:p>
    <w:p w14:paraId="2AFCDE15" w14:textId="77777777" w:rsidR="00FE101D" w:rsidRPr="00B13CBE" w:rsidRDefault="00C4772C" w:rsidP="00781A3B">
      <w:pPr>
        <w:pStyle w:val="Heading2"/>
        <w:spacing w:before="0"/>
      </w:pPr>
      <w:bookmarkStart w:id="46" w:name="_Toc82603374"/>
      <w:r w:rsidRPr="00B13CBE">
        <w:t>Correlation</w:t>
      </w:r>
      <w:r w:rsidR="00567E47" w:rsidRPr="00B13CBE">
        <w:t xml:space="preserve"> </w:t>
      </w:r>
      <w:r w:rsidRPr="00B13CBE">
        <w:t>between</w:t>
      </w:r>
      <w:r w:rsidR="00567E47" w:rsidRPr="00B13CBE">
        <w:t xml:space="preserve"> </w:t>
      </w:r>
      <w:r w:rsidRPr="00B13CBE">
        <w:t>France and Other Parts of the World</w:t>
      </w:r>
      <w:bookmarkEnd w:id="46"/>
    </w:p>
    <w:p w14:paraId="41E09848" w14:textId="77777777" w:rsidR="00232E17"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DCC models were fitted to France’s CAC 40 Index and indices from other parts of the world. The results are shown in Table 6. A GARCH (1,1) model with normally distributed residuals was used as the univariate distribution.</w:t>
      </w:r>
    </w:p>
    <w:p w14:paraId="603ED506" w14:textId="77777777" w:rsidR="00567E47" w:rsidRPr="00B13CBE" w:rsidRDefault="00C4772C" w:rsidP="00781A3B">
      <w:pPr>
        <w:pStyle w:val="Caption"/>
        <w:keepNext/>
        <w:spacing w:line="360" w:lineRule="auto"/>
        <w:jc w:val="both"/>
        <w:rPr>
          <w:rFonts w:ascii="Arial" w:hAnsi="Arial" w:cs="Arial"/>
          <w:color w:val="000000" w:themeColor="text1"/>
        </w:rPr>
      </w:pPr>
      <w:bookmarkStart w:id="47" w:name="_Toc82603417"/>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6</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:Correlations between France's CAC 40 </w:t>
      </w:r>
      <w:r w:rsidR="00D04AA9" w:rsidRPr="00B13CBE">
        <w:rPr>
          <w:rFonts w:ascii="Arial" w:hAnsi="Arial" w:cs="Arial"/>
          <w:color w:val="000000" w:themeColor="text1"/>
        </w:rPr>
        <w:t>I</w:t>
      </w:r>
      <w:r w:rsidRPr="00B13CBE">
        <w:rPr>
          <w:rFonts w:ascii="Arial" w:hAnsi="Arial" w:cs="Arial"/>
          <w:color w:val="000000" w:themeColor="text1"/>
        </w:rPr>
        <w:t>ndex and</w:t>
      </w:r>
      <w:r w:rsidR="00D04AA9" w:rsidRPr="00B13CBE">
        <w:rPr>
          <w:rFonts w:ascii="Arial" w:hAnsi="Arial" w:cs="Arial"/>
          <w:color w:val="000000" w:themeColor="text1"/>
        </w:rPr>
        <w:t xml:space="preserve"> I</w:t>
      </w:r>
      <w:r w:rsidRPr="00B13CBE">
        <w:rPr>
          <w:rFonts w:ascii="Arial" w:hAnsi="Arial" w:cs="Arial"/>
          <w:color w:val="000000" w:themeColor="text1"/>
        </w:rPr>
        <w:t xml:space="preserve">ndices from </w:t>
      </w:r>
      <w:r w:rsidR="00D04AA9" w:rsidRPr="00B13CBE">
        <w:rPr>
          <w:rFonts w:ascii="Arial" w:hAnsi="Arial" w:cs="Arial"/>
          <w:color w:val="000000" w:themeColor="text1"/>
        </w:rPr>
        <w:t>O</w:t>
      </w:r>
      <w:r w:rsidRPr="00B13CBE">
        <w:rPr>
          <w:rFonts w:ascii="Arial" w:hAnsi="Arial" w:cs="Arial"/>
          <w:color w:val="000000" w:themeColor="text1"/>
        </w:rPr>
        <w:t xml:space="preserve">ther </w:t>
      </w:r>
      <w:r w:rsidR="00D04AA9" w:rsidRPr="00B13CBE">
        <w:rPr>
          <w:rFonts w:ascii="Arial" w:hAnsi="Arial" w:cs="Arial"/>
          <w:color w:val="000000" w:themeColor="text1"/>
        </w:rPr>
        <w:t>C</w:t>
      </w:r>
      <w:r w:rsidRPr="00B13CBE">
        <w:rPr>
          <w:rFonts w:ascii="Arial" w:hAnsi="Arial" w:cs="Arial"/>
          <w:color w:val="000000" w:themeColor="text1"/>
        </w:rPr>
        <w:t>ountries</w:t>
      </w:r>
      <w:r w:rsidR="00D04AA9" w:rsidRPr="00B13CBE">
        <w:rPr>
          <w:rFonts w:ascii="Arial" w:hAnsi="Arial" w:cs="Arial"/>
          <w:color w:val="000000" w:themeColor="text1"/>
        </w:rPr>
        <w:t>.</w:t>
      </w:r>
      <w:bookmarkEnd w:id="47"/>
    </w:p>
    <w:tbl>
      <w:tblPr>
        <w:tblW w:w="5000" w:type="pct"/>
        <w:tblLook w:val="04A0" w:firstRow="1" w:lastRow="0" w:firstColumn="1" w:lastColumn="0" w:noHBand="0" w:noVBand="1"/>
      </w:tblPr>
      <w:tblGrid>
        <w:gridCol w:w="1409"/>
        <w:gridCol w:w="2373"/>
        <w:gridCol w:w="1879"/>
        <w:gridCol w:w="1870"/>
        <w:gridCol w:w="1099"/>
      </w:tblGrid>
      <w:tr w:rsidR="004379AD" w:rsidRPr="00B13CBE" w14:paraId="6DA6E5DB" w14:textId="77777777" w:rsidTr="00567E47">
        <w:trPr>
          <w:trHeight w:val="288"/>
        </w:trPr>
        <w:tc>
          <w:tcPr>
            <w:tcW w:w="824" w:type="pct"/>
            <w:tcBorders>
              <w:top w:val="single" w:sz="4" w:space="0" w:color="auto"/>
              <w:left w:val="single" w:sz="4" w:space="0" w:color="auto"/>
              <w:bottom w:val="single" w:sz="4" w:space="0" w:color="auto"/>
              <w:right w:val="nil"/>
            </w:tcBorders>
            <w:shd w:val="clear" w:color="auto" w:fill="auto"/>
            <w:noWrap/>
            <w:vAlign w:val="center"/>
          </w:tcPr>
          <w:p w14:paraId="657F4355"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417" w:type="pct"/>
            <w:tcBorders>
              <w:top w:val="single" w:sz="4" w:space="0" w:color="auto"/>
              <w:left w:val="nil"/>
              <w:bottom w:val="single" w:sz="4" w:space="0" w:color="auto"/>
              <w:right w:val="nil"/>
            </w:tcBorders>
            <w:shd w:val="clear" w:color="auto" w:fill="auto"/>
            <w:noWrap/>
            <w:vAlign w:val="center"/>
          </w:tcPr>
          <w:p w14:paraId="5E471341"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068" w:type="pct"/>
            <w:tcBorders>
              <w:top w:val="single" w:sz="4" w:space="0" w:color="auto"/>
              <w:left w:val="nil"/>
              <w:bottom w:val="single" w:sz="4" w:space="0" w:color="auto"/>
              <w:right w:val="nil"/>
            </w:tcBorders>
            <w:shd w:val="clear" w:color="auto" w:fill="auto"/>
            <w:noWrap/>
            <w:vAlign w:val="center"/>
          </w:tcPr>
          <w:p w14:paraId="67BA9CB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058" w:type="pct"/>
            <w:tcBorders>
              <w:top w:val="single" w:sz="4" w:space="0" w:color="auto"/>
              <w:left w:val="nil"/>
              <w:bottom w:val="single" w:sz="4" w:space="0" w:color="auto"/>
              <w:right w:val="nil"/>
            </w:tcBorders>
            <w:shd w:val="clear" w:color="auto" w:fill="auto"/>
            <w:noWrap/>
            <w:vAlign w:val="center"/>
          </w:tcPr>
          <w:p w14:paraId="7D1B4590"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33" w:type="pct"/>
            <w:tcBorders>
              <w:top w:val="single" w:sz="4" w:space="0" w:color="auto"/>
              <w:left w:val="nil"/>
              <w:bottom w:val="single" w:sz="4" w:space="0" w:color="auto"/>
              <w:right w:val="single" w:sz="4" w:space="0" w:color="auto"/>
            </w:tcBorders>
            <w:shd w:val="clear" w:color="auto" w:fill="auto"/>
            <w:noWrap/>
            <w:vAlign w:val="center"/>
          </w:tcPr>
          <w:p w14:paraId="1A4895C8"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1DBA083A" w14:textId="77777777" w:rsidTr="00567E47">
        <w:trPr>
          <w:trHeight w:val="288"/>
        </w:trPr>
        <w:tc>
          <w:tcPr>
            <w:tcW w:w="824" w:type="pct"/>
            <w:tcBorders>
              <w:top w:val="single" w:sz="4" w:space="0" w:color="auto"/>
              <w:left w:val="single" w:sz="4" w:space="0" w:color="auto"/>
              <w:bottom w:val="nil"/>
              <w:right w:val="single" w:sz="4" w:space="0" w:color="auto"/>
            </w:tcBorders>
            <w:shd w:val="clear" w:color="auto" w:fill="auto"/>
            <w:noWrap/>
            <w:vAlign w:val="bottom"/>
            <w:hideMark/>
          </w:tcPr>
          <w:p w14:paraId="36CCF85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proofErr w:type="gramStart"/>
            <w:r w:rsidRPr="00B13CBE">
              <w:rPr>
                <w:rFonts w:ascii="Arial" w:eastAsia="Times New Roman" w:hAnsi="Arial" w:cs="Arial"/>
                <w:color w:val="000000" w:themeColor="text1"/>
                <w:sz w:val="24"/>
                <w:szCs w:val="24"/>
              </w:rPr>
              <w:t>U.K</w:t>
            </w:r>
            <w:proofErr w:type="gramEnd"/>
          </w:p>
        </w:tc>
        <w:tc>
          <w:tcPr>
            <w:tcW w:w="1417" w:type="pct"/>
            <w:tcBorders>
              <w:top w:val="single" w:sz="4" w:space="0" w:color="auto"/>
              <w:left w:val="single" w:sz="4" w:space="0" w:color="auto"/>
              <w:bottom w:val="nil"/>
              <w:right w:val="single" w:sz="4" w:space="0" w:color="auto"/>
            </w:tcBorders>
            <w:shd w:val="clear" w:color="auto" w:fill="auto"/>
            <w:noWrap/>
            <w:vAlign w:val="bottom"/>
            <w:hideMark/>
          </w:tcPr>
          <w:p w14:paraId="7060367C"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FTSE</w:t>
            </w:r>
          </w:p>
        </w:tc>
        <w:tc>
          <w:tcPr>
            <w:tcW w:w="1068" w:type="pct"/>
            <w:tcBorders>
              <w:top w:val="single" w:sz="4" w:space="0" w:color="auto"/>
              <w:left w:val="single" w:sz="4" w:space="0" w:color="auto"/>
              <w:bottom w:val="nil"/>
              <w:right w:val="single" w:sz="4" w:space="0" w:color="auto"/>
            </w:tcBorders>
            <w:shd w:val="clear" w:color="auto" w:fill="auto"/>
            <w:noWrap/>
            <w:vAlign w:val="bottom"/>
            <w:hideMark/>
          </w:tcPr>
          <w:p w14:paraId="3617302E" w14:textId="7ACB1076" w:rsidR="00232E17" w:rsidRPr="00B13CBE" w:rsidRDefault="00781A3B"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single" w:sz="4" w:space="0" w:color="auto"/>
              <w:left w:val="single" w:sz="4" w:space="0" w:color="auto"/>
              <w:bottom w:val="nil"/>
              <w:right w:val="single" w:sz="4" w:space="0" w:color="auto"/>
            </w:tcBorders>
            <w:shd w:val="clear" w:color="auto" w:fill="auto"/>
            <w:noWrap/>
            <w:vAlign w:val="bottom"/>
            <w:hideMark/>
          </w:tcPr>
          <w:p w14:paraId="32A01560"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0.0632</w:t>
            </w:r>
          </w:p>
          <w:p w14:paraId="4260D45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(0.0805)</w:t>
            </w:r>
          </w:p>
        </w:tc>
        <w:tc>
          <w:tcPr>
            <w:tcW w:w="633" w:type="pct"/>
            <w:tcBorders>
              <w:top w:val="single" w:sz="4" w:space="0" w:color="auto"/>
              <w:left w:val="single" w:sz="4" w:space="0" w:color="auto"/>
              <w:bottom w:val="nil"/>
              <w:right w:val="single" w:sz="4" w:space="0" w:color="auto"/>
            </w:tcBorders>
            <w:shd w:val="clear" w:color="auto" w:fill="auto"/>
            <w:noWrap/>
            <w:vAlign w:val="bottom"/>
            <w:hideMark/>
          </w:tcPr>
          <w:p w14:paraId="17BF3752"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0.4325</w:t>
            </w:r>
          </w:p>
        </w:tc>
      </w:tr>
      <w:tr w:rsidR="004379AD" w:rsidRPr="00B13CBE" w14:paraId="27D9679B"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04DA5ED5"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nil"/>
              <w:right w:val="single" w:sz="4" w:space="0" w:color="auto"/>
            </w:tcBorders>
            <w:shd w:val="clear" w:color="auto" w:fill="auto"/>
            <w:noWrap/>
            <w:vAlign w:val="bottom"/>
            <w:hideMark/>
          </w:tcPr>
          <w:p w14:paraId="4874C8FA"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nil"/>
              <w:right w:val="single" w:sz="4" w:space="0" w:color="auto"/>
            </w:tcBorders>
            <w:shd w:val="clear" w:color="auto" w:fill="auto"/>
            <w:noWrap/>
            <w:vAlign w:val="bottom"/>
            <w:hideMark/>
          </w:tcPr>
          <w:p w14:paraId="434EF01E" w14:textId="47E481E9" w:rsidR="00232E17" w:rsidRPr="00B13CBE" w:rsidRDefault="00781A3B"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nil"/>
              <w:right w:val="single" w:sz="4" w:space="0" w:color="auto"/>
            </w:tcBorders>
            <w:shd w:val="clear" w:color="auto" w:fill="auto"/>
            <w:noWrap/>
            <w:vAlign w:val="bottom"/>
            <w:hideMark/>
          </w:tcPr>
          <w:p w14:paraId="465E8BC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0.8111</w:t>
            </w:r>
            <w:r w:rsidR="00EE77D0" w:rsidRPr="00B13CBE">
              <w:rPr>
                <w:rFonts w:ascii="Arial" w:eastAsia="Times New Roman" w:hAnsi="Arial" w:cs="Arial"/>
                <w:color w:val="000000" w:themeColor="text1"/>
                <w:sz w:val="24"/>
                <w:szCs w:val="24"/>
              </w:rPr>
              <w:t>**</w:t>
            </w:r>
          </w:p>
          <w:p w14:paraId="34266708"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(0.3560)</w:t>
            </w:r>
          </w:p>
        </w:tc>
        <w:tc>
          <w:tcPr>
            <w:tcW w:w="633" w:type="pct"/>
            <w:tcBorders>
              <w:top w:val="nil"/>
              <w:left w:val="single" w:sz="4" w:space="0" w:color="auto"/>
              <w:bottom w:val="nil"/>
              <w:right w:val="single" w:sz="4" w:space="0" w:color="auto"/>
            </w:tcBorders>
            <w:shd w:val="clear" w:color="auto" w:fill="auto"/>
            <w:noWrap/>
            <w:vAlign w:val="bottom"/>
            <w:hideMark/>
          </w:tcPr>
          <w:p w14:paraId="404B67C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0.0227</w:t>
            </w:r>
          </w:p>
        </w:tc>
      </w:tr>
      <w:tr w:rsidR="004379AD" w:rsidRPr="00B13CBE" w14:paraId="0E4468C2"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5A687A20"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Japan</w:t>
            </w:r>
          </w:p>
        </w:tc>
        <w:tc>
          <w:tcPr>
            <w:tcW w:w="1417" w:type="pct"/>
            <w:tcBorders>
              <w:top w:val="nil"/>
              <w:left w:val="single" w:sz="4" w:space="0" w:color="auto"/>
              <w:bottom w:val="nil"/>
              <w:right w:val="single" w:sz="4" w:space="0" w:color="auto"/>
            </w:tcBorders>
            <w:shd w:val="clear" w:color="auto" w:fill="auto"/>
            <w:noWrap/>
            <w:vAlign w:val="bottom"/>
            <w:hideMark/>
          </w:tcPr>
          <w:p w14:paraId="75220F2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NIKKEI</w:t>
            </w:r>
          </w:p>
        </w:tc>
        <w:tc>
          <w:tcPr>
            <w:tcW w:w="1068" w:type="pct"/>
            <w:tcBorders>
              <w:top w:val="nil"/>
              <w:left w:val="single" w:sz="4" w:space="0" w:color="auto"/>
              <w:bottom w:val="nil"/>
              <w:right w:val="single" w:sz="4" w:space="0" w:color="auto"/>
            </w:tcBorders>
            <w:shd w:val="clear" w:color="auto" w:fill="auto"/>
            <w:noWrap/>
            <w:vAlign w:val="bottom"/>
            <w:hideMark/>
          </w:tcPr>
          <w:p w14:paraId="36ABB90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nil"/>
              <w:left w:val="single" w:sz="4" w:space="0" w:color="auto"/>
              <w:bottom w:val="nil"/>
              <w:right w:val="single" w:sz="4" w:space="0" w:color="auto"/>
            </w:tcBorders>
            <w:shd w:val="clear" w:color="auto" w:fill="auto"/>
            <w:noWrap/>
            <w:vAlign w:val="bottom"/>
            <w:hideMark/>
          </w:tcPr>
          <w:p w14:paraId="74E669E7"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0.0095</w:t>
            </w:r>
          </w:p>
          <w:p w14:paraId="4679C8B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(0.0110)</w:t>
            </w:r>
          </w:p>
        </w:tc>
        <w:tc>
          <w:tcPr>
            <w:tcW w:w="633" w:type="pct"/>
            <w:tcBorders>
              <w:top w:val="nil"/>
              <w:left w:val="single" w:sz="4" w:space="0" w:color="auto"/>
              <w:bottom w:val="nil"/>
              <w:right w:val="single" w:sz="4" w:space="0" w:color="auto"/>
            </w:tcBorders>
            <w:shd w:val="clear" w:color="auto" w:fill="auto"/>
            <w:noWrap/>
            <w:vAlign w:val="bottom"/>
            <w:hideMark/>
          </w:tcPr>
          <w:p w14:paraId="4916E462"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0.3848</w:t>
            </w:r>
          </w:p>
        </w:tc>
      </w:tr>
      <w:tr w:rsidR="004379AD" w:rsidRPr="00B13CBE" w14:paraId="396D0644"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71739631"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nil"/>
              <w:right w:val="single" w:sz="4" w:space="0" w:color="auto"/>
            </w:tcBorders>
            <w:shd w:val="clear" w:color="auto" w:fill="auto"/>
            <w:noWrap/>
            <w:vAlign w:val="bottom"/>
            <w:hideMark/>
          </w:tcPr>
          <w:p w14:paraId="7A55CD15"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nil"/>
              <w:right w:val="single" w:sz="4" w:space="0" w:color="auto"/>
            </w:tcBorders>
            <w:shd w:val="clear" w:color="auto" w:fill="auto"/>
            <w:noWrap/>
            <w:vAlign w:val="bottom"/>
            <w:hideMark/>
          </w:tcPr>
          <w:p w14:paraId="48A9A56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nil"/>
              <w:right w:val="single" w:sz="4" w:space="0" w:color="auto"/>
            </w:tcBorders>
            <w:shd w:val="clear" w:color="auto" w:fill="auto"/>
            <w:noWrap/>
            <w:vAlign w:val="bottom"/>
            <w:hideMark/>
          </w:tcPr>
          <w:p w14:paraId="2F3C17B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0.9231</w:t>
            </w:r>
            <w:r w:rsidR="00EE77D0" w:rsidRPr="00B13CBE">
              <w:rPr>
                <w:rFonts w:ascii="Arial" w:eastAsia="Times New Roman" w:hAnsi="Arial" w:cs="Arial"/>
                <w:color w:val="000000" w:themeColor="text1"/>
                <w:sz w:val="24"/>
                <w:szCs w:val="24"/>
              </w:rPr>
              <w:t>***</w:t>
            </w:r>
          </w:p>
          <w:p w14:paraId="2F67C95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(0.0388)</w:t>
            </w:r>
          </w:p>
        </w:tc>
        <w:tc>
          <w:tcPr>
            <w:tcW w:w="633" w:type="pct"/>
            <w:tcBorders>
              <w:top w:val="nil"/>
              <w:left w:val="single" w:sz="4" w:space="0" w:color="auto"/>
              <w:bottom w:val="nil"/>
              <w:right w:val="single" w:sz="4" w:space="0" w:color="auto"/>
            </w:tcBorders>
            <w:shd w:val="clear" w:color="auto" w:fill="auto"/>
            <w:noWrap/>
            <w:vAlign w:val="bottom"/>
            <w:hideMark/>
          </w:tcPr>
          <w:p w14:paraId="3BA4B97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FE82E06"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26964355"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Hong Kong</w:t>
            </w:r>
          </w:p>
        </w:tc>
        <w:tc>
          <w:tcPr>
            <w:tcW w:w="1417" w:type="pct"/>
            <w:tcBorders>
              <w:top w:val="nil"/>
              <w:left w:val="single" w:sz="4" w:space="0" w:color="auto"/>
              <w:bottom w:val="nil"/>
              <w:right w:val="single" w:sz="4" w:space="0" w:color="auto"/>
            </w:tcBorders>
            <w:shd w:val="clear" w:color="auto" w:fill="auto"/>
            <w:noWrap/>
            <w:vAlign w:val="bottom"/>
            <w:hideMark/>
          </w:tcPr>
          <w:p w14:paraId="6DA1EB8B"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 SENG</w:t>
            </w:r>
          </w:p>
        </w:tc>
        <w:tc>
          <w:tcPr>
            <w:tcW w:w="1068" w:type="pct"/>
            <w:tcBorders>
              <w:top w:val="nil"/>
              <w:left w:val="single" w:sz="4" w:space="0" w:color="auto"/>
              <w:bottom w:val="nil"/>
              <w:right w:val="single" w:sz="4" w:space="0" w:color="auto"/>
            </w:tcBorders>
            <w:shd w:val="clear" w:color="auto" w:fill="auto"/>
            <w:noWrap/>
            <w:vAlign w:val="bottom"/>
            <w:hideMark/>
          </w:tcPr>
          <w:p w14:paraId="77D6214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nil"/>
              <w:left w:val="single" w:sz="4" w:space="0" w:color="auto"/>
              <w:bottom w:val="nil"/>
              <w:right w:val="single" w:sz="4" w:space="0" w:color="auto"/>
            </w:tcBorders>
            <w:shd w:val="clear" w:color="auto" w:fill="auto"/>
            <w:noWrap/>
            <w:vAlign w:val="bottom"/>
            <w:hideMark/>
          </w:tcPr>
          <w:p w14:paraId="6CC70B96"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0.0115</w:t>
            </w:r>
            <w:r w:rsidR="00EE77D0" w:rsidRPr="00B13CBE">
              <w:rPr>
                <w:rFonts w:ascii="Arial" w:eastAsia="Times New Roman" w:hAnsi="Arial" w:cs="Arial"/>
                <w:color w:val="000000" w:themeColor="text1"/>
                <w:sz w:val="24"/>
                <w:szCs w:val="24"/>
              </w:rPr>
              <w:t>*</w:t>
            </w:r>
          </w:p>
          <w:p w14:paraId="2B146A4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(0.0060)</w:t>
            </w:r>
          </w:p>
        </w:tc>
        <w:tc>
          <w:tcPr>
            <w:tcW w:w="633" w:type="pct"/>
            <w:tcBorders>
              <w:top w:val="nil"/>
              <w:left w:val="single" w:sz="4" w:space="0" w:color="auto"/>
              <w:bottom w:val="nil"/>
              <w:right w:val="single" w:sz="4" w:space="0" w:color="auto"/>
            </w:tcBorders>
            <w:shd w:val="clear" w:color="auto" w:fill="auto"/>
            <w:noWrap/>
            <w:vAlign w:val="bottom"/>
            <w:hideMark/>
          </w:tcPr>
          <w:p w14:paraId="493D4E0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0.0553</w:t>
            </w:r>
          </w:p>
        </w:tc>
      </w:tr>
      <w:tr w:rsidR="004379AD" w:rsidRPr="00B13CBE" w14:paraId="3096868C"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193A8C33"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nil"/>
              <w:right w:val="single" w:sz="4" w:space="0" w:color="auto"/>
            </w:tcBorders>
            <w:shd w:val="clear" w:color="auto" w:fill="auto"/>
            <w:noWrap/>
            <w:vAlign w:val="bottom"/>
            <w:hideMark/>
          </w:tcPr>
          <w:p w14:paraId="76214934"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nil"/>
              <w:right w:val="single" w:sz="4" w:space="0" w:color="auto"/>
            </w:tcBorders>
            <w:shd w:val="clear" w:color="auto" w:fill="auto"/>
            <w:noWrap/>
            <w:vAlign w:val="bottom"/>
            <w:hideMark/>
          </w:tcPr>
          <w:p w14:paraId="7602576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nil"/>
              <w:right w:val="single" w:sz="4" w:space="0" w:color="auto"/>
            </w:tcBorders>
            <w:shd w:val="clear" w:color="auto" w:fill="auto"/>
            <w:noWrap/>
            <w:vAlign w:val="bottom"/>
            <w:hideMark/>
          </w:tcPr>
          <w:p w14:paraId="52E12DCA"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0.9643</w:t>
            </w:r>
            <w:r w:rsidR="00EE77D0" w:rsidRPr="00B13CBE">
              <w:rPr>
                <w:rFonts w:ascii="Arial" w:eastAsia="Times New Roman" w:hAnsi="Arial" w:cs="Arial"/>
                <w:color w:val="000000" w:themeColor="text1"/>
                <w:sz w:val="24"/>
                <w:szCs w:val="24"/>
              </w:rPr>
              <w:t>***</w:t>
            </w:r>
          </w:p>
          <w:p w14:paraId="23A690F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(0.0200)</w:t>
            </w:r>
          </w:p>
        </w:tc>
        <w:tc>
          <w:tcPr>
            <w:tcW w:w="633" w:type="pct"/>
            <w:tcBorders>
              <w:top w:val="nil"/>
              <w:left w:val="single" w:sz="4" w:space="0" w:color="auto"/>
              <w:bottom w:val="nil"/>
              <w:right w:val="single" w:sz="4" w:space="0" w:color="auto"/>
            </w:tcBorders>
            <w:shd w:val="clear" w:color="auto" w:fill="auto"/>
            <w:noWrap/>
            <w:vAlign w:val="bottom"/>
            <w:hideMark/>
          </w:tcPr>
          <w:p w14:paraId="481389B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2D573523"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19B47FA1"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China</w:t>
            </w:r>
          </w:p>
        </w:tc>
        <w:tc>
          <w:tcPr>
            <w:tcW w:w="1417" w:type="pct"/>
            <w:tcBorders>
              <w:top w:val="nil"/>
              <w:left w:val="single" w:sz="4" w:space="0" w:color="auto"/>
              <w:bottom w:val="nil"/>
              <w:right w:val="single" w:sz="4" w:space="0" w:color="auto"/>
            </w:tcBorders>
            <w:shd w:val="clear" w:color="auto" w:fill="auto"/>
            <w:noWrap/>
            <w:vAlign w:val="bottom"/>
            <w:hideMark/>
          </w:tcPr>
          <w:p w14:paraId="3C910401"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w:t>
            </w:r>
            <w:r w:rsidR="00F569D2" w:rsidRPr="00B13CBE">
              <w:rPr>
                <w:rFonts w:ascii="Arial" w:eastAsia="Times New Roman" w:hAnsi="Arial" w:cs="Arial"/>
                <w:color w:val="000000" w:themeColor="text1"/>
                <w:sz w:val="24"/>
                <w:szCs w:val="24"/>
              </w:rPr>
              <w:t>H</w:t>
            </w:r>
            <w:r w:rsidRPr="00B13CBE">
              <w:rPr>
                <w:rFonts w:ascii="Arial" w:eastAsia="Times New Roman" w:hAnsi="Arial" w:cs="Arial"/>
                <w:color w:val="000000" w:themeColor="text1"/>
                <w:sz w:val="24"/>
                <w:szCs w:val="24"/>
              </w:rPr>
              <w:t>EN</w:t>
            </w:r>
          </w:p>
        </w:tc>
        <w:tc>
          <w:tcPr>
            <w:tcW w:w="1068" w:type="pct"/>
            <w:tcBorders>
              <w:top w:val="nil"/>
              <w:left w:val="single" w:sz="4" w:space="0" w:color="auto"/>
              <w:bottom w:val="nil"/>
              <w:right w:val="single" w:sz="4" w:space="0" w:color="auto"/>
            </w:tcBorders>
            <w:shd w:val="clear" w:color="auto" w:fill="auto"/>
            <w:noWrap/>
            <w:vAlign w:val="bottom"/>
            <w:hideMark/>
          </w:tcPr>
          <w:p w14:paraId="22535CE7"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nil"/>
              <w:left w:val="single" w:sz="4" w:space="0" w:color="auto"/>
              <w:bottom w:val="nil"/>
              <w:right w:val="single" w:sz="4" w:space="0" w:color="auto"/>
            </w:tcBorders>
            <w:shd w:val="clear" w:color="auto" w:fill="auto"/>
            <w:noWrap/>
            <w:vAlign w:val="bottom"/>
            <w:hideMark/>
          </w:tcPr>
          <w:p w14:paraId="731FC8C8"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0.0046</w:t>
            </w:r>
          </w:p>
          <w:p w14:paraId="256689B5"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lastRenderedPageBreak/>
              <w:t>(0.0046)</w:t>
            </w:r>
          </w:p>
        </w:tc>
        <w:tc>
          <w:tcPr>
            <w:tcW w:w="633" w:type="pct"/>
            <w:tcBorders>
              <w:top w:val="nil"/>
              <w:left w:val="single" w:sz="4" w:space="0" w:color="auto"/>
              <w:bottom w:val="nil"/>
              <w:right w:val="single" w:sz="4" w:space="0" w:color="auto"/>
            </w:tcBorders>
            <w:shd w:val="clear" w:color="auto" w:fill="auto"/>
            <w:noWrap/>
            <w:vAlign w:val="bottom"/>
            <w:hideMark/>
          </w:tcPr>
          <w:p w14:paraId="69BDB1B4"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lastRenderedPageBreak/>
              <w:t>0.3222</w:t>
            </w:r>
          </w:p>
        </w:tc>
      </w:tr>
      <w:tr w:rsidR="004379AD" w:rsidRPr="00B13CBE" w14:paraId="539D7CCA"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059E4507"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nil"/>
              <w:right w:val="single" w:sz="4" w:space="0" w:color="auto"/>
            </w:tcBorders>
            <w:shd w:val="clear" w:color="auto" w:fill="auto"/>
            <w:noWrap/>
            <w:vAlign w:val="bottom"/>
            <w:hideMark/>
          </w:tcPr>
          <w:p w14:paraId="23CAD1B2"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nil"/>
              <w:right w:val="single" w:sz="4" w:space="0" w:color="auto"/>
            </w:tcBorders>
            <w:shd w:val="clear" w:color="auto" w:fill="auto"/>
            <w:noWrap/>
            <w:vAlign w:val="bottom"/>
            <w:hideMark/>
          </w:tcPr>
          <w:p w14:paraId="36DB5D53"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nil"/>
              <w:right w:val="single" w:sz="4" w:space="0" w:color="auto"/>
            </w:tcBorders>
            <w:shd w:val="clear" w:color="auto" w:fill="auto"/>
            <w:noWrap/>
            <w:vAlign w:val="bottom"/>
            <w:hideMark/>
          </w:tcPr>
          <w:p w14:paraId="189813D1" w14:textId="77777777" w:rsidR="00232E17"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0.9860</w:t>
            </w:r>
            <w:r w:rsidR="00EE77D0" w:rsidRPr="00B13CBE">
              <w:rPr>
                <w:rFonts w:ascii="Arial" w:eastAsia="Times New Roman" w:hAnsi="Arial" w:cs="Arial"/>
                <w:b/>
                <w:bCs/>
                <w:color w:val="000000" w:themeColor="text1"/>
                <w:sz w:val="24"/>
                <w:szCs w:val="24"/>
              </w:rPr>
              <w:t>***</w:t>
            </w:r>
          </w:p>
          <w:p w14:paraId="1D3D0A86"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(0.0057)</w:t>
            </w:r>
          </w:p>
        </w:tc>
        <w:tc>
          <w:tcPr>
            <w:tcW w:w="633" w:type="pct"/>
            <w:tcBorders>
              <w:top w:val="nil"/>
              <w:left w:val="single" w:sz="4" w:space="0" w:color="auto"/>
              <w:bottom w:val="nil"/>
              <w:right w:val="single" w:sz="4" w:space="0" w:color="auto"/>
            </w:tcBorders>
            <w:shd w:val="clear" w:color="auto" w:fill="auto"/>
            <w:noWrap/>
            <w:vAlign w:val="bottom"/>
            <w:hideMark/>
          </w:tcPr>
          <w:p w14:paraId="49C9891A"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550F0215"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5BC9431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1417" w:type="pct"/>
            <w:tcBorders>
              <w:top w:val="nil"/>
              <w:left w:val="single" w:sz="4" w:space="0" w:color="auto"/>
              <w:bottom w:val="nil"/>
              <w:right w:val="single" w:sz="4" w:space="0" w:color="auto"/>
            </w:tcBorders>
            <w:shd w:val="clear" w:color="auto" w:fill="auto"/>
            <w:noWrap/>
            <w:vAlign w:val="bottom"/>
            <w:hideMark/>
          </w:tcPr>
          <w:p w14:paraId="5320F220"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1068" w:type="pct"/>
            <w:tcBorders>
              <w:top w:val="nil"/>
              <w:left w:val="single" w:sz="4" w:space="0" w:color="auto"/>
              <w:bottom w:val="nil"/>
              <w:right w:val="single" w:sz="4" w:space="0" w:color="auto"/>
            </w:tcBorders>
            <w:shd w:val="clear" w:color="auto" w:fill="auto"/>
            <w:noWrap/>
            <w:vAlign w:val="bottom"/>
            <w:hideMark/>
          </w:tcPr>
          <w:p w14:paraId="31F584C0"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nil"/>
              <w:left w:val="single" w:sz="4" w:space="0" w:color="auto"/>
              <w:bottom w:val="nil"/>
              <w:right w:val="single" w:sz="4" w:space="0" w:color="auto"/>
            </w:tcBorders>
            <w:shd w:val="clear" w:color="auto" w:fill="auto"/>
            <w:noWrap/>
            <w:vAlign w:val="bottom"/>
            <w:hideMark/>
          </w:tcPr>
          <w:p w14:paraId="32F28C66"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0.0231</w:t>
            </w:r>
            <w:r w:rsidR="00EE77D0" w:rsidRPr="00B13CBE">
              <w:rPr>
                <w:rFonts w:ascii="Arial" w:eastAsia="Times New Roman" w:hAnsi="Arial" w:cs="Arial"/>
                <w:color w:val="000000" w:themeColor="text1"/>
                <w:sz w:val="24"/>
                <w:szCs w:val="24"/>
              </w:rPr>
              <w:t>*</w:t>
            </w:r>
          </w:p>
          <w:p w14:paraId="1E00E5F2"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(0.0125)</w:t>
            </w:r>
          </w:p>
        </w:tc>
        <w:tc>
          <w:tcPr>
            <w:tcW w:w="633" w:type="pct"/>
            <w:tcBorders>
              <w:top w:val="nil"/>
              <w:left w:val="single" w:sz="4" w:space="0" w:color="auto"/>
              <w:bottom w:val="nil"/>
              <w:right w:val="single" w:sz="4" w:space="0" w:color="auto"/>
            </w:tcBorders>
            <w:shd w:val="clear" w:color="auto" w:fill="auto"/>
            <w:noWrap/>
            <w:vAlign w:val="bottom"/>
            <w:hideMark/>
          </w:tcPr>
          <w:p w14:paraId="238233EE"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0.0646</w:t>
            </w:r>
          </w:p>
        </w:tc>
      </w:tr>
      <w:tr w:rsidR="004379AD" w:rsidRPr="00B13CBE" w14:paraId="63A0C82E" w14:textId="77777777" w:rsidTr="00567E47">
        <w:trPr>
          <w:trHeight w:val="288"/>
        </w:trPr>
        <w:tc>
          <w:tcPr>
            <w:tcW w:w="824" w:type="pct"/>
            <w:tcBorders>
              <w:top w:val="nil"/>
              <w:left w:val="single" w:sz="4" w:space="0" w:color="auto"/>
              <w:bottom w:val="nil"/>
              <w:right w:val="single" w:sz="4" w:space="0" w:color="auto"/>
            </w:tcBorders>
            <w:shd w:val="clear" w:color="auto" w:fill="auto"/>
            <w:noWrap/>
            <w:vAlign w:val="bottom"/>
            <w:hideMark/>
          </w:tcPr>
          <w:p w14:paraId="3BCFCA8D"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nil"/>
              <w:right w:val="single" w:sz="4" w:space="0" w:color="auto"/>
            </w:tcBorders>
            <w:shd w:val="clear" w:color="auto" w:fill="auto"/>
            <w:noWrap/>
            <w:vAlign w:val="bottom"/>
            <w:hideMark/>
          </w:tcPr>
          <w:p w14:paraId="2D9A64C8"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nil"/>
              <w:right w:val="single" w:sz="4" w:space="0" w:color="auto"/>
            </w:tcBorders>
            <w:shd w:val="clear" w:color="auto" w:fill="auto"/>
            <w:noWrap/>
            <w:vAlign w:val="bottom"/>
            <w:hideMark/>
          </w:tcPr>
          <w:p w14:paraId="1719132B"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nil"/>
              <w:right w:val="single" w:sz="4" w:space="0" w:color="auto"/>
            </w:tcBorders>
            <w:shd w:val="clear" w:color="auto" w:fill="auto"/>
            <w:noWrap/>
            <w:vAlign w:val="bottom"/>
            <w:hideMark/>
          </w:tcPr>
          <w:p w14:paraId="3801092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0.8993</w:t>
            </w:r>
            <w:r w:rsidR="00EE77D0" w:rsidRPr="00B13CBE">
              <w:rPr>
                <w:rFonts w:ascii="Arial" w:eastAsia="Times New Roman" w:hAnsi="Arial" w:cs="Arial"/>
                <w:color w:val="000000" w:themeColor="text1"/>
                <w:sz w:val="24"/>
                <w:szCs w:val="24"/>
              </w:rPr>
              <w:t>***</w:t>
            </w:r>
          </w:p>
          <w:p w14:paraId="1AC9D1C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(0.0624)</w:t>
            </w:r>
          </w:p>
        </w:tc>
        <w:tc>
          <w:tcPr>
            <w:tcW w:w="633" w:type="pct"/>
            <w:tcBorders>
              <w:top w:val="nil"/>
              <w:left w:val="single" w:sz="4" w:space="0" w:color="auto"/>
              <w:bottom w:val="nil"/>
              <w:right w:val="single" w:sz="4" w:space="0" w:color="auto"/>
            </w:tcBorders>
            <w:shd w:val="clear" w:color="auto" w:fill="auto"/>
            <w:noWrap/>
            <w:vAlign w:val="bottom"/>
            <w:hideMark/>
          </w:tcPr>
          <w:p w14:paraId="4B825FC4"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56D8D6BE" w14:textId="77777777" w:rsidTr="00567E47">
        <w:trPr>
          <w:trHeight w:val="288"/>
        </w:trPr>
        <w:tc>
          <w:tcPr>
            <w:tcW w:w="824" w:type="pct"/>
            <w:tcBorders>
              <w:top w:val="nil"/>
              <w:left w:val="single" w:sz="4" w:space="0" w:color="auto"/>
              <w:right w:val="single" w:sz="4" w:space="0" w:color="auto"/>
            </w:tcBorders>
            <w:shd w:val="clear" w:color="auto" w:fill="auto"/>
            <w:noWrap/>
            <w:vAlign w:val="bottom"/>
            <w:hideMark/>
          </w:tcPr>
          <w:p w14:paraId="2A2C6EB8"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417" w:type="pct"/>
            <w:tcBorders>
              <w:top w:val="nil"/>
              <w:left w:val="single" w:sz="4" w:space="0" w:color="auto"/>
              <w:right w:val="single" w:sz="4" w:space="0" w:color="auto"/>
            </w:tcBorders>
            <w:shd w:val="clear" w:color="auto" w:fill="auto"/>
            <w:noWrap/>
            <w:vAlign w:val="bottom"/>
            <w:hideMark/>
          </w:tcPr>
          <w:p w14:paraId="05A052CD"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 Islamic Index</w:t>
            </w:r>
          </w:p>
        </w:tc>
        <w:tc>
          <w:tcPr>
            <w:tcW w:w="1068" w:type="pct"/>
            <w:tcBorders>
              <w:top w:val="nil"/>
              <w:left w:val="single" w:sz="4" w:space="0" w:color="auto"/>
              <w:right w:val="single" w:sz="4" w:space="0" w:color="auto"/>
            </w:tcBorders>
            <w:shd w:val="clear" w:color="auto" w:fill="auto"/>
            <w:noWrap/>
            <w:vAlign w:val="bottom"/>
            <w:hideMark/>
          </w:tcPr>
          <w:p w14:paraId="729540A9"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58" w:type="pct"/>
            <w:tcBorders>
              <w:top w:val="nil"/>
              <w:left w:val="single" w:sz="4" w:space="0" w:color="auto"/>
              <w:right w:val="single" w:sz="4" w:space="0" w:color="auto"/>
            </w:tcBorders>
            <w:shd w:val="clear" w:color="auto" w:fill="auto"/>
            <w:noWrap/>
            <w:vAlign w:val="bottom"/>
            <w:hideMark/>
          </w:tcPr>
          <w:p w14:paraId="62DE8A74"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0.0788</w:t>
            </w:r>
            <w:r w:rsidR="00EE77D0" w:rsidRPr="00B13CBE">
              <w:rPr>
                <w:rFonts w:ascii="Arial" w:eastAsia="Times New Roman" w:hAnsi="Arial" w:cs="Arial"/>
                <w:color w:val="000000" w:themeColor="text1"/>
                <w:sz w:val="24"/>
                <w:szCs w:val="24"/>
              </w:rPr>
              <w:t>**</w:t>
            </w:r>
          </w:p>
          <w:p w14:paraId="0E72761C"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(0.0357)</w:t>
            </w:r>
          </w:p>
        </w:tc>
        <w:tc>
          <w:tcPr>
            <w:tcW w:w="633" w:type="pct"/>
            <w:tcBorders>
              <w:top w:val="nil"/>
              <w:left w:val="single" w:sz="4" w:space="0" w:color="auto"/>
              <w:right w:val="single" w:sz="4" w:space="0" w:color="auto"/>
            </w:tcBorders>
            <w:shd w:val="clear" w:color="auto" w:fill="auto"/>
            <w:noWrap/>
            <w:vAlign w:val="bottom"/>
            <w:hideMark/>
          </w:tcPr>
          <w:p w14:paraId="5829CE36"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0.0271</w:t>
            </w:r>
          </w:p>
        </w:tc>
      </w:tr>
      <w:tr w:rsidR="004379AD" w:rsidRPr="00B13CBE" w14:paraId="27437165" w14:textId="77777777" w:rsidTr="00567E47">
        <w:trPr>
          <w:trHeight w:val="351"/>
        </w:trPr>
        <w:tc>
          <w:tcPr>
            <w:tcW w:w="824" w:type="pct"/>
            <w:tcBorders>
              <w:top w:val="nil"/>
              <w:left w:val="single" w:sz="4" w:space="0" w:color="auto"/>
              <w:bottom w:val="single" w:sz="4" w:space="0" w:color="auto"/>
              <w:right w:val="single" w:sz="4" w:space="0" w:color="auto"/>
            </w:tcBorders>
            <w:shd w:val="clear" w:color="auto" w:fill="auto"/>
            <w:noWrap/>
            <w:vAlign w:val="bottom"/>
            <w:hideMark/>
          </w:tcPr>
          <w:p w14:paraId="57B30ACB"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417" w:type="pct"/>
            <w:tcBorders>
              <w:top w:val="nil"/>
              <w:left w:val="single" w:sz="4" w:space="0" w:color="auto"/>
              <w:bottom w:val="single" w:sz="4" w:space="0" w:color="auto"/>
              <w:right w:val="single" w:sz="4" w:space="0" w:color="auto"/>
            </w:tcBorders>
            <w:shd w:val="clear" w:color="auto" w:fill="auto"/>
            <w:noWrap/>
            <w:vAlign w:val="bottom"/>
            <w:hideMark/>
          </w:tcPr>
          <w:p w14:paraId="0AB1EA70" w14:textId="77777777" w:rsidR="00232E17" w:rsidRPr="00B13CBE" w:rsidRDefault="00232E17" w:rsidP="00781A3B">
            <w:pPr>
              <w:spacing w:after="0" w:line="360" w:lineRule="auto"/>
              <w:jc w:val="both"/>
              <w:rPr>
                <w:rFonts w:ascii="Arial" w:eastAsia="Times New Roman" w:hAnsi="Arial" w:cs="Arial"/>
                <w:color w:val="000000" w:themeColor="text1"/>
                <w:sz w:val="24"/>
                <w:szCs w:val="24"/>
              </w:rPr>
            </w:pPr>
          </w:p>
        </w:tc>
        <w:tc>
          <w:tcPr>
            <w:tcW w:w="1068" w:type="pct"/>
            <w:tcBorders>
              <w:top w:val="nil"/>
              <w:left w:val="single" w:sz="4" w:space="0" w:color="auto"/>
              <w:bottom w:val="single" w:sz="4" w:space="0" w:color="auto"/>
              <w:right w:val="single" w:sz="4" w:space="0" w:color="auto"/>
            </w:tcBorders>
            <w:shd w:val="clear" w:color="auto" w:fill="auto"/>
            <w:noWrap/>
            <w:vAlign w:val="bottom"/>
            <w:hideMark/>
          </w:tcPr>
          <w:p w14:paraId="667B723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58" w:type="pct"/>
            <w:tcBorders>
              <w:top w:val="nil"/>
              <w:left w:val="single" w:sz="4" w:space="0" w:color="auto"/>
              <w:bottom w:val="single" w:sz="4" w:space="0" w:color="auto"/>
              <w:right w:val="single" w:sz="4" w:space="0" w:color="auto"/>
            </w:tcBorders>
            <w:shd w:val="clear" w:color="auto" w:fill="auto"/>
            <w:noWrap/>
            <w:vAlign w:val="bottom"/>
            <w:hideMark/>
          </w:tcPr>
          <w:p w14:paraId="28DAD77F"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0.4267</w:t>
            </w:r>
            <w:r w:rsidR="00EE77D0" w:rsidRPr="00B13CBE">
              <w:rPr>
                <w:rFonts w:ascii="Arial" w:eastAsia="Times New Roman" w:hAnsi="Arial" w:cs="Arial"/>
                <w:color w:val="000000" w:themeColor="text1"/>
                <w:sz w:val="24"/>
                <w:szCs w:val="24"/>
              </w:rPr>
              <w:t>*</w:t>
            </w:r>
          </w:p>
          <w:p w14:paraId="6E89D93C"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(0.2397)</w:t>
            </w:r>
          </w:p>
        </w:tc>
        <w:tc>
          <w:tcPr>
            <w:tcW w:w="633" w:type="pct"/>
            <w:tcBorders>
              <w:top w:val="nil"/>
              <w:left w:val="single" w:sz="4" w:space="0" w:color="auto"/>
              <w:bottom w:val="single" w:sz="4" w:space="0" w:color="auto"/>
              <w:right w:val="single" w:sz="4" w:space="0" w:color="auto"/>
            </w:tcBorders>
            <w:shd w:val="clear" w:color="auto" w:fill="auto"/>
            <w:noWrap/>
            <w:vAlign w:val="bottom"/>
            <w:hideMark/>
          </w:tcPr>
          <w:p w14:paraId="395FB22E" w14:textId="77777777" w:rsidR="00232E17"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0.0751</w:t>
            </w:r>
          </w:p>
        </w:tc>
      </w:tr>
      <w:tr w:rsidR="00581A28" w:rsidRPr="00B13CBE" w14:paraId="04998BAF" w14:textId="77777777" w:rsidTr="00232E17">
        <w:trPr>
          <w:trHeight w:val="351"/>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6161EBA2" w14:textId="77777777" w:rsidR="00232E17"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tc>
      </w:tr>
    </w:tbl>
    <w:p w14:paraId="11906649" w14:textId="77777777" w:rsidR="00232E17" w:rsidRPr="00B13CBE" w:rsidRDefault="00232E17" w:rsidP="00781A3B">
      <w:pPr>
        <w:spacing w:line="360" w:lineRule="auto"/>
        <w:jc w:val="both"/>
        <w:rPr>
          <w:rFonts w:ascii="Arial" w:hAnsi="Arial" w:cs="Arial"/>
          <w:color w:val="000000" w:themeColor="text1"/>
          <w:sz w:val="24"/>
          <w:szCs w:val="24"/>
        </w:rPr>
      </w:pPr>
    </w:p>
    <w:p w14:paraId="6BB0AA5A" w14:textId="77777777" w:rsidR="00EE77D0"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France’s CAC 40 had its highest short-term correlation with Indonesia’s Jakarta index (a=0.0788, s.e=0.0357)</w:t>
      </w:r>
      <w:r w:rsidR="00567E47" w:rsidRPr="00B13CBE">
        <w:rPr>
          <w:rFonts w:ascii="Arial" w:hAnsi="Arial" w:cs="Arial"/>
          <w:color w:val="000000" w:themeColor="text1"/>
          <w:sz w:val="24"/>
          <w:szCs w:val="24"/>
        </w:rPr>
        <w:t xml:space="preserve"> and its highest long-term correlation with China’s Shenzhen index (b=0.9860, s.e= 0.0046). Other indices which had high long-term correlations include Hong Kong's Hang Seng index (b=0.9643, s.e=0.02) and Japan’s NIKKEI index (b=0.9231, s.e=0.0388) whose correlation coefficients were statistically significant at 1% level of significance. </w:t>
      </w:r>
    </w:p>
    <w:p w14:paraId="7384227F" w14:textId="77777777" w:rsidR="00567E47" w:rsidRPr="00B13CBE" w:rsidRDefault="00C4772C" w:rsidP="00781A3B">
      <w:pPr>
        <w:pStyle w:val="Heading2"/>
      </w:pPr>
      <w:bookmarkStart w:id="48" w:name="_Toc82603375"/>
      <w:r w:rsidRPr="00B13CBE">
        <w:t>Correlation between the U.K and Other Parts of The World.</w:t>
      </w:r>
      <w:bookmarkEnd w:id="48"/>
    </w:p>
    <w:p w14:paraId="2F2C603E" w14:textId="77777777" w:rsidR="00567E47"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DCC-GARCH models were fitted between the UK's FTSE index and indices from other parts of the world. The results are shown in Table 7. A GARCH (1,1) model with normally distributed residuals was used as the univariate distribution.</w:t>
      </w:r>
    </w:p>
    <w:p w14:paraId="5474F8F9" w14:textId="77777777" w:rsidR="003E652F" w:rsidRPr="00B13CBE" w:rsidRDefault="00C4772C" w:rsidP="00781A3B">
      <w:pPr>
        <w:pStyle w:val="Caption"/>
        <w:keepNext/>
        <w:spacing w:line="360" w:lineRule="auto"/>
        <w:jc w:val="both"/>
        <w:rPr>
          <w:rFonts w:ascii="Arial" w:hAnsi="Arial" w:cs="Arial"/>
          <w:color w:val="000000" w:themeColor="text1"/>
        </w:rPr>
      </w:pPr>
      <w:bookmarkStart w:id="49" w:name="_Toc82603418"/>
      <w:r w:rsidRPr="00B13CBE">
        <w:rPr>
          <w:rFonts w:ascii="Arial" w:hAnsi="Arial" w:cs="Arial"/>
          <w:color w:val="000000" w:themeColor="text1"/>
        </w:rPr>
        <w:lastRenderedPageBreak/>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7</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:Correlations between UK's FTSE 100 index and </w:t>
      </w:r>
      <w:r w:rsidR="00D04AA9" w:rsidRPr="00B13CBE">
        <w:rPr>
          <w:rFonts w:ascii="Arial" w:hAnsi="Arial" w:cs="Arial"/>
          <w:color w:val="000000" w:themeColor="text1"/>
        </w:rPr>
        <w:t>I</w:t>
      </w:r>
      <w:r w:rsidRPr="00B13CBE">
        <w:rPr>
          <w:rFonts w:ascii="Arial" w:hAnsi="Arial" w:cs="Arial"/>
          <w:color w:val="000000" w:themeColor="text1"/>
        </w:rPr>
        <w:t xml:space="preserve">ndices from </w:t>
      </w:r>
      <w:r w:rsidR="00D04AA9" w:rsidRPr="00B13CBE">
        <w:rPr>
          <w:rFonts w:ascii="Arial" w:hAnsi="Arial" w:cs="Arial"/>
          <w:color w:val="000000" w:themeColor="text1"/>
        </w:rPr>
        <w:t>O</w:t>
      </w:r>
      <w:r w:rsidRPr="00B13CBE">
        <w:rPr>
          <w:rFonts w:ascii="Arial" w:hAnsi="Arial" w:cs="Arial"/>
          <w:color w:val="000000" w:themeColor="text1"/>
        </w:rPr>
        <w:t xml:space="preserve">ther </w:t>
      </w:r>
      <w:r w:rsidR="00D04AA9" w:rsidRPr="00B13CBE">
        <w:rPr>
          <w:rFonts w:ascii="Arial" w:hAnsi="Arial" w:cs="Arial"/>
          <w:color w:val="000000" w:themeColor="text1"/>
        </w:rPr>
        <w:t>C</w:t>
      </w:r>
      <w:r w:rsidRPr="00B13CBE">
        <w:rPr>
          <w:rFonts w:ascii="Arial" w:hAnsi="Arial" w:cs="Arial"/>
          <w:color w:val="000000" w:themeColor="text1"/>
        </w:rPr>
        <w:t>ountries</w:t>
      </w:r>
      <w:bookmarkEnd w:id="49"/>
    </w:p>
    <w:tbl>
      <w:tblPr>
        <w:tblW w:w="5000" w:type="pct"/>
        <w:tblLook w:val="04A0" w:firstRow="1" w:lastRow="0" w:firstColumn="1" w:lastColumn="0" w:noHBand="0" w:noVBand="1"/>
      </w:tblPr>
      <w:tblGrid>
        <w:gridCol w:w="1388"/>
        <w:gridCol w:w="2344"/>
        <w:gridCol w:w="1916"/>
        <w:gridCol w:w="1904"/>
        <w:gridCol w:w="1078"/>
      </w:tblGrid>
      <w:tr w:rsidR="004379AD" w:rsidRPr="00B13CBE" w14:paraId="4ACAEDDA" w14:textId="77777777" w:rsidTr="003E652F">
        <w:trPr>
          <w:trHeight w:val="288"/>
        </w:trPr>
        <w:tc>
          <w:tcPr>
            <w:tcW w:w="797" w:type="pct"/>
            <w:tcBorders>
              <w:top w:val="single" w:sz="4" w:space="0" w:color="auto"/>
              <w:left w:val="single" w:sz="4" w:space="0" w:color="auto"/>
              <w:right w:val="single" w:sz="4" w:space="0" w:color="auto"/>
            </w:tcBorders>
            <w:shd w:val="clear" w:color="auto" w:fill="auto"/>
            <w:noWrap/>
            <w:vAlign w:val="center"/>
          </w:tcPr>
          <w:p w14:paraId="2680491E"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374" w:type="pct"/>
            <w:tcBorders>
              <w:top w:val="single" w:sz="4" w:space="0" w:color="auto"/>
              <w:left w:val="single" w:sz="4" w:space="0" w:color="auto"/>
              <w:right w:val="single" w:sz="4" w:space="0" w:color="auto"/>
            </w:tcBorders>
            <w:shd w:val="clear" w:color="auto" w:fill="auto"/>
            <w:noWrap/>
            <w:vAlign w:val="center"/>
          </w:tcPr>
          <w:p w14:paraId="2281C38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115" w:type="pct"/>
            <w:tcBorders>
              <w:top w:val="single" w:sz="4" w:space="0" w:color="auto"/>
              <w:left w:val="single" w:sz="4" w:space="0" w:color="auto"/>
              <w:right w:val="single" w:sz="4" w:space="0" w:color="auto"/>
            </w:tcBorders>
            <w:shd w:val="clear" w:color="auto" w:fill="auto"/>
            <w:noWrap/>
            <w:vAlign w:val="center"/>
          </w:tcPr>
          <w:p w14:paraId="67365A98"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104" w:type="pct"/>
            <w:tcBorders>
              <w:top w:val="single" w:sz="4" w:space="0" w:color="auto"/>
              <w:left w:val="single" w:sz="4" w:space="0" w:color="auto"/>
              <w:right w:val="single" w:sz="4" w:space="0" w:color="auto"/>
            </w:tcBorders>
            <w:shd w:val="clear" w:color="auto" w:fill="auto"/>
            <w:noWrap/>
            <w:vAlign w:val="center"/>
          </w:tcPr>
          <w:p w14:paraId="2B3E698A"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11" w:type="pct"/>
            <w:tcBorders>
              <w:top w:val="single" w:sz="4" w:space="0" w:color="auto"/>
              <w:left w:val="single" w:sz="4" w:space="0" w:color="auto"/>
              <w:right w:val="single" w:sz="4" w:space="0" w:color="auto"/>
            </w:tcBorders>
            <w:shd w:val="clear" w:color="auto" w:fill="auto"/>
            <w:noWrap/>
            <w:vAlign w:val="center"/>
          </w:tcPr>
          <w:p w14:paraId="1463915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065669A1" w14:textId="77777777" w:rsidTr="003E652F">
        <w:trPr>
          <w:trHeight w:val="288"/>
        </w:trPr>
        <w:tc>
          <w:tcPr>
            <w:tcW w:w="797" w:type="pct"/>
            <w:tcBorders>
              <w:top w:val="single" w:sz="4" w:space="0" w:color="auto"/>
              <w:left w:val="single" w:sz="4" w:space="0" w:color="auto"/>
              <w:right w:val="single" w:sz="4" w:space="0" w:color="auto"/>
            </w:tcBorders>
            <w:shd w:val="clear" w:color="auto" w:fill="auto"/>
            <w:noWrap/>
            <w:vAlign w:val="bottom"/>
            <w:hideMark/>
          </w:tcPr>
          <w:p w14:paraId="66138FB9"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Japan</w:t>
            </w:r>
          </w:p>
        </w:tc>
        <w:tc>
          <w:tcPr>
            <w:tcW w:w="1374" w:type="pct"/>
            <w:tcBorders>
              <w:top w:val="single" w:sz="4" w:space="0" w:color="auto"/>
              <w:left w:val="single" w:sz="4" w:space="0" w:color="auto"/>
              <w:right w:val="single" w:sz="4" w:space="0" w:color="auto"/>
            </w:tcBorders>
            <w:shd w:val="clear" w:color="auto" w:fill="auto"/>
            <w:noWrap/>
            <w:vAlign w:val="bottom"/>
            <w:hideMark/>
          </w:tcPr>
          <w:p w14:paraId="177D89A5"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NIKKEI</w:t>
            </w:r>
          </w:p>
        </w:tc>
        <w:tc>
          <w:tcPr>
            <w:tcW w:w="1115" w:type="pct"/>
            <w:tcBorders>
              <w:top w:val="single" w:sz="4" w:space="0" w:color="auto"/>
              <w:left w:val="single" w:sz="4" w:space="0" w:color="auto"/>
              <w:right w:val="single" w:sz="4" w:space="0" w:color="auto"/>
            </w:tcBorders>
            <w:shd w:val="clear" w:color="auto" w:fill="auto"/>
            <w:noWrap/>
            <w:vAlign w:val="bottom"/>
            <w:hideMark/>
          </w:tcPr>
          <w:p w14:paraId="461645D3"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single" w:sz="4" w:space="0" w:color="auto"/>
              <w:left w:val="single" w:sz="4" w:space="0" w:color="auto"/>
              <w:right w:val="single" w:sz="4" w:space="0" w:color="auto"/>
            </w:tcBorders>
            <w:shd w:val="clear" w:color="auto" w:fill="auto"/>
            <w:noWrap/>
            <w:vAlign w:val="bottom"/>
            <w:hideMark/>
          </w:tcPr>
          <w:p w14:paraId="5F81830C"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0.0015</w:t>
            </w:r>
          </w:p>
          <w:p w14:paraId="068D4392"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(0.0108)</w:t>
            </w:r>
          </w:p>
        </w:tc>
        <w:tc>
          <w:tcPr>
            <w:tcW w:w="611" w:type="pct"/>
            <w:tcBorders>
              <w:top w:val="single" w:sz="4" w:space="0" w:color="auto"/>
              <w:left w:val="single" w:sz="4" w:space="0" w:color="auto"/>
              <w:right w:val="single" w:sz="4" w:space="0" w:color="auto"/>
            </w:tcBorders>
            <w:shd w:val="clear" w:color="auto" w:fill="auto"/>
            <w:noWrap/>
            <w:vAlign w:val="bottom"/>
            <w:hideMark/>
          </w:tcPr>
          <w:p w14:paraId="7465F43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0.8890</w:t>
            </w:r>
          </w:p>
        </w:tc>
      </w:tr>
      <w:tr w:rsidR="004379AD" w:rsidRPr="00B13CBE" w14:paraId="7E00E34B" w14:textId="77777777" w:rsidTr="003E652F">
        <w:trPr>
          <w:trHeight w:val="288"/>
        </w:trPr>
        <w:tc>
          <w:tcPr>
            <w:tcW w:w="797" w:type="pct"/>
            <w:tcBorders>
              <w:left w:val="single" w:sz="4" w:space="0" w:color="auto"/>
              <w:bottom w:val="nil"/>
              <w:right w:val="single" w:sz="4" w:space="0" w:color="auto"/>
            </w:tcBorders>
            <w:shd w:val="clear" w:color="auto" w:fill="auto"/>
            <w:noWrap/>
            <w:vAlign w:val="bottom"/>
            <w:hideMark/>
          </w:tcPr>
          <w:p w14:paraId="3C1EE6FB"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374" w:type="pct"/>
            <w:tcBorders>
              <w:left w:val="single" w:sz="4" w:space="0" w:color="auto"/>
              <w:bottom w:val="nil"/>
              <w:right w:val="single" w:sz="4" w:space="0" w:color="auto"/>
            </w:tcBorders>
            <w:shd w:val="clear" w:color="auto" w:fill="auto"/>
            <w:noWrap/>
            <w:vAlign w:val="bottom"/>
            <w:hideMark/>
          </w:tcPr>
          <w:p w14:paraId="08900C72"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115" w:type="pct"/>
            <w:tcBorders>
              <w:left w:val="single" w:sz="4" w:space="0" w:color="auto"/>
              <w:bottom w:val="nil"/>
              <w:right w:val="single" w:sz="4" w:space="0" w:color="auto"/>
            </w:tcBorders>
            <w:shd w:val="clear" w:color="auto" w:fill="auto"/>
            <w:noWrap/>
            <w:vAlign w:val="bottom"/>
            <w:hideMark/>
          </w:tcPr>
          <w:p w14:paraId="193A1C0D"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left w:val="single" w:sz="4" w:space="0" w:color="auto"/>
              <w:bottom w:val="nil"/>
              <w:right w:val="single" w:sz="4" w:space="0" w:color="auto"/>
            </w:tcBorders>
            <w:shd w:val="clear" w:color="auto" w:fill="auto"/>
            <w:noWrap/>
            <w:vAlign w:val="bottom"/>
            <w:hideMark/>
          </w:tcPr>
          <w:p w14:paraId="6552DFC2"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0.9035***</w:t>
            </w:r>
          </w:p>
          <w:p w14:paraId="375F08CB"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(0.1228)</w:t>
            </w:r>
          </w:p>
        </w:tc>
        <w:tc>
          <w:tcPr>
            <w:tcW w:w="611" w:type="pct"/>
            <w:tcBorders>
              <w:left w:val="single" w:sz="4" w:space="0" w:color="auto"/>
              <w:bottom w:val="nil"/>
              <w:right w:val="single" w:sz="4" w:space="0" w:color="auto"/>
            </w:tcBorders>
            <w:shd w:val="clear" w:color="auto" w:fill="auto"/>
            <w:noWrap/>
            <w:vAlign w:val="bottom"/>
            <w:hideMark/>
          </w:tcPr>
          <w:p w14:paraId="53E11C20"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7B885751"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031CB520"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Hong Kong</w:t>
            </w:r>
          </w:p>
        </w:tc>
        <w:tc>
          <w:tcPr>
            <w:tcW w:w="1374" w:type="pct"/>
            <w:tcBorders>
              <w:top w:val="nil"/>
              <w:left w:val="single" w:sz="4" w:space="0" w:color="auto"/>
              <w:bottom w:val="nil"/>
              <w:right w:val="single" w:sz="4" w:space="0" w:color="auto"/>
            </w:tcBorders>
            <w:shd w:val="clear" w:color="auto" w:fill="auto"/>
            <w:noWrap/>
            <w:vAlign w:val="bottom"/>
            <w:hideMark/>
          </w:tcPr>
          <w:p w14:paraId="7F5D5048"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HANG.SENG</w:t>
            </w:r>
          </w:p>
        </w:tc>
        <w:tc>
          <w:tcPr>
            <w:tcW w:w="1115" w:type="pct"/>
            <w:tcBorders>
              <w:top w:val="nil"/>
              <w:left w:val="single" w:sz="4" w:space="0" w:color="auto"/>
              <w:bottom w:val="nil"/>
              <w:right w:val="single" w:sz="4" w:space="0" w:color="auto"/>
            </w:tcBorders>
            <w:shd w:val="clear" w:color="auto" w:fill="auto"/>
            <w:noWrap/>
            <w:vAlign w:val="bottom"/>
            <w:hideMark/>
          </w:tcPr>
          <w:p w14:paraId="39DDDB30"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bottom w:val="nil"/>
              <w:right w:val="single" w:sz="4" w:space="0" w:color="auto"/>
            </w:tcBorders>
            <w:shd w:val="clear" w:color="auto" w:fill="auto"/>
            <w:noWrap/>
            <w:vAlign w:val="bottom"/>
            <w:hideMark/>
          </w:tcPr>
          <w:p w14:paraId="0F2E82C1"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p w14:paraId="065AD01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(0.0010)</w:t>
            </w:r>
          </w:p>
        </w:tc>
        <w:tc>
          <w:tcPr>
            <w:tcW w:w="611" w:type="pct"/>
            <w:tcBorders>
              <w:top w:val="nil"/>
              <w:left w:val="single" w:sz="4" w:space="0" w:color="auto"/>
              <w:bottom w:val="nil"/>
              <w:right w:val="single" w:sz="4" w:space="0" w:color="auto"/>
            </w:tcBorders>
            <w:shd w:val="clear" w:color="auto" w:fill="auto"/>
            <w:noWrap/>
            <w:vAlign w:val="bottom"/>
            <w:hideMark/>
          </w:tcPr>
          <w:p w14:paraId="64ED37F3"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1.0000</w:t>
            </w:r>
          </w:p>
        </w:tc>
      </w:tr>
      <w:tr w:rsidR="004379AD" w:rsidRPr="00B13CBE" w14:paraId="61C50DEF"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388AA9CC"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3AA0DC30"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482BF88D"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59EB0E4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0.9212**</w:t>
            </w:r>
          </w:p>
          <w:p w14:paraId="298F26C3"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(0.3589)</w:t>
            </w:r>
          </w:p>
        </w:tc>
        <w:tc>
          <w:tcPr>
            <w:tcW w:w="611" w:type="pct"/>
            <w:tcBorders>
              <w:top w:val="nil"/>
              <w:left w:val="single" w:sz="4" w:space="0" w:color="auto"/>
              <w:bottom w:val="nil"/>
              <w:right w:val="single" w:sz="4" w:space="0" w:color="auto"/>
            </w:tcBorders>
            <w:shd w:val="clear" w:color="auto" w:fill="auto"/>
            <w:noWrap/>
            <w:vAlign w:val="bottom"/>
            <w:hideMark/>
          </w:tcPr>
          <w:p w14:paraId="73CEDB6E"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0.0103</w:t>
            </w:r>
          </w:p>
        </w:tc>
      </w:tr>
      <w:tr w:rsidR="004379AD" w:rsidRPr="00B13CBE" w14:paraId="55D00C01"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5FB47725"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China</w:t>
            </w:r>
          </w:p>
        </w:tc>
        <w:tc>
          <w:tcPr>
            <w:tcW w:w="1374" w:type="pct"/>
            <w:tcBorders>
              <w:top w:val="nil"/>
              <w:left w:val="single" w:sz="4" w:space="0" w:color="auto"/>
              <w:bottom w:val="nil"/>
              <w:right w:val="single" w:sz="4" w:space="0" w:color="auto"/>
            </w:tcBorders>
            <w:shd w:val="clear" w:color="auto" w:fill="auto"/>
            <w:noWrap/>
            <w:vAlign w:val="bottom"/>
            <w:hideMark/>
          </w:tcPr>
          <w:p w14:paraId="294BA0CE"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SHENZHEN</w:t>
            </w:r>
          </w:p>
        </w:tc>
        <w:tc>
          <w:tcPr>
            <w:tcW w:w="1115" w:type="pct"/>
            <w:tcBorders>
              <w:top w:val="nil"/>
              <w:left w:val="single" w:sz="4" w:space="0" w:color="auto"/>
              <w:bottom w:val="nil"/>
              <w:right w:val="single" w:sz="4" w:space="0" w:color="auto"/>
            </w:tcBorders>
            <w:shd w:val="clear" w:color="auto" w:fill="auto"/>
            <w:noWrap/>
            <w:vAlign w:val="bottom"/>
            <w:hideMark/>
          </w:tcPr>
          <w:p w14:paraId="5564DAEC"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bottom w:val="nil"/>
              <w:right w:val="single" w:sz="4" w:space="0" w:color="auto"/>
            </w:tcBorders>
            <w:shd w:val="clear" w:color="auto" w:fill="auto"/>
            <w:noWrap/>
            <w:vAlign w:val="bottom"/>
            <w:hideMark/>
          </w:tcPr>
          <w:p w14:paraId="192F72A4"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p w14:paraId="4C4DCE6D"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(0.0002)</w:t>
            </w:r>
          </w:p>
        </w:tc>
        <w:tc>
          <w:tcPr>
            <w:tcW w:w="611" w:type="pct"/>
            <w:tcBorders>
              <w:top w:val="nil"/>
              <w:left w:val="single" w:sz="4" w:space="0" w:color="auto"/>
              <w:bottom w:val="nil"/>
              <w:right w:val="single" w:sz="4" w:space="0" w:color="auto"/>
            </w:tcBorders>
            <w:shd w:val="clear" w:color="auto" w:fill="auto"/>
            <w:noWrap/>
            <w:vAlign w:val="bottom"/>
            <w:hideMark/>
          </w:tcPr>
          <w:p w14:paraId="5FF5050F"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1.0000</w:t>
            </w:r>
          </w:p>
        </w:tc>
      </w:tr>
      <w:tr w:rsidR="004379AD" w:rsidRPr="00B13CBE" w14:paraId="7DD932DF"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2969705C"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4D0845C6"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51699A4A"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5B50EF29"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0.9012***</w:t>
            </w:r>
          </w:p>
          <w:p w14:paraId="4AF3CF69"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(0.2169)</w:t>
            </w:r>
          </w:p>
        </w:tc>
        <w:tc>
          <w:tcPr>
            <w:tcW w:w="611" w:type="pct"/>
            <w:tcBorders>
              <w:top w:val="nil"/>
              <w:left w:val="single" w:sz="4" w:space="0" w:color="auto"/>
              <w:bottom w:val="nil"/>
              <w:right w:val="single" w:sz="4" w:space="0" w:color="auto"/>
            </w:tcBorders>
            <w:shd w:val="clear" w:color="auto" w:fill="auto"/>
            <w:noWrap/>
            <w:vAlign w:val="bottom"/>
            <w:hideMark/>
          </w:tcPr>
          <w:p w14:paraId="0668CEFB"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288FDDA5"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10817DFD"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1374" w:type="pct"/>
            <w:tcBorders>
              <w:top w:val="nil"/>
              <w:left w:val="single" w:sz="4" w:space="0" w:color="auto"/>
              <w:bottom w:val="nil"/>
              <w:right w:val="single" w:sz="4" w:space="0" w:color="auto"/>
            </w:tcBorders>
            <w:shd w:val="clear" w:color="auto" w:fill="auto"/>
            <w:noWrap/>
            <w:vAlign w:val="bottom"/>
            <w:hideMark/>
          </w:tcPr>
          <w:p w14:paraId="52CB18D1"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1115" w:type="pct"/>
            <w:tcBorders>
              <w:top w:val="nil"/>
              <w:left w:val="single" w:sz="4" w:space="0" w:color="auto"/>
              <w:bottom w:val="nil"/>
              <w:right w:val="single" w:sz="4" w:space="0" w:color="auto"/>
            </w:tcBorders>
            <w:shd w:val="clear" w:color="auto" w:fill="auto"/>
            <w:noWrap/>
            <w:vAlign w:val="bottom"/>
            <w:hideMark/>
          </w:tcPr>
          <w:p w14:paraId="5483F5D2"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bottom w:val="nil"/>
              <w:right w:val="single" w:sz="4" w:space="0" w:color="auto"/>
            </w:tcBorders>
            <w:shd w:val="clear" w:color="auto" w:fill="auto"/>
            <w:noWrap/>
            <w:vAlign w:val="bottom"/>
            <w:hideMark/>
          </w:tcPr>
          <w:p w14:paraId="657A68B5"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0.0294</w:t>
            </w:r>
          </w:p>
          <w:p w14:paraId="240FC56B"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(0.0124)</w:t>
            </w:r>
          </w:p>
        </w:tc>
        <w:tc>
          <w:tcPr>
            <w:tcW w:w="611" w:type="pct"/>
            <w:tcBorders>
              <w:top w:val="nil"/>
              <w:left w:val="single" w:sz="4" w:space="0" w:color="auto"/>
              <w:bottom w:val="nil"/>
              <w:right w:val="single" w:sz="4" w:space="0" w:color="auto"/>
            </w:tcBorders>
            <w:shd w:val="clear" w:color="auto" w:fill="auto"/>
            <w:noWrap/>
            <w:vAlign w:val="bottom"/>
            <w:hideMark/>
          </w:tcPr>
          <w:p w14:paraId="0C154F4C"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0.0180</w:t>
            </w:r>
          </w:p>
        </w:tc>
      </w:tr>
      <w:tr w:rsidR="004379AD" w:rsidRPr="00B13CBE" w14:paraId="16A6923D"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3236BDE9"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79206B9B"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6BCD22F3"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37C2B80B" w14:textId="77777777" w:rsidR="004A007D"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0.9317***</w:t>
            </w:r>
          </w:p>
          <w:p w14:paraId="441B49E6"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(0.0343)</w:t>
            </w:r>
          </w:p>
        </w:tc>
        <w:tc>
          <w:tcPr>
            <w:tcW w:w="611" w:type="pct"/>
            <w:tcBorders>
              <w:top w:val="nil"/>
              <w:left w:val="single" w:sz="4" w:space="0" w:color="auto"/>
              <w:bottom w:val="nil"/>
              <w:right w:val="single" w:sz="4" w:space="0" w:color="auto"/>
            </w:tcBorders>
            <w:shd w:val="clear" w:color="auto" w:fill="auto"/>
            <w:noWrap/>
            <w:vAlign w:val="bottom"/>
            <w:hideMark/>
          </w:tcPr>
          <w:p w14:paraId="65EED677"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58E521A2" w14:textId="77777777" w:rsidTr="003E652F">
        <w:trPr>
          <w:trHeight w:val="288"/>
        </w:trPr>
        <w:tc>
          <w:tcPr>
            <w:tcW w:w="797" w:type="pct"/>
            <w:tcBorders>
              <w:top w:val="nil"/>
              <w:left w:val="single" w:sz="4" w:space="0" w:color="auto"/>
              <w:right w:val="single" w:sz="4" w:space="0" w:color="auto"/>
            </w:tcBorders>
            <w:shd w:val="clear" w:color="auto" w:fill="auto"/>
            <w:noWrap/>
            <w:vAlign w:val="bottom"/>
            <w:hideMark/>
          </w:tcPr>
          <w:p w14:paraId="0F44DD12"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374" w:type="pct"/>
            <w:tcBorders>
              <w:top w:val="nil"/>
              <w:left w:val="single" w:sz="4" w:space="0" w:color="auto"/>
              <w:right w:val="single" w:sz="4" w:space="0" w:color="auto"/>
            </w:tcBorders>
            <w:shd w:val="clear" w:color="auto" w:fill="auto"/>
            <w:noWrap/>
            <w:vAlign w:val="bottom"/>
            <w:hideMark/>
          </w:tcPr>
          <w:p w14:paraId="5FE1A3C6"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 Islamic Index</w:t>
            </w:r>
          </w:p>
        </w:tc>
        <w:tc>
          <w:tcPr>
            <w:tcW w:w="1115" w:type="pct"/>
            <w:tcBorders>
              <w:top w:val="nil"/>
              <w:left w:val="single" w:sz="4" w:space="0" w:color="auto"/>
              <w:right w:val="single" w:sz="4" w:space="0" w:color="auto"/>
            </w:tcBorders>
            <w:shd w:val="clear" w:color="auto" w:fill="auto"/>
            <w:noWrap/>
            <w:vAlign w:val="bottom"/>
            <w:hideMark/>
          </w:tcPr>
          <w:p w14:paraId="6E54D185"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right w:val="single" w:sz="4" w:space="0" w:color="auto"/>
            </w:tcBorders>
            <w:shd w:val="clear" w:color="auto" w:fill="auto"/>
            <w:noWrap/>
            <w:vAlign w:val="bottom"/>
            <w:hideMark/>
          </w:tcPr>
          <w:p w14:paraId="46F6DF6A"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0.0808**</w:t>
            </w:r>
          </w:p>
          <w:p w14:paraId="07E5C858"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(0.0285)</w:t>
            </w:r>
          </w:p>
        </w:tc>
        <w:tc>
          <w:tcPr>
            <w:tcW w:w="611" w:type="pct"/>
            <w:tcBorders>
              <w:top w:val="nil"/>
              <w:left w:val="single" w:sz="4" w:space="0" w:color="auto"/>
              <w:right w:val="single" w:sz="4" w:space="0" w:color="auto"/>
            </w:tcBorders>
            <w:shd w:val="clear" w:color="auto" w:fill="auto"/>
            <w:noWrap/>
            <w:vAlign w:val="bottom"/>
            <w:hideMark/>
          </w:tcPr>
          <w:p w14:paraId="15437B7D"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0.0046</w:t>
            </w:r>
          </w:p>
        </w:tc>
      </w:tr>
      <w:tr w:rsidR="004379AD" w:rsidRPr="00B13CBE" w14:paraId="3CCADE13" w14:textId="77777777" w:rsidTr="003E652F">
        <w:trPr>
          <w:trHeight w:val="288"/>
        </w:trPr>
        <w:tc>
          <w:tcPr>
            <w:tcW w:w="797" w:type="pct"/>
            <w:tcBorders>
              <w:top w:val="nil"/>
              <w:left w:val="single" w:sz="4" w:space="0" w:color="auto"/>
              <w:bottom w:val="single" w:sz="4" w:space="0" w:color="auto"/>
              <w:right w:val="single" w:sz="4" w:space="0" w:color="auto"/>
            </w:tcBorders>
            <w:shd w:val="clear" w:color="auto" w:fill="auto"/>
            <w:noWrap/>
            <w:vAlign w:val="bottom"/>
            <w:hideMark/>
          </w:tcPr>
          <w:p w14:paraId="694818AB"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single" w:sz="4" w:space="0" w:color="auto"/>
              <w:right w:val="single" w:sz="4" w:space="0" w:color="auto"/>
            </w:tcBorders>
            <w:shd w:val="clear" w:color="auto" w:fill="auto"/>
            <w:noWrap/>
            <w:vAlign w:val="bottom"/>
            <w:hideMark/>
          </w:tcPr>
          <w:p w14:paraId="0DE749A4" w14:textId="77777777" w:rsidR="004A007D" w:rsidRPr="00B13CBE" w:rsidRDefault="004A007D"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single" w:sz="4" w:space="0" w:color="auto"/>
              <w:right w:val="single" w:sz="4" w:space="0" w:color="auto"/>
            </w:tcBorders>
            <w:shd w:val="clear" w:color="auto" w:fill="auto"/>
            <w:noWrap/>
            <w:vAlign w:val="bottom"/>
            <w:hideMark/>
          </w:tcPr>
          <w:p w14:paraId="7D00D32B"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single" w:sz="4" w:space="0" w:color="auto"/>
              <w:right w:val="single" w:sz="4" w:space="0" w:color="auto"/>
            </w:tcBorders>
            <w:shd w:val="clear" w:color="auto" w:fill="auto"/>
            <w:noWrap/>
            <w:vAlign w:val="bottom"/>
            <w:hideMark/>
          </w:tcPr>
          <w:p w14:paraId="23B21A79"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0.4895*</w:t>
            </w:r>
          </w:p>
          <w:p w14:paraId="02AE658F"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(0.2550)</w:t>
            </w:r>
          </w:p>
        </w:tc>
        <w:tc>
          <w:tcPr>
            <w:tcW w:w="611" w:type="pct"/>
            <w:tcBorders>
              <w:top w:val="nil"/>
              <w:left w:val="single" w:sz="4" w:space="0" w:color="auto"/>
              <w:bottom w:val="single" w:sz="4" w:space="0" w:color="auto"/>
              <w:right w:val="single" w:sz="4" w:space="0" w:color="auto"/>
            </w:tcBorders>
            <w:shd w:val="clear" w:color="auto" w:fill="auto"/>
            <w:noWrap/>
            <w:vAlign w:val="bottom"/>
            <w:hideMark/>
          </w:tcPr>
          <w:p w14:paraId="777ACB01"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0.0549</w:t>
            </w:r>
          </w:p>
        </w:tc>
      </w:tr>
      <w:tr w:rsidR="00581A28" w:rsidRPr="00B13CBE" w14:paraId="68BEF3F3" w14:textId="77777777" w:rsidTr="004A007D">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4DB66148" w14:textId="77777777" w:rsidR="004A007D"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Note: *** indicates significance at 1%, ** indicates significance at 5% and * indicates significance at 10% </w:t>
            </w:r>
          </w:p>
        </w:tc>
      </w:tr>
    </w:tbl>
    <w:p w14:paraId="00A1A798" w14:textId="77777777" w:rsidR="004A007D" w:rsidRPr="00B13CBE" w:rsidRDefault="004A007D" w:rsidP="00781A3B">
      <w:pPr>
        <w:spacing w:line="360" w:lineRule="auto"/>
        <w:jc w:val="both"/>
        <w:rPr>
          <w:rFonts w:ascii="Arial" w:hAnsi="Arial" w:cs="Arial"/>
          <w:color w:val="000000" w:themeColor="text1"/>
          <w:sz w:val="24"/>
          <w:szCs w:val="24"/>
        </w:rPr>
      </w:pPr>
    </w:p>
    <w:p w14:paraId="54A71E6D" w14:textId="77777777" w:rsidR="00567E47"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U.K’s FTSE 100 index had its highest short-term correlation with Indonesia’s Jakarta Islamic index (a=0.0808, s.e=0.0285) which was statistically significant at 5% level of significance. </w:t>
      </w:r>
      <w:r w:rsidR="009528D4" w:rsidRPr="00B13CBE">
        <w:rPr>
          <w:rFonts w:ascii="Arial" w:hAnsi="Arial" w:cs="Arial"/>
          <w:color w:val="000000" w:themeColor="text1"/>
          <w:sz w:val="24"/>
          <w:szCs w:val="24"/>
        </w:rPr>
        <w:t xml:space="preserve">However, FTSE had high long-term correlations with Japan's NIKKEI (b=0.9035, 0.1228), Hong Kong Hang Seng (b=0.9212, 0.3589), and China's Shenzhen index (b=0.9012, s.e=0.2169) where all correlation coefficients were statistically significant at 1% level of significance. </w:t>
      </w:r>
    </w:p>
    <w:p w14:paraId="2A471BE2" w14:textId="77777777" w:rsidR="009528D4" w:rsidRPr="00B13CBE" w:rsidRDefault="00C4772C" w:rsidP="00781A3B">
      <w:pPr>
        <w:pStyle w:val="Heading2"/>
        <w:spacing w:before="0"/>
      </w:pPr>
      <w:bookmarkStart w:id="50" w:name="_Toc82603376"/>
      <w:bookmarkStart w:id="51" w:name="_Hlk79861269"/>
      <w:r w:rsidRPr="00B13CBE">
        <w:t>Correlation between Japan and Other Parts of The World.</w:t>
      </w:r>
      <w:bookmarkEnd w:id="50"/>
    </w:p>
    <w:bookmarkEnd w:id="51"/>
    <w:p w14:paraId="05057BB5" w14:textId="77777777" w:rsidR="009528D4"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DCC-GARCH models were fitted between Japan’s NIKKEI 225 index and indices from other parts of the world. The results are shown in Table 8 below. </w:t>
      </w:r>
    </w:p>
    <w:p w14:paraId="3E67709F" w14:textId="77777777" w:rsidR="003E652F" w:rsidRPr="00B13CBE" w:rsidRDefault="00C4772C" w:rsidP="00781A3B">
      <w:pPr>
        <w:pStyle w:val="Caption"/>
        <w:keepNext/>
        <w:spacing w:line="360" w:lineRule="auto"/>
        <w:jc w:val="both"/>
        <w:rPr>
          <w:rFonts w:ascii="Arial" w:hAnsi="Arial" w:cs="Arial"/>
          <w:color w:val="000000" w:themeColor="text1"/>
        </w:rPr>
      </w:pPr>
      <w:bookmarkStart w:id="52" w:name="_Toc82603419"/>
      <w:r w:rsidRPr="00B13CBE">
        <w:rPr>
          <w:rFonts w:ascii="Arial" w:hAnsi="Arial" w:cs="Arial"/>
          <w:color w:val="000000" w:themeColor="text1"/>
        </w:rPr>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8</w:t>
      </w:r>
      <w:r w:rsidR="000B1AF9" w:rsidRPr="00B13CBE">
        <w:rPr>
          <w:rFonts w:ascii="Arial" w:hAnsi="Arial" w:cs="Arial"/>
          <w:noProof/>
          <w:color w:val="000000" w:themeColor="text1"/>
        </w:rPr>
        <w:fldChar w:fldCharType="end"/>
      </w:r>
      <w:r w:rsidRPr="00B13CBE">
        <w:rPr>
          <w:rFonts w:ascii="Arial" w:hAnsi="Arial" w:cs="Arial"/>
          <w:color w:val="000000" w:themeColor="text1"/>
        </w:rPr>
        <w:t xml:space="preserve">:Correlations between Japan's NIKKEI 225 index and </w:t>
      </w:r>
      <w:r w:rsidR="00D04AA9" w:rsidRPr="00B13CBE">
        <w:rPr>
          <w:rFonts w:ascii="Arial" w:hAnsi="Arial" w:cs="Arial"/>
          <w:color w:val="000000" w:themeColor="text1"/>
        </w:rPr>
        <w:t>I</w:t>
      </w:r>
      <w:r w:rsidRPr="00B13CBE">
        <w:rPr>
          <w:rFonts w:ascii="Arial" w:hAnsi="Arial" w:cs="Arial"/>
          <w:color w:val="000000" w:themeColor="text1"/>
        </w:rPr>
        <w:t xml:space="preserve">ndices from </w:t>
      </w:r>
      <w:r w:rsidR="00D04AA9" w:rsidRPr="00B13CBE">
        <w:rPr>
          <w:rFonts w:ascii="Arial" w:hAnsi="Arial" w:cs="Arial"/>
          <w:color w:val="000000" w:themeColor="text1"/>
        </w:rPr>
        <w:t>O</w:t>
      </w:r>
      <w:r w:rsidRPr="00B13CBE">
        <w:rPr>
          <w:rFonts w:ascii="Arial" w:hAnsi="Arial" w:cs="Arial"/>
          <w:color w:val="000000" w:themeColor="text1"/>
        </w:rPr>
        <w:t xml:space="preserve">ther </w:t>
      </w:r>
      <w:r w:rsidR="00D04AA9" w:rsidRPr="00B13CBE">
        <w:rPr>
          <w:rFonts w:ascii="Arial" w:hAnsi="Arial" w:cs="Arial"/>
          <w:color w:val="000000" w:themeColor="text1"/>
        </w:rPr>
        <w:t>C</w:t>
      </w:r>
      <w:r w:rsidRPr="00B13CBE">
        <w:rPr>
          <w:rFonts w:ascii="Arial" w:hAnsi="Arial" w:cs="Arial"/>
          <w:color w:val="000000" w:themeColor="text1"/>
        </w:rPr>
        <w:t>ountries</w:t>
      </w:r>
      <w:r w:rsidR="00D04AA9" w:rsidRPr="00B13CBE">
        <w:rPr>
          <w:rFonts w:ascii="Arial" w:hAnsi="Arial" w:cs="Arial"/>
          <w:color w:val="000000" w:themeColor="text1"/>
        </w:rPr>
        <w:t>.</w:t>
      </w:r>
      <w:bookmarkEnd w:id="52"/>
    </w:p>
    <w:tbl>
      <w:tblPr>
        <w:tblW w:w="5000" w:type="pct"/>
        <w:tblLook w:val="04A0" w:firstRow="1" w:lastRow="0" w:firstColumn="1" w:lastColumn="0" w:noHBand="0" w:noVBand="1"/>
      </w:tblPr>
      <w:tblGrid>
        <w:gridCol w:w="1385"/>
        <w:gridCol w:w="2340"/>
        <w:gridCol w:w="1920"/>
        <w:gridCol w:w="1909"/>
        <w:gridCol w:w="1076"/>
      </w:tblGrid>
      <w:tr w:rsidR="004379AD" w:rsidRPr="00B13CBE" w14:paraId="0E594BB7" w14:textId="77777777" w:rsidTr="003E652F">
        <w:trPr>
          <w:trHeight w:val="288"/>
        </w:trPr>
        <w:tc>
          <w:tcPr>
            <w:tcW w:w="797" w:type="pct"/>
            <w:tcBorders>
              <w:top w:val="single" w:sz="4" w:space="0" w:color="auto"/>
              <w:left w:val="single" w:sz="4" w:space="0" w:color="auto"/>
              <w:bottom w:val="single" w:sz="4" w:space="0" w:color="auto"/>
            </w:tcBorders>
            <w:shd w:val="clear" w:color="auto" w:fill="auto"/>
            <w:noWrap/>
            <w:vAlign w:val="center"/>
          </w:tcPr>
          <w:p w14:paraId="21586180"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374" w:type="pct"/>
            <w:tcBorders>
              <w:top w:val="single" w:sz="4" w:space="0" w:color="auto"/>
              <w:bottom w:val="single" w:sz="4" w:space="0" w:color="auto"/>
            </w:tcBorders>
            <w:shd w:val="clear" w:color="auto" w:fill="auto"/>
            <w:noWrap/>
            <w:vAlign w:val="center"/>
          </w:tcPr>
          <w:p w14:paraId="56A127E4"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115" w:type="pct"/>
            <w:tcBorders>
              <w:top w:val="single" w:sz="4" w:space="0" w:color="auto"/>
              <w:bottom w:val="single" w:sz="4" w:space="0" w:color="auto"/>
            </w:tcBorders>
            <w:shd w:val="clear" w:color="auto" w:fill="auto"/>
            <w:noWrap/>
            <w:vAlign w:val="center"/>
          </w:tcPr>
          <w:p w14:paraId="7F843F19"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104" w:type="pct"/>
            <w:tcBorders>
              <w:top w:val="single" w:sz="4" w:space="0" w:color="auto"/>
              <w:bottom w:val="single" w:sz="4" w:space="0" w:color="auto"/>
            </w:tcBorders>
            <w:shd w:val="clear" w:color="auto" w:fill="auto"/>
            <w:noWrap/>
            <w:vAlign w:val="center"/>
          </w:tcPr>
          <w:p w14:paraId="0F75AA28"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11" w:type="pct"/>
            <w:tcBorders>
              <w:top w:val="single" w:sz="4" w:space="0" w:color="auto"/>
              <w:bottom w:val="single" w:sz="4" w:space="0" w:color="auto"/>
              <w:right w:val="single" w:sz="4" w:space="0" w:color="auto"/>
            </w:tcBorders>
            <w:shd w:val="clear" w:color="auto" w:fill="auto"/>
            <w:noWrap/>
            <w:vAlign w:val="center"/>
          </w:tcPr>
          <w:p w14:paraId="300D6E9D"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38F3C83D" w14:textId="77777777" w:rsidTr="003E652F">
        <w:trPr>
          <w:trHeight w:val="288"/>
        </w:trPr>
        <w:tc>
          <w:tcPr>
            <w:tcW w:w="797" w:type="pct"/>
            <w:tcBorders>
              <w:top w:val="single" w:sz="4" w:space="0" w:color="auto"/>
              <w:left w:val="single" w:sz="4" w:space="0" w:color="auto"/>
              <w:bottom w:val="nil"/>
              <w:right w:val="single" w:sz="4" w:space="0" w:color="auto"/>
            </w:tcBorders>
            <w:shd w:val="clear" w:color="auto" w:fill="auto"/>
            <w:noWrap/>
            <w:vAlign w:val="bottom"/>
            <w:hideMark/>
          </w:tcPr>
          <w:p w14:paraId="12BA5452"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Hong Kong</w:t>
            </w:r>
          </w:p>
        </w:tc>
        <w:tc>
          <w:tcPr>
            <w:tcW w:w="1374" w:type="pct"/>
            <w:tcBorders>
              <w:top w:val="single" w:sz="4" w:space="0" w:color="auto"/>
              <w:left w:val="single" w:sz="4" w:space="0" w:color="auto"/>
              <w:bottom w:val="nil"/>
              <w:right w:val="single" w:sz="4" w:space="0" w:color="auto"/>
            </w:tcBorders>
            <w:shd w:val="clear" w:color="auto" w:fill="auto"/>
            <w:noWrap/>
            <w:vAlign w:val="bottom"/>
            <w:hideMark/>
          </w:tcPr>
          <w:p w14:paraId="1141810B"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HANG SENG</w:t>
            </w:r>
          </w:p>
        </w:tc>
        <w:tc>
          <w:tcPr>
            <w:tcW w:w="1115" w:type="pct"/>
            <w:tcBorders>
              <w:top w:val="single" w:sz="4" w:space="0" w:color="auto"/>
              <w:left w:val="single" w:sz="4" w:space="0" w:color="auto"/>
              <w:bottom w:val="nil"/>
              <w:right w:val="single" w:sz="4" w:space="0" w:color="auto"/>
            </w:tcBorders>
            <w:shd w:val="clear" w:color="auto" w:fill="auto"/>
            <w:noWrap/>
            <w:vAlign w:val="bottom"/>
            <w:hideMark/>
          </w:tcPr>
          <w:p w14:paraId="19003FC4"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single" w:sz="4" w:space="0" w:color="auto"/>
              <w:left w:val="single" w:sz="4" w:space="0" w:color="auto"/>
              <w:bottom w:val="nil"/>
              <w:right w:val="single" w:sz="4" w:space="0" w:color="auto"/>
            </w:tcBorders>
            <w:shd w:val="clear" w:color="auto" w:fill="auto"/>
            <w:noWrap/>
            <w:vAlign w:val="bottom"/>
            <w:hideMark/>
          </w:tcPr>
          <w:p w14:paraId="399B0198"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0.0132</w:t>
            </w:r>
          </w:p>
          <w:p w14:paraId="0A98F153"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(0.0116)</w:t>
            </w:r>
          </w:p>
        </w:tc>
        <w:tc>
          <w:tcPr>
            <w:tcW w:w="611" w:type="pct"/>
            <w:tcBorders>
              <w:top w:val="single" w:sz="4" w:space="0" w:color="auto"/>
              <w:left w:val="single" w:sz="4" w:space="0" w:color="auto"/>
              <w:bottom w:val="nil"/>
              <w:right w:val="single" w:sz="4" w:space="0" w:color="auto"/>
            </w:tcBorders>
            <w:shd w:val="clear" w:color="auto" w:fill="auto"/>
            <w:noWrap/>
            <w:vAlign w:val="bottom"/>
            <w:hideMark/>
          </w:tcPr>
          <w:p w14:paraId="286EAD1C"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0.2536</w:t>
            </w:r>
          </w:p>
        </w:tc>
      </w:tr>
      <w:tr w:rsidR="004379AD" w:rsidRPr="00B13CBE" w14:paraId="353B58B3"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7B55A76B"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2004BD38"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70DBBEDE"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39364D53"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0.9035***</w:t>
            </w:r>
          </w:p>
          <w:p w14:paraId="73413A99"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(0.1050)</w:t>
            </w:r>
          </w:p>
        </w:tc>
        <w:tc>
          <w:tcPr>
            <w:tcW w:w="611" w:type="pct"/>
            <w:tcBorders>
              <w:top w:val="nil"/>
              <w:left w:val="single" w:sz="4" w:space="0" w:color="auto"/>
              <w:bottom w:val="nil"/>
              <w:right w:val="single" w:sz="4" w:space="0" w:color="auto"/>
            </w:tcBorders>
            <w:shd w:val="clear" w:color="auto" w:fill="auto"/>
            <w:noWrap/>
            <w:vAlign w:val="bottom"/>
            <w:hideMark/>
          </w:tcPr>
          <w:p w14:paraId="2871EA6E"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822BF4D"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40C6A398"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lastRenderedPageBreak/>
              <w:t>China</w:t>
            </w:r>
          </w:p>
        </w:tc>
        <w:tc>
          <w:tcPr>
            <w:tcW w:w="1374" w:type="pct"/>
            <w:tcBorders>
              <w:top w:val="nil"/>
              <w:left w:val="single" w:sz="4" w:space="0" w:color="auto"/>
              <w:bottom w:val="nil"/>
              <w:right w:val="single" w:sz="4" w:space="0" w:color="auto"/>
            </w:tcBorders>
            <w:shd w:val="clear" w:color="auto" w:fill="auto"/>
            <w:noWrap/>
            <w:vAlign w:val="bottom"/>
            <w:hideMark/>
          </w:tcPr>
          <w:p w14:paraId="1F7ECC85"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SHENZHEN</w:t>
            </w:r>
          </w:p>
        </w:tc>
        <w:tc>
          <w:tcPr>
            <w:tcW w:w="1115" w:type="pct"/>
            <w:tcBorders>
              <w:top w:val="nil"/>
              <w:left w:val="single" w:sz="4" w:space="0" w:color="auto"/>
              <w:bottom w:val="nil"/>
              <w:right w:val="single" w:sz="4" w:space="0" w:color="auto"/>
            </w:tcBorders>
            <w:shd w:val="clear" w:color="auto" w:fill="auto"/>
            <w:noWrap/>
            <w:vAlign w:val="bottom"/>
            <w:hideMark/>
          </w:tcPr>
          <w:p w14:paraId="5E78DD09"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bottom w:val="nil"/>
              <w:right w:val="single" w:sz="4" w:space="0" w:color="auto"/>
            </w:tcBorders>
            <w:shd w:val="clear" w:color="auto" w:fill="auto"/>
            <w:noWrap/>
            <w:vAlign w:val="bottom"/>
            <w:hideMark/>
          </w:tcPr>
          <w:p w14:paraId="5DC4907D"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0.0855</w:t>
            </w:r>
            <w:r w:rsidR="003E652F" w:rsidRPr="00B13CBE">
              <w:rPr>
                <w:rFonts w:ascii="Arial" w:eastAsia="Times New Roman" w:hAnsi="Arial" w:cs="Arial"/>
                <w:color w:val="000000" w:themeColor="text1"/>
                <w:sz w:val="24"/>
                <w:szCs w:val="24"/>
              </w:rPr>
              <w:t>**</w:t>
            </w:r>
          </w:p>
          <w:p w14:paraId="58E7ECAA"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(0.0447)</w:t>
            </w:r>
          </w:p>
        </w:tc>
        <w:tc>
          <w:tcPr>
            <w:tcW w:w="611" w:type="pct"/>
            <w:tcBorders>
              <w:top w:val="nil"/>
              <w:left w:val="single" w:sz="4" w:space="0" w:color="auto"/>
              <w:bottom w:val="nil"/>
              <w:right w:val="single" w:sz="4" w:space="0" w:color="auto"/>
            </w:tcBorders>
            <w:shd w:val="clear" w:color="auto" w:fill="auto"/>
            <w:noWrap/>
            <w:vAlign w:val="bottom"/>
            <w:hideMark/>
          </w:tcPr>
          <w:p w14:paraId="546F2D1E"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0.0557</w:t>
            </w:r>
          </w:p>
        </w:tc>
      </w:tr>
      <w:tr w:rsidR="004379AD" w:rsidRPr="00B13CBE" w14:paraId="3C7BE6AD"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7811B9EC"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5B16817A"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09721125"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78087A86"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0.0016</w:t>
            </w:r>
          </w:p>
          <w:p w14:paraId="78516ED2"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(0.7167)</w:t>
            </w:r>
          </w:p>
        </w:tc>
        <w:tc>
          <w:tcPr>
            <w:tcW w:w="611" w:type="pct"/>
            <w:tcBorders>
              <w:top w:val="nil"/>
              <w:left w:val="single" w:sz="4" w:space="0" w:color="auto"/>
              <w:bottom w:val="nil"/>
              <w:right w:val="single" w:sz="4" w:space="0" w:color="auto"/>
            </w:tcBorders>
            <w:shd w:val="clear" w:color="auto" w:fill="auto"/>
            <w:noWrap/>
            <w:vAlign w:val="bottom"/>
            <w:hideMark/>
          </w:tcPr>
          <w:p w14:paraId="67157023"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0.9983</w:t>
            </w:r>
          </w:p>
        </w:tc>
      </w:tr>
      <w:tr w:rsidR="004379AD" w:rsidRPr="00B13CBE" w14:paraId="6D39D582"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784D4D44"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1374" w:type="pct"/>
            <w:tcBorders>
              <w:top w:val="nil"/>
              <w:left w:val="single" w:sz="4" w:space="0" w:color="auto"/>
              <w:bottom w:val="nil"/>
              <w:right w:val="single" w:sz="4" w:space="0" w:color="auto"/>
            </w:tcBorders>
            <w:shd w:val="clear" w:color="auto" w:fill="auto"/>
            <w:noWrap/>
            <w:vAlign w:val="bottom"/>
            <w:hideMark/>
          </w:tcPr>
          <w:p w14:paraId="489A226A"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1115" w:type="pct"/>
            <w:tcBorders>
              <w:top w:val="nil"/>
              <w:left w:val="single" w:sz="4" w:space="0" w:color="auto"/>
              <w:bottom w:val="nil"/>
              <w:right w:val="single" w:sz="4" w:space="0" w:color="auto"/>
            </w:tcBorders>
            <w:shd w:val="clear" w:color="auto" w:fill="auto"/>
            <w:noWrap/>
            <w:vAlign w:val="bottom"/>
            <w:hideMark/>
          </w:tcPr>
          <w:p w14:paraId="5C2707F6"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bottom w:val="nil"/>
              <w:right w:val="single" w:sz="4" w:space="0" w:color="auto"/>
            </w:tcBorders>
            <w:shd w:val="clear" w:color="auto" w:fill="auto"/>
            <w:noWrap/>
            <w:vAlign w:val="bottom"/>
            <w:hideMark/>
          </w:tcPr>
          <w:p w14:paraId="60693ED5"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p w14:paraId="409C62BF"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(0.0001)</w:t>
            </w:r>
          </w:p>
        </w:tc>
        <w:tc>
          <w:tcPr>
            <w:tcW w:w="611" w:type="pct"/>
            <w:tcBorders>
              <w:top w:val="nil"/>
              <w:left w:val="single" w:sz="4" w:space="0" w:color="auto"/>
              <w:bottom w:val="nil"/>
              <w:right w:val="single" w:sz="4" w:space="0" w:color="auto"/>
            </w:tcBorders>
            <w:shd w:val="clear" w:color="auto" w:fill="auto"/>
            <w:noWrap/>
            <w:vAlign w:val="bottom"/>
            <w:hideMark/>
          </w:tcPr>
          <w:p w14:paraId="4A850C68"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1.0000</w:t>
            </w:r>
          </w:p>
        </w:tc>
      </w:tr>
      <w:tr w:rsidR="004379AD" w:rsidRPr="00B13CBE" w14:paraId="30E5B07B" w14:textId="77777777" w:rsidTr="003E652F">
        <w:trPr>
          <w:trHeight w:val="288"/>
        </w:trPr>
        <w:tc>
          <w:tcPr>
            <w:tcW w:w="797" w:type="pct"/>
            <w:tcBorders>
              <w:top w:val="nil"/>
              <w:left w:val="single" w:sz="4" w:space="0" w:color="auto"/>
              <w:bottom w:val="nil"/>
              <w:right w:val="single" w:sz="4" w:space="0" w:color="auto"/>
            </w:tcBorders>
            <w:shd w:val="clear" w:color="auto" w:fill="auto"/>
            <w:noWrap/>
            <w:vAlign w:val="bottom"/>
            <w:hideMark/>
          </w:tcPr>
          <w:p w14:paraId="5EC0D35C"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nil"/>
              <w:right w:val="single" w:sz="4" w:space="0" w:color="auto"/>
            </w:tcBorders>
            <w:shd w:val="clear" w:color="auto" w:fill="auto"/>
            <w:noWrap/>
            <w:vAlign w:val="bottom"/>
            <w:hideMark/>
          </w:tcPr>
          <w:p w14:paraId="2679696F"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nil"/>
              <w:right w:val="single" w:sz="4" w:space="0" w:color="auto"/>
            </w:tcBorders>
            <w:shd w:val="clear" w:color="auto" w:fill="auto"/>
            <w:noWrap/>
            <w:vAlign w:val="bottom"/>
            <w:hideMark/>
          </w:tcPr>
          <w:p w14:paraId="1ACE8837"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nil"/>
              <w:right w:val="single" w:sz="4" w:space="0" w:color="auto"/>
            </w:tcBorders>
            <w:shd w:val="clear" w:color="auto" w:fill="auto"/>
            <w:noWrap/>
            <w:vAlign w:val="bottom"/>
            <w:hideMark/>
          </w:tcPr>
          <w:p w14:paraId="004C6500"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0.9583***</w:t>
            </w:r>
          </w:p>
          <w:p w14:paraId="0DCB5B43"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(0.2121)</w:t>
            </w:r>
          </w:p>
        </w:tc>
        <w:tc>
          <w:tcPr>
            <w:tcW w:w="611" w:type="pct"/>
            <w:tcBorders>
              <w:top w:val="nil"/>
              <w:left w:val="single" w:sz="4" w:space="0" w:color="auto"/>
              <w:bottom w:val="nil"/>
              <w:right w:val="single" w:sz="4" w:space="0" w:color="auto"/>
            </w:tcBorders>
            <w:shd w:val="clear" w:color="auto" w:fill="auto"/>
            <w:noWrap/>
            <w:vAlign w:val="bottom"/>
            <w:hideMark/>
          </w:tcPr>
          <w:p w14:paraId="4D78DDE6"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89D632F" w14:textId="77777777" w:rsidTr="003E652F">
        <w:trPr>
          <w:trHeight w:val="288"/>
        </w:trPr>
        <w:tc>
          <w:tcPr>
            <w:tcW w:w="797" w:type="pct"/>
            <w:tcBorders>
              <w:top w:val="nil"/>
              <w:left w:val="single" w:sz="4" w:space="0" w:color="auto"/>
              <w:right w:val="single" w:sz="4" w:space="0" w:color="auto"/>
            </w:tcBorders>
            <w:shd w:val="clear" w:color="auto" w:fill="auto"/>
            <w:noWrap/>
            <w:vAlign w:val="bottom"/>
            <w:hideMark/>
          </w:tcPr>
          <w:p w14:paraId="76B02843"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374" w:type="pct"/>
            <w:tcBorders>
              <w:top w:val="nil"/>
              <w:left w:val="single" w:sz="4" w:space="0" w:color="auto"/>
              <w:right w:val="single" w:sz="4" w:space="0" w:color="auto"/>
            </w:tcBorders>
            <w:shd w:val="clear" w:color="auto" w:fill="auto"/>
            <w:noWrap/>
            <w:vAlign w:val="bottom"/>
            <w:hideMark/>
          </w:tcPr>
          <w:p w14:paraId="5F057A6A"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 Islamic Index</w:t>
            </w:r>
          </w:p>
        </w:tc>
        <w:tc>
          <w:tcPr>
            <w:tcW w:w="1115" w:type="pct"/>
            <w:tcBorders>
              <w:top w:val="nil"/>
              <w:left w:val="single" w:sz="4" w:space="0" w:color="auto"/>
              <w:right w:val="single" w:sz="4" w:space="0" w:color="auto"/>
            </w:tcBorders>
            <w:shd w:val="clear" w:color="auto" w:fill="auto"/>
            <w:noWrap/>
            <w:vAlign w:val="bottom"/>
            <w:hideMark/>
          </w:tcPr>
          <w:p w14:paraId="703619E2"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4" w:type="pct"/>
            <w:tcBorders>
              <w:top w:val="nil"/>
              <w:left w:val="single" w:sz="4" w:space="0" w:color="auto"/>
              <w:right w:val="single" w:sz="4" w:space="0" w:color="auto"/>
            </w:tcBorders>
            <w:shd w:val="clear" w:color="auto" w:fill="auto"/>
            <w:noWrap/>
            <w:vAlign w:val="bottom"/>
            <w:hideMark/>
          </w:tcPr>
          <w:p w14:paraId="668BEA16"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0.0032</w:t>
            </w:r>
          </w:p>
          <w:p w14:paraId="20A038EB"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(0.0029)</w:t>
            </w:r>
          </w:p>
        </w:tc>
        <w:tc>
          <w:tcPr>
            <w:tcW w:w="611" w:type="pct"/>
            <w:tcBorders>
              <w:top w:val="nil"/>
              <w:left w:val="single" w:sz="4" w:space="0" w:color="auto"/>
              <w:right w:val="single" w:sz="4" w:space="0" w:color="auto"/>
            </w:tcBorders>
            <w:shd w:val="clear" w:color="auto" w:fill="auto"/>
            <w:noWrap/>
            <w:vAlign w:val="bottom"/>
            <w:hideMark/>
          </w:tcPr>
          <w:p w14:paraId="3DB44A91"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0.2641</w:t>
            </w:r>
          </w:p>
        </w:tc>
      </w:tr>
      <w:tr w:rsidR="004379AD" w:rsidRPr="00B13CBE" w14:paraId="2D39FC7B" w14:textId="77777777" w:rsidTr="003E652F">
        <w:trPr>
          <w:trHeight w:val="288"/>
        </w:trPr>
        <w:tc>
          <w:tcPr>
            <w:tcW w:w="797" w:type="pct"/>
            <w:tcBorders>
              <w:top w:val="nil"/>
              <w:left w:val="single" w:sz="4" w:space="0" w:color="auto"/>
              <w:bottom w:val="single" w:sz="4" w:space="0" w:color="auto"/>
              <w:right w:val="single" w:sz="4" w:space="0" w:color="auto"/>
            </w:tcBorders>
            <w:shd w:val="clear" w:color="auto" w:fill="auto"/>
            <w:noWrap/>
            <w:vAlign w:val="bottom"/>
            <w:hideMark/>
          </w:tcPr>
          <w:p w14:paraId="58F2D8FD"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374" w:type="pct"/>
            <w:tcBorders>
              <w:top w:val="nil"/>
              <w:left w:val="single" w:sz="4" w:space="0" w:color="auto"/>
              <w:bottom w:val="single" w:sz="4" w:space="0" w:color="auto"/>
              <w:right w:val="single" w:sz="4" w:space="0" w:color="auto"/>
            </w:tcBorders>
            <w:shd w:val="clear" w:color="auto" w:fill="auto"/>
            <w:noWrap/>
            <w:vAlign w:val="bottom"/>
            <w:hideMark/>
          </w:tcPr>
          <w:p w14:paraId="777B56B8" w14:textId="77777777" w:rsidR="00CF39D8" w:rsidRPr="00B13CBE" w:rsidRDefault="00CF39D8" w:rsidP="00781A3B">
            <w:pPr>
              <w:spacing w:after="0" w:line="360" w:lineRule="auto"/>
              <w:jc w:val="both"/>
              <w:rPr>
                <w:rFonts w:ascii="Arial" w:eastAsia="Times New Roman" w:hAnsi="Arial" w:cs="Arial"/>
                <w:color w:val="000000" w:themeColor="text1"/>
                <w:sz w:val="24"/>
                <w:szCs w:val="24"/>
              </w:rPr>
            </w:pPr>
          </w:p>
        </w:tc>
        <w:tc>
          <w:tcPr>
            <w:tcW w:w="1115" w:type="pct"/>
            <w:tcBorders>
              <w:top w:val="nil"/>
              <w:left w:val="single" w:sz="4" w:space="0" w:color="auto"/>
              <w:bottom w:val="single" w:sz="4" w:space="0" w:color="auto"/>
              <w:right w:val="single" w:sz="4" w:space="0" w:color="auto"/>
            </w:tcBorders>
            <w:shd w:val="clear" w:color="auto" w:fill="auto"/>
            <w:noWrap/>
            <w:vAlign w:val="bottom"/>
            <w:hideMark/>
          </w:tcPr>
          <w:p w14:paraId="51BAD7DD"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4" w:type="pct"/>
            <w:tcBorders>
              <w:top w:val="nil"/>
              <w:left w:val="single" w:sz="4" w:space="0" w:color="auto"/>
              <w:bottom w:val="single" w:sz="4" w:space="0" w:color="auto"/>
              <w:right w:val="single" w:sz="4" w:space="0" w:color="auto"/>
            </w:tcBorders>
            <w:shd w:val="clear" w:color="auto" w:fill="auto"/>
            <w:noWrap/>
            <w:vAlign w:val="bottom"/>
            <w:hideMark/>
          </w:tcPr>
          <w:p w14:paraId="07F81F6B" w14:textId="77777777" w:rsidR="00CF39D8"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0.9895***</w:t>
            </w:r>
          </w:p>
          <w:p w14:paraId="54D9EF16"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(0.0040)</w:t>
            </w:r>
          </w:p>
        </w:tc>
        <w:tc>
          <w:tcPr>
            <w:tcW w:w="611" w:type="pct"/>
            <w:tcBorders>
              <w:top w:val="nil"/>
              <w:left w:val="single" w:sz="4" w:space="0" w:color="auto"/>
              <w:bottom w:val="single" w:sz="4" w:space="0" w:color="auto"/>
              <w:right w:val="single" w:sz="4" w:space="0" w:color="auto"/>
            </w:tcBorders>
            <w:shd w:val="clear" w:color="auto" w:fill="auto"/>
            <w:noWrap/>
            <w:vAlign w:val="bottom"/>
            <w:hideMark/>
          </w:tcPr>
          <w:p w14:paraId="47B60711"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6D540649" w14:textId="77777777" w:rsidTr="00CF39D8">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2497C457" w14:textId="77777777" w:rsidR="00CF39D8"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 xml:space="preserve">Note: </w:t>
            </w:r>
            <w:r w:rsidR="00724820" w:rsidRPr="00B13CBE">
              <w:rPr>
                <w:rFonts w:ascii="Arial" w:eastAsia="Times New Roman" w:hAnsi="Arial" w:cs="Arial"/>
                <w:b/>
                <w:bCs/>
                <w:color w:val="000000" w:themeColor="text1"/>
                <w:sz w:val="24"/>
                <w:szCs w:val="24"/>
              </w:rPr>
              <w:t>significance at 1%, ** indicates significance at 5% and * indicates significance at 10% </w:t>
            </w:r>
            <w:r w:rsidRPr="00B13CBE">
              <w:rPr>
                <w:rFonts w:ascii="Arial" w:eastAsia="Times New Roman" w:hAnsi="Arial" w:cs="Arial"/>
                <w:b/>
                <w:bCs/>
                <w:color w:val="000000" w:themeColor="text1"/>
                <w:sz w:val="24"/>
                <w:szCs w:val="24"/>
              </w:rPr>
              <w:t xml:space="preserve">*** indicates </w:t>
            </w:r>
          </w:p>
        </w:tc>
      </w:tr>
    </w:tbl>
    <w:p w14:paraId="4B81FFB3" w14:textId="77777777" w:rsidR="001F4CEB" w:rsidRPr="00B13CBE" w:rsidRDefault="00C4772C" w:rsidP="00781A3B">
      <w:pPr>
        <w:pStyle w:val="BodyText"/>
        <w:spacing w:before="0" w:after="0" w:line="360" w:lineRule="auto"/>
        <w:jc w:val="both"/>
        <w:rPr>
          <w:rFonts w:ascii="Arial" w:hAnsi="Arial" w:cs="Arial"/>
          <w:color w:val="000000" w:themeColor="text1"/>
        </w:rPr>
      </w:pPr>
      <w:r w:rsidRPr="00B13CBE">
        <w:rPr>
          <w:rFonts w:ascii="Arial" w:hAnsi="Arial" w:cs="Arial"/>
          <w:color w:val="000000" w:themeColor="text1"/>
        </w:rPr>
        <w:t xml:space="preserve">Japan’s NIKKEI had its highest short-term correlation with China’s Shenzhen index and its highest long-term correlation with Indonesia’s Jakarta Islamic index (b=0.9895, </w:t>
      </w:r>
      <w:proofErr w:type="gramStart"/>
      <w:r w:rsidRPr="00B13CBE">
        <w:rPr>
          <w:rFonts w:ascii="Arial" w:hAnsi="Arial" w:cs="Arial"/>
          <w:color w:val="000000" w:themeColor="text1"/>
        </w:rPr>
        <w:t>s.e</w:t>
      </w:r>
      <w:proofErr w:type="gramEnd"/>
      <w:r w:rsidRPr="00B13CBE">
        <w:rPr>
          <w:rFonts w:ascii="Arial" w:hAnsi="Arial" w:cs="Arial"/>
          <w:color w:val="000000" w:themeColor="text1"/>
        </w:rPr>
        <w:t xml:space="preserve">=0.0040). It also had high long-term correlations with Mexico’s IPC Mexico index (b=0.9583, s.e=0.2121) and Hong Kong’s Hang Seng index (b=0.9035, s.e=0.1050). </w:t>
      </w:r>
    </w:p>
    <w:p w14:paraId="553B667E" w14:textId="77777777" w:rsidR="003E652F" w:rsidRPr="00B13CBE" w:rsidRDefault="00C4772C" w:rsidP="00781A3B">
      <w:pPr>
        <w:pStyle w:val="Heading2"/>
        <w:spacing w:before="0"/>
      </w:pPr>
      <w:bookmarkStart w:id="53" w:name="_Toc82603377"/>
      <w:r w:rsidRPr="00B13CBE">
        <w:t>Correlation between Hong Kong and Other Parts of the World.</w:t>
      </w:r>
      <w:bookmarkEnd w:id="53"/>
    </w:p>
    <w:p w14:paraId="62D7E243" w14:textId="77777777" w:rsidR="00AD616B"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DCC-GARCH models were fitted between Hong Kong’s Hang Seng index and indices from other parts of the world. The results are shown in Table </w:t>
      </w:r>
      <w:r w:rsidR="00F569D2" w:rsidRPr="00B13CBE">
        <w:rPr>
          <w:rFonts w:ascii="Arial" w:hAnsi="Arial" w:cs="Arial"/>
          <w:color w:val="000000" w:themeColor="text1"/>
          <w:sz w:val="24"/>
          <w:szCs w:val="24"/>
        </w:rPr>
        <w:t>9</w:t>
      </w:r>
      <w:r w:rsidRPr="00B13CBE">
        <w:rPr>
          <w:rFonts w:ascii="Arial" w:hAnsi="Arial" w:cs="Arial"/>
          <w:color w:val="000000" w:themeColor="text1"/>
          <w:sz w:val="24"/>
          <w:szCs w:val="24"/>
        </w:rPr>
        <w:t xml:space="preserve"> below.</w:t>
      </w:r>
      <w:r w:rsidR="00F569D2" w:rsidRPr="00B13CBE">
        <w:rPr>
          <w:rFonts w:ascii="Arial" w:hAnsi="Arial" w:cs="Arial"/>
          <w:color w:val="000000" w:themeColor="text1"/>
          <w:sz w:val="24"/>
          <w:szCs w:val="24"/>
        </w:rPr>
        <w:t xml:space="preserve"> A GARCH (1,1) model with normally distributed residuals was used as the univariate distribution. </w:t>
      </w:r>
      <w:r w:rsidRPr="00B13CBE">
        <w:rPr>
          <w:rFonts w:ascii="Arial" w:hAnsi="Arial" w:cs="Arial"/>
          <w:color w:val="000000" w:themeColor="text1"/>
          <w:sz w:val="24"/>
          <w:szCs w:val="24"/>
        </w:rPr>
        <w:t xml:space="preserve"> </w:t>
      </w:r>
    </w:p>
    <w:p w14:paraId="0F101329" w14:textId="77777777" w:rsidR="003E652F" w:rsidRPr="00B13CBE" w:rsidRDefault="00C4772C" w:rsidP="00781A3B">
      <w:pPr>
        <w:pStyle w:val="Caption"/>
        <w:keepNext/>
        <w:spacing w:line="360" w:lineRule="auto"/>
        <w:jc w:val="both"/>
        <w:rPr>
          <w:rFonts w:ascii="Arial" w:hAnsi="Arial" w:cs="Arial"/>
          <w:color w:val="000000" w:themeColor="text1"/>
        </w:rPr>
      </w:pPr>
      <w:bookmarkStart w:id="54" w:name="_Toc82603420"/>
      <w:r w:rsidRPr="00B13CBE">
        <w:rPr>
          <w:rFonts w:ascii="Arial" w:hAnsi="Arial" w:cs="Arial"/>
          <w:color w:val="000000" w:themeColor="text1"/>
        </w:rPr>
        <w:lastRenderedPageBreak/>
        <w:t xml:space="preserve">Table </w:t>
      </w:r>
      <w:r w:rsidR="000B1AF9" w:rsidRPr="00B13CBE">
        <w:rPr>
          <w:rFonts w:ascii="Arial" w:hAnsi="Arial" w:cs="Arial"/>
          <w:color w:val="000000" w:themeColor="text1"/>
        </w:rPr>
        <w:fldChar w:fldCharType="begin"/>
      </w:r>
      <w:r w:rsidR="000B1AF9" w:rsidRPr="00B13CBE">
        <w:rPr>
          <w:rFonts w:ascii="Arial" w:hAnsi="Arial" w:cs="Arial"/>
          <w:color w:val="000000" w:themeColor="text1"/>
        </w:rPr>
        <w:instrText xml:space="preserve"> SEQ Table \* ARABIC </w:instrText>
      </w:r>
      <w:r w:rsidR="000B1AF9" w:rsidRPr="00B13CBE">
        <w:rPr>
          <w:rFonts w:ascii="Arial" w:hAnsi="Arial" w:cs="Arial"/>
          <w:color w:val="000000" w:themeColor="text1"/>
        </w:rPr>
        <w:fldChar w:fldCharType="separate"/>
      </w:r>
      <w:r w:rsidR="00D04AA9" w:rsidRPr="00B13CBE">
        <w:rPr>
          <w:rFonts w:ascii="Arial" w:hAnsi="Arial" w:cs="Arial"/>
          <w:noProof/>
          <w:color w:val="000000" w:themeColor="text1"/>
        </w:rPr>
        <w:t>9</w:t>
      </w:r>
      <w:r w:rsidR="000B1AF9" w:rsidRPr="00B13CBE">
        <w:rPr>
          <w:rFonts w:ascii="Arial" w:hAnsi="Arial" w:cs="Arial"/>
          <w:noProof/>
          <w:color w:val="000000" w:themeColor="text1"/>
        </w:rPr>
        <w:fldChar w:fldCharType="end"/>
      </w:r>
      <w:bookmarkStart w:id="55" w:name="_Hlk79916513"/>
      <w:r w:rsidRPr="00B13CBE">
        <w:rPr>
          <w:rFonts w:ascii="Arial" w:hAnsi="Arial" w:cs="Arial"/>
          <w:color w:val="000000" w:themeColor="text1"/>
        </w:rPr>
        <w:t xml:space="preserve">:Correlations between Hong Kong's Hang Seng </w:t>
      </w:r>
      <w:r w:rsidR="00D04AA9" w:rsidRPr="00B13CBE">
        <w:rPr>
          <w:rFonts w:ascii="Arial" w:hAnsi="Arial" w:cs="Arial"/>
          <w:color w:val="000000" w:themeColor="text1"/>
        </w:rPr>
        <w:t>I</w:t>
      </w:r>
      <w:r w:rsidRPr="00B13CBE">
        <w:rPr>
          <w:rFonts w:ascii="Arial" w:hAnsi="Arial" w:cs="Arial"/>
          <w:color w:val="000000" w:themeColor="text1"/>
        </w:rPr>
        <w:t xml:space="preserve">ndex and </w:t>
      </w:r>
      <w:r w:rsidR="00D04AA9" w:rsidRPr="00B13CBE">
        <w:rPr>
          <w:rFonts w:ascii="Arial" w:hAnsi="Arial" w:cs="Arial"/>
          <w:color w:val="000000" w:themeColor="text1"/>
        </w:rPr>
        <w:t>I</w:t>
      </w:r>
      <w:r w:rsidRPr="00B13CBE">
        <w:rPr>
          <w:rFonts w:ascii="Arial" w:hAnsi="Arial" w:cs="Arial"/>
          <w:color w:val="000000" w:themeColor="text1"/>
        </w:rPr>
        <w:t xml:space="preserve">ndices from </w:t>
      </w:r>
      <w:r w:rsidR="00D04AA9" w:rsidRPr="00B13CBE">
        <w:rPr>
          <w:rFonts w:ascii="Arial" w:hAnsi="Arial" w:cs="Arial"/>
          <w:color w:val="000000" w:themeColor="text1"/>
        </w:rPr>
        <w:t>O</w:t>
      </w:r>
      <w:r w:rsidRPr="00B13CBE">
        <w:rPr>
          <w:rFonts w:ascii="Arial" w:hAnsi="Arial" w:cs="Arial"/>
          <w:color w:val="000000" w:themeColor="text1"/>
        </w:rPr>
        <w:t xml:space="preserve">ther </w:t>
      </w:r>
      <w:r w:rsidR="00D04AA9" w:rsidRPr="00B13CBE">
        <w:rPr>
          <w:rFonts w:ascii="Arial" w:hAnsi="Arial" w:cs="Arial"/>
          <w:color w:val="000000" w:themeColor="text1"/>
        </w:rPr>
        <w:t>C</w:t>
      </w:r>
      <w:r w:rsidRPr="00B13CBE">
        <w:rPr>
          <w:rFonts w:ascii="Arial" w:hAnsi="Arial" w:cs="Arial"/>
          <w:color w:val="000000" w:themeColor="text1"/>
        </w:rPr>
        <w:t>ountries</w:t>
      </w:r>
      <w:bookmarkEnd w:id="55"/>
      <w:r w:rsidR="00D04AA9" w:rsidRPr="00B13CBE">
        <w:rPr>
          <w:rFonts w:ascii="Arial" w:hAnsi="Arial" w:cs="Arial"/>
          <w:color w:val="000000" w:themeColor="text1"/>
        </w:rPr>
        <w:t>.</w:t>
      </w:r>
      <w:bookmarkEnd w:id="54"/>
    </w:p>
    <w:tbl>
      <w:tblPr>
        <w:tblW w:w="5000" w:type="pct"/>
        <w:tblLook w:val="04A0" w:firstRow="1" w:lastRow="0" w:firstColumn="1" w:lastColumn="0" w:noHBand="0" w:noVBand="1"/>
      </w:tblPr>
      <w:tblGrid>
        <w:gridCol w:w="1300"/>
        <w:gridCol w:w="2334"/>
        <w:gridCol w:w="1996"/>
        <w:gridCol w:w="1904"/>
        <w:gridCol w:w="1096"/>
      </w:tblGrid>
      <w:tr w:rsidR="004379AD" w:rsidRPr="00B13CBE" w14:paraId="7ACCB62F" w14:textId="77777777" w:rsidTr="000C2323">
        <w:trPr>
          <w:trHeight w:val="288"/>
        </w:trPr>
        <w:tc>
          <w:tcPr>
            <w:tcW w:w="748" w:type="pct"/>
            <w:tcBorders>
              <w:top w:val="single" w:sz="4" w:space="0" w:color="auto"/>
              <w:left w:val="single" w:sz="4" w:space="0" w:color="auto"/>
              <w:bottom w:val="single" w:sz="4" w:space="0" w:color="auto"/>
            </w:tcBorders>
            <w:shd w:val="clear" w:color="auto" w:fill="auto"/>
            <w:noWrap/>
            <w:vAlign w:val="center"/>
          </w:tcPr>
          <w:p w14:paraId="76BBD82B"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375" w:type="pct"/>
            <w:tcBorders>
              <w:top w:val="single" w:sz="4" w:space="0" w:color="auto"/>
              <w:left w:val="nil"/>
              <w:bottom w:val="single" w:sz="4" w:space="0" w:color="auto"/>
            </w:tcBorders>
            <w:shd w:val="clear" w:color="auto" w:fill="auto"/>
            <w:noWrap/>
            <w:vAlign w:val="center"/>
          </w:tcPr>
          <w:p w14:paraId="1F60E661"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170" w:type="pct"/>
            <w:tcBorders>
              <w:top w:val="single" w:sz="4" w:space="0" w:color="auto"/>
              <w:left w:val="nil"/>
              <w:bottom w:val="single" w:sz="4" w:space="0" w:color="auto"/>
            </w:tcBorders>
            <w:shd w:val="clear" w:color="auto" w:fill="auto"/>
            <w:noWrap/>
            <w:vAlign w:val="center"/>
          </w:tcPr>
          <w:p w14:paraId="6372DB59"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083" w:type="pct"/>
            <w:tcBorders>
              <w:top w:val="single" w:sz="4" w:space="0" w:color="auto"/>
              <w:left w:val="nil"/>
              <w:bottom w:val="single" w:sz="4" w:space="0" w:color="auto"/>
            </w:tcBorders>
            <w:shd w:val="clear" w:color="auto" w:fill="auto"/>
            <w:noWrap/>
            <w:vAlign w:val="center"/>
          </w:tcPr>
          <w:p w14:paraId="4855C371"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23" w:type="pct"/>
            <w:tcBorders>
              <w:top w:val="single" w:sz="4" w:space="0" w:color="auto"/>
              <w:left w:val="nil"/>
              <w:bottom w:val="nil"/>
              <w:right w:val="single" w:sz="4" w:space="0" w:color="auto"/>
            </w:tcBorders>
            <w:shd w:val="clear" w:color="auto" w:fill="auto"/>
            <w:noWrap/>
            <w:vAlign w:val="center"/>
          </w:tcPr>
          <w:p w14:paraId="1D37A549"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11B9972B" w14:textId="77777777" w:rsidTr="000C2323">
        <w:trPr>
          <w:trHeight w:val="288"/>
        </w:trPr>
        <w:tc>
          <w:tcPr>
            <w:tcW w:w="748" w:type="pct"/>
            <w:tcBorders>
              <w:top w:val="single" w:sz="4" w:space="0" w:color="auto"/>
              <w:left w:val="single" w:sz="4" w:space="0" w:color="auto"/>
              <w:bottom w:val="nil"/>
              <w:right w:val="single" w:sz="4" w:space="0" w:color="auto"/>
            </w:tcBorders>
            <w:shd w:val="clear" w:color="auto" w:fill="auto"/>
            <w:noWrap/>
            <w:vAlign w:val="bottom"/>
            <w:hideMark/>
          </w:tcPr>
          <w:p w14:paraId="1A763305"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China</w:t>
            </w:r>
          </w:p>
        </w:tc>
        <w:tc>
          <w:tcPr>
            <w:tcW w:w="1375" w:type="pct"/>
            <w:tcBorders>
              <w:top w:val="single" w:sz="4" w:space="0" w:color="auto"/>
              <w:left w:val="single" w:sz="4" w:space="0" w:color="auto"/>
              <w:bottom w:val="nil"/>
              <w:right w:val="single" w:sz="4" w:space="0" w:color="auto"/>
            </w:tcBorders>
            <w:shd w:val="clear" w:color="auto" w:fill="auto"/>
            <w:noWrap/>
            <w:vAlign w:val="bottom"/>
            <w:hideMark/>
          </w:tcPr>
          <w:p w14:paraId="439009BA"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SHENZ</w:t>
            </w:r>
            <w:r w:rsidR="00F569D2" w:rsidRPr="00B13CBE">
              <w:rPr>
                <w:rFonts w:ascii="Arial" w:eastAsia="Times New Roman" w:hAnsi="Arial" w:cs="Arial"/>
                <w:color w:val="000000" w:themeColor="text1"/>
                <w:sz w:val="24"/>
                <w:szCs w:val="24"/>
              </w:rPr>
              <w:t>H</w:t>
            </w:r>
            <w:r w:rsidRPr="00B13CBE">
              <w:rPr>
                <w:rFonts w:ascii="Arial" w:eastAsia="Times New Roman" w:hAnsi="Arial" w:cs="Arial"/>
                <w:color w:val="000000" w:themeColor="text1"/>
                <w:sz w:val="24"/>
                <w:szCs w:val="24"/>
              </w:rPr>
              <w:t>EN</w:t>
            </w:r>
          </w:p>
        </w:tc>
        <w:tc>
          <w:tcPr>
            <w:tcW w:w="1170" w:type="pct"/>
            <w:tcBorders>
              <w:top w:val="single" w:sz="4" w:space="0" w:color="auto"/>
              <w:left w:val="single" w:sz="4" w:space="0" w:color="auto"/>
              <w:bottom w:val="nil"/>
              <w:right w:val="single" w:sz="4" w:space="0" w:color="auto"/>
            </w:tcBorders>
            <w:shd w:val="clear" w:color="auto" w:fill="auto"/>
            <w:noWrap/>
            <w:vAlign w:val="bottom"/>
            <w:hideMark/>
          </w:tcPr>
          <w:p w14:paraId="07D20648"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83" w:type="pct"/>
            <w:tcBorders>
              <w:top w:val="single" w:sz="4" w:space="0" w:color="auto"/>
              <w:left w:val="single" w:sz="4" w:space="0" w:color="auto"/>
              <w:bottom w:val="nil"/>
              <w:right w:val="single" w:sz="4" w:space="0" w:color="auto"/>
            </w:tcBorders>
            <w:shd w:val="clear" w:color="auto" w:fill="auto"/>
            <w:noWrap/>
            <w:vAlign w:val="bottom"/>
            <w:hideMark/>
          </w:tcPr>
          <w:p w14:paraId="1F47A63D" w14:textId="77777777" w:rsidR="003E652F"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0.0093</w:t>
            </w:r>
            <w:r w:rsidR="00724820" w:rsidRPr="00B13CBE">
              <w:rPr>
                <w:rFonts w:ascii="Arial" w:eastAsia="Times New Roman" w:hAnsi="Arial" w:cs="Arial"/>
                <w:b/>
                <w:bCs/>
                <w:color w:val="000000" w:themeColor="text1"/>
                <w:sz w:val="24"/>
                <w:szCs w:val="24"/>
              </w:rPr>
              <w:t>**</w:t>
            </w:r>
          </w:p>
          <w:p w14:paraId="1AC140D6"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(0.0049)</w:t>
            </w:r>
          </w:p>
        </w:tc>
        <w:tc>
          <w:tcPr>
            <w:tcW w:w="623" w:type="pct"/>
            <w:tcBorders>
              <w:top w:val="single" w:sz="4" w:space="0" w:color="auto"/>
              <w:left w:val="single" w:sz="4" w:space="0" w:color="auto"/>
              <w:bottom w:val="nil"/>
              <w:right w:val="single" w:sz="4" w:space="0" w:color="auto"/>
            </w:tcBorders>
            <w:shd w:val="clear" w:color="auto" w:fill="auto"/>
            <w:noWrap/>
            <w:vAlign w:val="bottom"/>
            <w:hideMark/>
          </w:tcPr>
          <w:p w14:paraId="02E120F2"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0.0601</w:t>
            </w:r>
          </w:p>
        </w:tc>
      </w:tr>
      <w:tr w:rsidR="004379AD" w:rsidRPr="00B13CBE" w14:paraId="3B5A69EF" w14:textId="77777777" w:rsidTr="000C2323">
        <w:trPr>
          <w:trHeight w:val="288"/>
        </w:trPr>
        <w:tc>
          <w:tcPr>
            <w:tcW w:w="748" w:type="pct"/>
            <w:tcBorders>
              <w:top w:val="nil"/>
              <w:left w:val="single" w:sz="4" w:space="0" w:color="auto"/>
              <w:bottom w:val="nil"/>
              <w:right w:val="single" w:sz="4" w:space="0" w:color="auto"/>
            </w:tcBorders>
            <w:shd w:val="clear" w:color="auto" w:fill="auto"/>
            <w:noWrap/>
            <w:vAlign w:val="bottom"/>
            <w:hideMark/>
          </w:tcPr>
          <w:p w14:paraId="17E90965"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375" w:type="pct"/>
            <w:tcBorders>
              <w:top w:val="nil"/>
              <w:left w:val="single" w:sz="4" w:space="0" w:color="auto"/>
              <w:bottom w:val="nil"/>
              <w:right w:val="single" w:sz="4" w:space="0" w:color="auto"/>
            </w:tcBorders>
            <w:shd w:val="clear" w:color="auto" w:fill="auto"/>
            <w:noWrap/>
            <w:vAlign w:val="bottom"/>
            <w:hideMark/>
          </w:tcPr>
          <w:p w14:paraId="621A17B8"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170" w:type="pct"/>
            <w:tcBorders>
              <w:top w:val="nil"/>
              <w:left w:val="single" w:sz="4" w:space="0" w:color="auto"/>
              <w:bottom w:val="nil"/>
              <w:right w:val="single" w:sz="4" w:space="0" w:color="auto"/>
            </w:tcBorders>
            <w:shd w:val="clear" w:color="auto" w:fill="auto"/>
            <w:noWrap/>
            <w:vAlign w:val="bottom"/>
            <w:hideMark/>
          </w:tcPr>
          <w:p w14:paraId="1E0CD83F"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83" w:type="pct"/>
            <w:tcBorders>
              <w:top w:val="nil"/>
              <w:left w:val="single" w:sz="4" w:space="0" w:color="auto"/>
              <w:bottom w:val="nil"/>
              <w:right w:val="single" w:sz="4" w:space="0" w:color="auto"/>
            </w:tcBorders>
            <w:shd w:val="clear" w:color="auto" w:fill="auto"/>
            <w:noWrap/>
            <w:vAlign w:val="bottom"/>
            <w:hideMark/>
          </w:tcPr>
          <w:p w14:paraId="6DD099AA" w14:textId="77777777" w:rsidR="003E652F" w:rsidRPr="00B13CBE" w:rsidRDefault="00C4772C" w:rsidP="00781A3B">
            <w:pPr>
              <w:spacing w:after="0" w:line="360" w:lineRule="auto"/>
              <w:jc w:val="both"/>
              <w:rPr>
                <w:rFonts w:ascii="Arial" w:eastAsia="Times New Roman" w:hAnsi="Arial" w:cs="Arial"/>
                <w:b/>
                <w:bCs/>
                <w:color w:val="000000" w:themeColor="text1"/>
                <w:sz w:val="24"/>
                <w:szCs w:val="24"/>
              </w:rPr>
            </w:pPr>
            <w:r w:rsidRPr="00B13CBE">
              <w:rPr>
                <w:rFonts w:ascii="Arial" w:eastAsia="Times New Roman" w:hAnsi="Arial" w:cs="Arial"/>
                <w:b/>
                <w:bCs/>
                <w:color w:val="000000" w:themeColor="text1"/>
                <w:sz w:val="24"/>
                <w:szCs w:val="24"/>
              </w:rPr>
              <w:t>0.9781</w:t>
            </w:r>
            <w:r w:rsidR="00724820" w:rsidRPr="00B13CBE">
              <w:rPr>
                <w:rFonts w:ascii="Arial" w:eastAsia="Times New Roman" w:hAnsi="Arial" w:cs="Arial"/>
                <w:b/>
                <w:bCs/>
                <w:color w:val="000000" w:themeColor="text1"/>
                <w:sz w:val="24"/>
                <w:szCs w:val="24"/>
              </w:rPr>
              <w:t>**</w:t>
            </w:r>
          </w:p>
          <w:p w14:paraId="76A3F21C"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(0.0094)</w:t>
            </w:r>
          </w:p>
        </w:tc>
        <w:tc>
          <w:tcPr>
            <w:tcW w:w="623" w:type="pct"/>
            <w:tcBorders>
              <w:top w:val="nil"/>
              <w:left w:val="single" w:sz="4" w:space="0" w:color="auto"/>
              <w:bottom w:val="nil"/>
              <w:right w:val="single" w:sz="4" w:space="0" w:color="auto"/>
            </w:tcBorders>
            <w:shd w:val="clear" w:color="auto" w:fill="auto"/>
            <w:noWrap/>
            <w:vAlign w:val="bottom"/>
            <w:hideMark/>
          </w:tcPr>
          <w:p w14:paraId="0A8C16FC"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24AF1252" w14:textId="77777777" w:rsidTr="000C2323">
        <w:trPr>
          <w:trHeight w:val="288"/>
        </w:trPr>
        <w:tc>
          <w:tcPr>
            <w:tcW w:w="748" w:type="pct"/>
            <w:tcBorders>
              <w:top w:val="nil"/>
              <w:left w:val="single" w:sz="4" w:space="0" w:color="auto"/>
              <w:bottom w:val="nil"/>
              <w:right w:val="single" w:sz="4" w:space="0" w:color="auto"/>
            </w:tcBorders>
            <w:shd w:val="clear" w:color="auto" w:fill="auto"/>
            <w:noWrap/>
            <w:vAlign w:val="bottom"/>
            <w:hideMark/>
          </w:tcPr>
          <w:p w14:paraId="169ECBFF"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1375" w:type="pct"/>
            <w:tcBorders>
              <w:top w:val="nil"/>
              <w:left w:val="single" w:sz="4" w:space="0" w:color="auto"/>
              <w:bottom w:val="nil"/>
              <w:right w:val="single" w:sz="4" w:space="0" w:color="auto"/>
            </w:tcBorders>
            <w:shd w:val="clear" w:color="auto" w:fill="auto"/>
            <w:noWrap/>
            <w:vAlign w:val="bottom"/>
            <w:hideMark/>
          </w:tcPr>
          <w:p w14:paraId="6504A4C4"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1170" w:type="pct"/>
            <w:tcBorders>
              <w:top w:val="nil"/>
              <w:left w:val="single" w:sz="4" w:space="0" w:color="auto"/>
              <w:bottom w:val="nil"/>
              <w:right w:val="single" w:sz="4" w:space="0" w:color="auto"/>
            </w:tcBorders>
            <w:shd w:val="clear" w:color="auto" w:fill="auto"/>
            <w:noWrap/>
            <w:vAlign w:val="bottom"/>
            <w:hideMark/>
          </w:tcPr>
          <w:p w14:paraId="7E31D6B4"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83" w:type="pct"/>
            <w:tcBorders>
              <w:top w:val="nil"/>
              <w:left w:val="single" w:sz="4" w:space="0" w:color="auto"/>
              <w:bottom w:val="nil"/>
              <w:right w:val="single" w:sz="4" w:space="0" w:color="auto"/>
            </w:tcBorders>
            <w:shd w:val="clear" w:color="auto" w:fill="auto"/>
            <w:noWrap/>
            <w:vAlign w:val="bottom"/>
            <w:hideMark/>
          </w:tcPr>
          <w:p w14:paraId="5906BFFC"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0.0003</w:t>
            </w:r>
          </w:p>
          <w:p w14:paraId="7300057A"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(0.0096)</w:t>
            </w:r>
          </w:p>
        </w:tc>
        <w:tc>
          <w:tcPr>
            <w:tcW w:w="623" w:type="pct"/>
            <w:tcBorders>
              <w:top w:val="nil"/>
              <w:left w:val="single" w:sz="4" w:space="0" w:color="auto"/>
              <w:bottom w:val="nil"/>
              <w:right w:val="single" w:sz="4" w:space="0" w:color="auto"/>
            </w:tcBorders>
            <w:shd w:val="clear" w:color="auto" w:fill="auto"/>
            <w:noWrap/>
            <w:vAlign w:val="bottom"/>
            <w:hideMark/>
          </w:tcPr>
          <w:p w14:paraId="62DF1ED7"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0.9793</w:t>
            </w:r>
          </w:p>
        </w:tc>
      </w:tr>
      <w:tr w:rsidR="004379AD" w:rsidRPr="00B13CBE" w14:paraId="51FCCE8F" w14:textId="77777777" w:rsidTr="000C2323">
        <w:trPr>
          <w:trHeight w:val="288"/>
        </w:trPr>
        <w:tc>
          <w:tcPr>
            <w:tcW w:w="748" w:type="pct"/>
            <w:tcBorders>
              <w:top w:val="nil"/>
              <w:left w:val="single" w:sz="4" w:space="0" w:color="auto"/>
              <w:bottom w:val="nil"/>
              <w:right w:val="single" w:sz="4" w:space="0" w:color="auto"/>
            </w:tcBorders>
            <w:shd w:val="clear" w:color="auto" w:fill="auto"/>
            <w:noWrap/>
            <w:vAlign w:val="bottom"/>
            <w:hideMark/>
          </w:tcPr>
          <w:p w14:paraId="6B5EA310"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375" w:type="pct"/>
            <w:tcBorders>
              <w:top w:val="nil"/>
              <w:left w:val="single" w:sz="4" w:space="0" w:color="auto"/>
              <w:bottom w:val="nil"/>
              <w:right w:val="single" w:sz="4" w:space="0" w:color="auto"/>
            </w:tcBorders>
            <w:shd w:val="clear" w:color="auto" w:fill="auto"/>
            <w:noWrap/>
            <w:vAlign w:val="bottom"/>
            <w:hideMark/>
          </w:tcPr>
          <w:p w14:paraId="28A27D66"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170" w:type="pct"/>
            <w:tcBorders>
              <w:top w:val="nil"/>
              <w:left w:val="single" w:sz="4" w:space="0" w:color="auto"/>
              <w:bottom w:val="nil"/>
              <w:right w:val="single" w:sz="4" w:space="0" w:color="auto"/>
            </w:tcBorders>
            <w:shd w:val="clear" w:color="auto" w:fill="auto"/>
            <w:noWrap/>
            <w:vAlign w:val="bottom"/>
            <w:hideMark/>
          </w:tcPr>
          <w:p w14:paraId="7CB16AC6"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83" w:type="pct"/>
            <w:tcBorders>
              <w:top w:val="nil"/>
              <w:left w:val="single" w:sz="4" w:space="0" w:color="auto"/>
              <w:bottom w:val="nil"/>
              <w:right w:val="single" w:sz="4" w:space="0" w:color="auto"/>
            </w:tcBorders>
            <w:shd w:val="clear" w:color="auto" w:fill="auto"/>
            <w:noWrap/>
            <w:vAlign w:val="bottom"/>
            <w:hideMark/>
          </w:tcPr>
          <w:p w14:paraId="3D5A1B07"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0.9426</w:t>
            </w:r>
            <w:r w:rsidR="00724820" w:rsidRPr="00B13CBE">
              <w:rPr>
                <w:rFonts w:ascii="Arial" w:eastAsia="Times New Roman" w:hAnsi="Arial" w:cs="Arial"/>
                <w:color w:val="000000" w:themeColor="text1"/>
                <w:sz w:val="24"/>
                <w:szCs w:val="24"/>
              </w:rPr>
              <w:t>***</w:t>
            </w:r>
          </w:p>
          <w:p w14:paraId="44CBA100"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(0.0235)</w:t>
            </w:r>
          </w:p>
        </w:tc>
        <w:tc>
          <w:tcPr>
            <w:tcW w:w="623" w:type="pct"/>
            <w:tcBorders>
              <w:top w:val="nil"/>
              <w:left w:val="single" w:sz="4" w:space="0" w:color="auto"/>
              <w:bottom w:val="nil"/>
              <w:right w:val="single" w:sz="4" w:space="0" w:color="auto"/>
            </w:tcBorders>
            <w:shd w:val="clear" w:color="auto" w:fill="auto"/>
            <w:noWrap/>
            <w:vAlign w:val="bottom"/>
            <w:hideMark/>
          </w:tcPr>
          <w:p w14:paraId="52EC6573"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4674D44A" w14:textId="77777777" w:rsidTr="000C2323">
        <w:trPr>
          <w:trHeight w:val="288"/>
        </w:trPr>
        <w:tc>
          <w:tcPr>
            <w:tcW w:w="748" w:type="pct"/>
            <w:tcBorders>
              <w:top w:val="nil"/>
              <w:left w:val="single" w:sz="4" w:space="0" w:color="auto"/>
              <w:right w:val="single" w:sz="4" w:space="0" w:color="auto"/>
            </w:tcBorders>
            <w:shd w:val="clear" w:color="auto" w:fill="auto"/>
            <w:noWrap/>
            <w:vAlign w:val="bottom"/>
            <w:hideMark/>
          </w:tcPr>
          <w:p w14:paraId="6A8D1F5C"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375" w:type="pct"/>
            <w:tcBorders>
              <w:top w:val="nil"/>
              <w:left w:val="single" w:sz="4" w:space="0" w:color="auto"/>
              <w:right w:val="single" w:sz="4" w:space="0" w:color="auto"/>
            </w:tcBorders>
            <w:shd w:val="clear" w:color="auto" w:fill="auto"/>
            <w:noWrap/>
            <w:vAlign w:val="bottom"/>
            <w:hideMark/>
          </w:tcPr>
          <w:p w14:paraId="42F8FD57"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w:t>
            </w:r>
            <w:r w:rsidR="00724820" w:rsidRPr="00B13CBE">
              <w:rPr>
                <w:rFonts w:ascii="Arial" w:eastAsia="Times New Roman" w:hAnsi="Arial" w:cs="Arial"/>
                <w:color w:val="000000" w:themeColor="text1"/>
                <w:sz w:val="24"/>
                <w:szCs w:val="24"/>
              </w:rPr>
              <w:t xml:space="preserve"> </w:t>
            </w:r>
            <w:r w:rsidRPr="00B13CBE">
              <w:rPr>
                <w:rFonts w:ascii="Arial" w:eastAsia="Times New Roman" w:hAnsi="Arial" w:cs="Arial"/>
                <w:color w:val="000000" w:themeColor="text1"/>
                <w:sz w:val="24"/>
                <w:szCs w:val="24"/>
              </w:rPr>
              <w:t>Islamic Index</w:t>
            </w:r>
          </w:p>
        </w:tc>
        <w:tc>
          <w:tcPr>
            <w:tcW w:w="1170" w:type="pct"/>
            <w:tcBorders>
              <w:top w:val="nil"/>
              <w:left w:val="single" w:sz="4" w:space="0" w:color="auto"/>
              <w:right w:val="single" w:sz="4" w:space="0" w:color="auto"/>
            </w:tcBorders>
            <w:shd w:val="clear" w:color="auto" w:fill="auto"/>
            <w:noWrap/>
            <w:vAlign w:val="bottom"/>
            <w:hideMark/>
          </w:tcPr>
          <w:p w14:paraId="651BC22D"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083" w:type="pct"/>
            <w:tcBorders>
              <w:top w:val="nil"/>
              <w:left w:val="single" w:sz="4" w:space="0" w:color="auto"/>
              <w:right w:val="single" w:sz="4" w:space="0" w:color="auto"/>
            </w:tcBorders>
            <w:shd w:val="clear" w:color="auto" w:fill="auto"/>
            <w:noWrap/>
            <w:vAlign w:val="bottom"/>
            <w:hideMark/>
          </w:tcPr>
          <w:p w14:paraId="74F534CD"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0.0086</w:t>
            </w:r>
          </w:p>
          <w:p w14:paraId="7DF7915B"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(0.0078)</w:t>
            </w:r>
          </w:p>
        </w:tc>
        <w:tc>
          <w:tcPr>
            <w:tcW w:w="623" w:type="pct"/>
            <w:tcBorders>
              <w:top w:val="nil"/>
              <w:left w:val="single" w:sz="4" w:space="0" w:color="auto"/>
              <w:right w:val="single" w:sz="4" w:space="0" w:color="auto"/>
            </w:tcBorders>
            <w:shd w:val="clear" w:color="auto" w:fill="auto"/>
            <w:noWrap/>
            <w:vAlign w:val="bottom"/>
            <w:hideMark/>
          </w:tcPr>
          <w:p w14:paraId="1D905E0D"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0.2680</w:t>
            </w:r>
          </w:p>
        </w:tc>
      </w:tr>
      <w:tr w:rsidR="004379AD" w:rsidRPr="00B13CBE" w14:paraId="1BA59E4A" w14:textId="77777777" w:rsidTr="000C2323">
        <w:trPr>
          <w:trHeight w:val="288"/>
        </w:trPr>
        <w:tc>
          <w:tcPr>
            <w:tcW w:w="748" w:type="pct"/>
            <w:tcBorders>
              <w:top w:val="nil"/>
              <w:left w:val="single" w:sz="4" w:space="0" w:color="auto"/>
              <w:bottom w:val="single" w:sz="4" w:space="0" w:color="auto"/>
              <w:right w:val="single" w:sz="4" w:space="0" w:color="auto"/>
            </w:tcBorders>
            <w:shd w:val="clear" w:color="auto" w:fill="auto"/>
            <w:noWrap/>
            <w:vAlign w:val="bottom"/>
            <w:hideMark/>
          </w:tcPr>
          <w:p w14:paraId="0B01043C"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375" w:type="pct"/>
            <w:tcBorders>
              <w:top w:val="nil"/>
              <w:left w:val="single" w:sz="4" w:space="0" w:color="auto"/>
              <w:bottom w:val="single" w:sz="4" w:space="0" w:color="auto"/>
              <w:right w:val="single" w:sz="4" w:space="0" w:color="auto"/>
            </w:tcBorders>
            <w:shd w:val="clear" w:color="auto" w:fill="auto"/>
            <w:noWrap/>
            <w:vAlign w:val="bottom"/>
            <w:hideMark/>
          </w:tcPr>
          <w:p w14:paraId="410C341C" w14:textId="77777777" w:rsidR="003E652F" w:rsidRPr="00B13CBE" w:rsidRDefault="003E652F" w:rsidP="00781A3B">
            <w:pPr>
              <w:spacing w:after="0" w:line="360" w:lineRule="auto"/>
              <w:jc w:val="both"/>
              <w:rPr>
                <w:rFonts w:ascii="Arial" w:eastAsia="Times New Roman" w:hAnsi="Arial" w:cs="Arial"/>
                <w:color w:val="000000" w:themeColor="text1"/>
                <w:sz w:val="24"/>
                <w:szCs w:val="24"/>
              </w:rPr>
            </w:pPr>
          </w:p>
        </w:tc>
        <w:tc>
          <w:tcPr>
            <w:tcW w:w="1170" w:type="pct"/>
            <w:tcBorders>
              <w:top w:val="nil"/>
              <w:left w:val="single" w:sz="4" w:space="0" w:color="auto"/>
              <w:bottom w:val="single" w:sz="4" w:space="0" w:color="auto"/>
              <w:right w:val="single" w:sz="4" w:space="0" w:color="auto"/>
            </w:tcBorders>
            <w:shd w:val="clear" w:color="auto" w:fill="auto"/>
            <w:noWrap/>
            <w:vAlign w:val="bottom"/>
            <w:hideMark/>
          </w:tcPr>
          <w:p w14:paraId="0C37E680"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083" w:type="pct"/>
            <w:tcBorders>
              <w:top w:val="nil"/>
              <w:left w:val="single" w:sz="4" w:space="0" w:color="auto"/>
              <w:bottom w:val="single" w:sz="4" w:space="0" w:color="auto"/>
              <w:right w:val="single" w:sz="4" w:space="0" w:color="auto"/>
            </w:tcBorders>
            <w:shd w:val="clear" w:color="auto" w:fill="auto"/>
            <w:noWrap/>
            <w:vAlign w:val="bottom"/>
            <w:hideMark/>
          </w:tcPr>
          <w:p w14:paraId="5792652F"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0.9334</w:t>
            </w:r>
            <w:r w:rsidR="00724820" w:rsidRPr="00B13CBE">
              <w:rPr>
                <w:rFonts w:ascii="Arial" w:eastAsia="Times New Roman" w:hAnsi="Arial" w:cs="Arial"/>
                <w:color w:val="000000" w:themeColor="text1"/>
                <w:sz w:val="24"/>
                <w:szCs w:val="24"/>
              </w:rPr>
              <w:t>**</w:t>
            </w:r>
          </w:p>
          <w:p w14:paraId="2640AE1E"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(0.0502)</w:t>
            </w:r>
          </w:p>
        </w:tc>
        <w:tc>
          <w:tcPr>
            <w:tcW w:w="623" w:type="pct"/>
            <w:tcBorders>
              <w:top w:val="nil"/>
              <w:left w:val="single" w:sz="4" w:space="0" w:color="auto"/>
              <w:bottom w:val="single" w:sz="4" w:space="0" w:color="auto"/>
              <w:right w:val="single" w:sz="4" w:space="0" w:color="auto"/>
            </w:tcBorders>
            <w:shd w:val="clear" w:color="auto" w:fill="auto"/>
            <w:noWrap/>
            <w:vAlign w:val="bottom"/>
            <w:hideMark/>
          </w:tcPr>
          <w:p w14:paraId="1A6479E9" w14:textId="77777777" w:rsidR="003E652F"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581A28" w:rsidRPr="00B13CBE" w14:paraId="568F94EC" w14:textId="77777777" w:rsidTr="003E652F">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3BB62AAA"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 xml:space="preserve">Note: significance at 1%, ** indicates significance at 5% and * indicates significance at 10% *** indicates </w:t>
            </w:r>
          </w:p>
        </w:tc>
      </w:tr>
    </w:tbl>
    <w:p w14:paraId="5D51016B" w14:textId="77777777" w:rsidR="003E652F" w:rsidRPr="00B13CBE" w:rsidRDefault="003E652F" w:rsidP="00781A3B">
      <w:pPr>
        <w:spacing w:line="360" w:lineRule="auto"/>
        <w:jc w:val="both"/>
        <w:rPr>
          <w:rFonts w:ascii="Arial" w:hAnsi="Arial" w:cs="Arial"/>
          <w:color w:val="000000" w:themeColor="text1"/>
          <w:sz w:val="24"/>
          <w:szCs w:val="24"/>
        </w:rPr>
      </w:pPr>
    </w:p>
    <w:p w14:paraId="07B03DFE" w14:textId="77777777" w:rsidR="00B71B0D"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Hong Kong’s Hang Seng index had both</w:t>
      </w:r>
      <w:r w:rsidR="00D04AA9"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 xml:space="preserve">its highest short-term correlation and its highest long-term correlation with China’s Shenzhen index (a=0.0093, s.e=0.0049; b =0.9781, s.e=0.0094). Other notably high long-term correlations were between </w:t>
      </w:r>
      <w:r w:rsidRPr="00B13CBE">
        <w:rPr>
          <w:rFonts w:ascii="Arial" w:hAnsi="Arial" w:cs="Arial"/>
          <w:color w:val="000000" w:themeColor="text1"/>
          <w:sz w:val="24"/>
          <w:szCs w:val="24"/>
        </w:rPr>
        <w:lastRenderedPageBreak/>
        <w:t>the Hang Seng index and Mexico's IPC index (b=0.9426, 0.0235) and Hang Seng index and Indonesia's Jakarta Islamic index (b=0.9334, s.e=0.0502) which were statistically significant at 1% level of significance.</w:t>
      </w:r>
    </w:p>
    <w:p w14:paraId="0F46DDC4" w14:textId="77777777" w:rsidR="00724820" w:rsidRPr="00B13CBE" w:rsidRDefault="00C4772C" w:rsidP="00781A3B">
      <w:pPr>
        <w:pStyle w:val="Heading2"/>
      </w:pPr>
      <w:bookmarkStart w:id="56" w:name="_Toc82603378"/>
      <w:r w:rsidRPr="00B13CBE">
        <w:t>Correlation between China and Other Parts of the World.</w:t>
      </w:r>
      <w:bookmarkEnd w:id="56"/>
    </w:p>
    <w:p w14:paraId="2CB66D4A" w14:textId="77777777" w:rsidR="00724820"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DCC-GARCH models were fitted between Hong Kong’s Hang Seng index and indices from other parts of the world. The results are shown in Table </w:t>
      </w:r>
      <w:r w:rsidR="00F569D2" w:rsidRPr="00B13CBE">
        <w:rPr>
          <w:rFonts w:ascii="Arial" w:hAnsi="Arial" w:cs="Arial"/>
          <w:color w:val="000000" w:themeColor="text1"/>
          <w:sz w:val="24"/>
          <w:szCs w:val="24"/>
        </w:rPr>
        <w:t>10</w:t>
      </w:r>
      <w:r w:rsidRPr="00B13CBE">
        <w:rPr>
          <w:rFonts w:ascii="Arial" w:hAnsi="Arial" w:cs="Arial"/>
          <w:color w:val="000000" w:themeColor="text1"/>
          <w:sz w:val="24"/>
          <w:szCs w:val="24"/>
        </w:rPr>
        <w:t xml:space="preserve"> below. </w:t>
      </w:r>
      <w:r w:rsidR="00F569D2" w:rsidRPr="00B13CBE">
        <w:rPr>
          <w:rFonts w:ascii="Arial" w:hAnsi="Arial" w:cs="Arial"/>
          <w:color w:val="000000" w:themeColor="text1"/>
          <w:sz w:val="24"/>
          <w:szCs w:val="24"/>
        </w:rPr>
        <w:t>A GARCH (1,1) model with normally distributed residuals was used as the univariate distribution.</w:t>
      </w:r>
    </w:p>
    <w:p w14:paraId="6D8B757D" w14:textId="77777777" w:rsidR="00D04AA9" w:rsidRPr="00B13CBE" w:rsidRDefault="00C4772C" w:rsidP="00781A3B">
      <w:pPr>
        <w:pStyle w:val="Caption"/>
        <w:keepNext/>
        <w:spacing w:line="360" w:lineRule="auto"/>
        <w:jc w:val="both"/>
        <w:rPr>
          <w:rFonts w:ascii="Arial" w:hAnsi="Arial" w:cs="Arial"/>
          <w:color w:val="000000" w:themeColor="text1"/>
        </w:rPr>
      </w:pPr>
      <w:bookmarkStart w:id="57" w:name="_Toc82603421"/>
      <w:r w:rsidRPr="00B13CBE">
        <w:rPr>
          <w:rFonts w:ascii="Arial" w:hAnsi="Arial" w:cs="Arial"/>
          <w:color w:val="000000" w:themeColor="text1"/>
        </w:rPr>
        <w:t xml:space="preserve">Table </w:t>
      </w:r>
      <w:r w:rsidRPr="00B13CBE">
        <w:rPr>
          <w:rFonts w:ascii="Arial" w:hAnsi="Arial" w:cs="Arial"/>
          <w:color w:val="000000" w:themeColor="text1"/>
        </w:rPr>
        <w:fldChar w:fldCharType="begin"/>
      </w:r>
      <w:r w:rsidRPr="00B13CBE">
        <w:rPr>
          <w:rFonts w:ascii="Arial" w:hAnsi="Arial" w:cs="Arial"/>
          <w:color w:val="000000" w:themeColor="text1"/>
        </w:rPr>
        <w:instrText xml:space="preserve"> SEQ Table \* ARABIC </w:instrText>
      </w:r>
      <w:r w:rsidRPr="00B13CBE">
        <w:rPr>
          <w:rFonts w:ascii="Arial" w:hAnsi="Arial" w:cs="Arial"/>
          <w:color w:val="000000" w:themeColor="text1"/>
        </w:rPr>
        <w:fldChar w:fldCharType="separate"/>
      </w:r>
      <w:r w:rsidRPr="00B13CBE">
        <w:rPr>
          <w:rFonts w:ascii="Arial" w:hAnsi="Arial" w:cs="Arial"/>
          <w:noProof/>
          <w:color w:val="000000" w:themeColor="text1"/>
        </w:rPr>
        <w:t>10</w:t>
      </w:r>
      <w:r w:rsidRPr="00B13CBE">
        <w:rPr>
          <w:rFonts w:ascii="Arial" w:hAnsi="Arial" w:cs="Arial"/>
          <w:color w:val="000000" w:themeColor="text1"/>
        </w:rPr>
        <w:fldChar w:fldCharType="end"/>
      </w:r>
      <w:r w:rsidRPr="00B13CBE">
        <w:rPr>
          <w:rFonts w:ascii="Arial" w:hAnsi="Arial" w:cs="Arial"/>
          <w:color w:val="000000" w:themeColor="text1"/>
        </w:rPr>
        <w:t>: Correlations between China's ShenzhenIndex and Indices from Other Countries</w:t>
      </w:r>
      <w:bookmarkEnd w:id="57"/>
    </w:p>
    <w:tbl>
      <w:tblPr>
        <w:tblW w:w="5000" w:type="pct"/>
        <w:tblLook w:val="04A0" w:firstRow="1" w:lastRow="0" w:firstColumn="1" w:lastColumn="0" w:noHBand="0" w:noVBand="1"/>
      </w:tblPr>
      <w:tblGrid>
        <w:gridCol w:w="1384"/>
        <w:gridCol w:w="2339"/>
        <w:gridCol w:w="1922"/>
        <w:gridCol w:w="1912"/>
        <w:gridCol w:w="1073"/>
      </w:tblGrid>
      <w:tr w:rsidR="004379AD" w:rsidRPr="00B13CBE" w14:paraId="4420F564" w14:textId="77777777" w:rsidTr="00D04AA9">
        <w:trPr>
          <w:trHeight w:val="288"/>
        </w:trPr>
        <w:tc>
          <w:tcPr>
            <w:tcW w:w="795" w:type="pct"/>
            <w:tcBorders>
              <w:top w:val="single" w:sz="4" w:space="0" w:color="auto"/>
              <w:left w:val="single" w:sz="4" w:space="0" w:color="auto"/>
              <w:bottom w:val="single" w:sz="4" w:space="0" w:color="auto"/>
            </w:tcBorders>
            <w:shd w:val="clear" w:color="auto" w:fill="auto"/>
            <w:noWrap/>
            <w:vAlign w:val="center"/>
          </w:tcPr>
          <w:p w14:paraId="1A2732CD"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372" w:type="pct"/>
            <w:tcBorders>
              <w:top w:val="single" w:sz="4" w:space="0" w:color="auto"/>
              <w:left w:val="nil"/>
              <w:bottom w:val="single" w:sz="4" w:space="0" w:color="auto"/>
            </w:tcBorders>
            <w:shd w:val="clear" w:color="auto" w:fill="auto"/>
            <w:noWrap/>
            <w:vAlign w:val="center"/>
          </w:tcPr>
          <w:p w14:paraId="6CD495A5"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118" w:type="pct"/>
            <w:tcBorders>
              <w:top w:val="single" w:sz="4" w:space="0" w:color="auto"/>
              <w:left w:val="nil"/>
              <w:bottom w:val="single" w:sz="4" w:space="0" w:color="auto"/>
            </w:tcBorders>
            <w:shd w:val="clear" w:color="auto" w:fill="auto"/>
            <w:noWrap/>
            <w:vAlign w:val="center"/>
          </w:tcPr>
          <w:p w14:paraId="327DDD78"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107" w:type="pct"/>
            <w:tcBorders>
              <w:top w:val="single" w:sz="4" w:space="0" w:color="auto"/>
              <w:left w:val="nil"/>
              <w:bottom w:val="single" w:sz="4" w:space="0" w:color="auto"/>
            </w:tcBorders>
            <w:shd w:val="clear" w:color="auto" w:fill="auto"/>
            <w:noWrap/>
            <w:vAlign w:val="center"/>
          </w:tcPr>
          <w:p w14:paraId="21A60842"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09" w:type="pct"/>
            <w:tcBorders>
              <w:top w:val="single" w:sz="4" w:space="0" w:color="auto"/>
              <w:left w:val="nil"/>
              <w:bottom w:val="nil"/>
              <w:right w:val="single" w:sz="4" w:space="0" w:color="auto"/>
            </w:tcBorders>
            <w:shd w:val="clear" w:color="auto" w:fill="auto"/>
            <w:noWrap/>
            <w:vAlign w:val="center"/>
          </w:tcPr>
          <w:p w14:paraId="79978046"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1C426C4F" w14:textId="77777777" w:rsidTr="00D04AA9">
        <w:trPr>
          <w:trHeight w:val="288"/>
        </w:trPr>
        <w:tc>
          <w:tcPr>
            <w:tcW w:w="795" w:type="pct"/>
            <w:tcBorders>
              <w:top w:val="single" w:sz="4" w:space="0" w:color="auto"/>
              <w:left w:val="single" w:sz="4" w:space="0" w:color="auto"/>
              <w:bottom w:val="nil"/>
              <w:right w:val="single" w:sz="4" w:space="0" w:color="auto"/>
            </w:tcBorders>
            <w:shd w:val="clear" w:color="auto" w:fill="auto"/>
            <w:noWrap/>
            <w:vAlign w:val="bottom"/>
            <w:hideMark/>
          </w:tcPr>
          <w:p w14:paraId="3F72CFD3"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Mexico</w:t>
            </w:r>
          </w:p>
        </w:tc>
        <w:tc>
          <w:tcPr>
            <w:tcW w:w="1372" w:type="pct"/>
            <w:tcBorders>
              <w:top w:val="single" w:sz="4" w:space="0" w:color="auto"/>
              <w:left w:val="single" w:sz="4" w:space="0" w:color="auto"/>
              <w:bottom w:val="nil"/>
              <w:right w:val="single" w:sz="4" w:space="0" w:color="auto"/>
            </w:tcBorders>
            <w:shd w:val="clear" w:color="auto" w:fill="auto"/>
            <w:noWrap/>
            <w:vAlign w:val="bottom"/>
            <w:hideMark/>
          </w:tcPr>
          <w:p w14:paraId="329BAAF8"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IPC Mexico</w:t>
            </w:r>
          </w:p>
        </w:tc>
        <w:tc>
          <w:tcPr>
            <w:tcW w:w="1118" w:type="pct"/>
            <w:tcBorders>
              <w:top w:val="single" w:sz="4" w:space="0" w:color="auto"/>
              <w:left w:val="single" w:sz="4" w:space="0" w:color="auto"/>
              <w:bottom w:val="nil"/>
              <w:right w:val="single" w:sz="4" w:space="0" w:color="auto"/>
            </w:tcBorders>
            <w:shd w:val="clear" w:color="auto" w:fill="auto"/>
            <w:noWrap/>
            <w:vAlign w:val="bottom"/>
            <w:hideMark/>
          </w:tcPr>
          <w:p w14:paraId="18FAB35A"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7" w:type="pct"/>
            <w:tcBorders>
              <w:top w:val="single" w:sz="4" w:space="0" w:color="auto"/>
              <w:left w:val="single" w:sz="4" w:space="0" w:color="auto"/>
              <w:bottom w:val="nil"/>
              <w:right w:val="single" w:sz="4" w:space="0" w:color="auto"/>
            </w:tcBorders>
            <w:shd w:val="clear" w:color="auto" w:fill="auto"/>
            <w:noWrap/>
            <w:vAlign w:val="bottom"/>
            <w:hideMark/>
          </w:tcPr>
          <w:p w14:paraId="64BF5391"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0.0063</w:t>
            </w:r>
          </w:p>
          <w:p w14:paraId="1AF5D3A5"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(0.0126)</w:t>
            </w:r>
          </w:p>
        </w:tc>
        <w:tc>
          <w:tcPr>
            <w:tcW w:w="609" w:type="pct"/>
            <w:tcBorders>
              <w:top w:val="single" w:sz="4" w:space="0" w:color="auto"/>
              <w:left w:val="single" w:sz="4" w:space="0" w:color="auto"/>
              <w:bottom w:val="nil"/>
              <w:right w:val="single" w:sz="4" w:space="0" w:color="auto"/>
            </w:tcBorders>
            <w:shd w:val="clear" w:color="auto" w:fill="auto"/>
            <w:noWrap/>
            <w:vAlign w:val="bottom"/>
            <w:hideMark/>
          </w:tcPr>
          <w:p w14:paraId="63C51EFB"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0.6182</w:t>
            </w:r>
          </w:p>
        </w:tc>
      </w:tr>
      <w:tr w:rsidR="004379AD" w:rsidRPr="00B13CBE" w14:paraId="6F947535" w14:textId="77777777" w:rsidTr="00D04AA9">
        <w:trPr>
          <w:trHeight w:val="288"/>
        </w:trPr>
        <w:tc>
          <w:tcPr>
            <w:tcW w:w="795" w:type="pct"/>
            <w:tcBorders>
              <w:top w:val="nil"/>
              <w:left w:val="single" w:sz="4" w:space="0" w:color="auto"/>
              <w:bottom w:val="nil"/>
              <w:right w:val="single" w:sz="4" w:space="0" w:color="auto"/>
            </w:tcBorders>
            <w:shd w:val="clear" w:color="auto" w:fill="auto"/>
            <w:noWrap/>
            <w:vAlign w:val="bottom"/>
            <w:hideMark/>
          </w:tcPr>
          <w:p w14:paraId="3B41E678"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372" w:type="pct"/>
            <w:tcBorders>
              <w:top w:val="nil"/>
              <w:left w:val="single" w:sz="4" w:space="0" w:color="auto"/>
              <w:bottom w:val="nil"/>
              <w:right w:val="single" w:sz="4" w:space="0" w:color="auto"/>
            </w:tcBorders>
            <w:shd w:val="clear" w:color="auto" w:fill="auto"/>
            <w:noWrap/>
            <w:vAlign w:val="bottom"/>
            <w:hideMark/>
          </w:tcPr>
          <w:p w14:paraId="6A336647"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118" w:type="pct"/>
            <w:tcBorders>
              <w:top w:val="nil"/>
              <w:left w:val="single" w:sz="4" w:space="0" w:color="auto"/>
              <w:bottom w:val="nil"/>
              <w:right w:val="single" w:sz="4" w:space="0" w:color="auto"/>
            </w:tcBorders>
            <w:shd w:val="clear" w:color="auto" w:fill="auto"/>
            <w:noWrap/>
            <w:vAlign w:val="bottom"/>
            <w:hideMark/>
          </w:tcPr>
          <w:p w14:paraId="50E7A615"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7" w:type="pct"/>
            <w:tcBorders>
              <w:top w:val="nil"/>
              <w:left w:val="single" w:sz="4" w:space="0" w:color="auto"/>
              <w:bottom w:val="nil"/>
              <w:right w:val="single" w:sz="4" w:space="0" w:color="auto"/>
            </w:tcBorders>
            <w:shd w:val="clear" w:color="auto" w:fill="auto"/>
            <w:noWrap/>
            <w:vAlign w:val="bottom"/>
            <w:hideMark/>
          </w:tcPr>
          <w:p w14:paraId="61DB49DF"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0.9061***</w:t>
            </w:r>
          </w:p>
          <w:p w14:paraId="34ADCC79"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(0.0483)</w:t>
            </w:r>
          </w:p>
        </w:tc>
        <w:tc>
          <w:tcPr>
            <w:tcW w:w="609" w:type="pct"/>
            <w:tcBorders>
              <w:top w:val="nil"/>
              <w:left w:val="single" w:sz="4" w:space="0" w:color="auto"/>
              <w:bottom w:val="nil"/>
              <w:right w:val="single" w:sz="4" w:space="0" w:color="auto"/>
            </w:tcBorders>
            <w:shd w:val="clear" w:color="auto" w:fill="auto"/>
            <w:noWrap/>
            <w:vAlign w:val="bottom"/>
            <w:hideMark/>
          </w:tcPr>
          <w:p w14:paraId="0A8A1D58"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60248BBD" w14:textId="77777777" w:rsidTr="00D04AA9">
        <w:trPr>
          <w:trHeight w:val="288"/>
        </w:trPr>
        <w:tc>
          <w:tcPr>
            <w:tcW w:w="795" w:type="pct"/>
            <w:tcBorders>
              <w:top w:val="nil"/>
              <w:left w:val="single" w:sz="4" w:space="0" w:color="auto"/>
              <w:right w:val="single" w:sz="4" w:space="0" w:color="auto"/>
            </w:tcBorders>
            <w:shd w:val="clear" w:color="auto" w:fill="auto"/>
            <w:noWrap/>
            <w:vAlign w:val="bottom"/>
            <w:hideMark/>
          </w:tcPr>
          <w:p w14:paraId="2D6173F5"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372" w:type="pct"/>
            <w:tcBorders>
              <w:top w:val="nil"/>
              <w:left w:val="single" w:sz="4" w:space="0" w:color="auto"/>
              <w:right w:val="single" w:sz="4" w:space="0" w:color="auto"/>
            </w:tcBorders>
            <w:shd w:val="clear" w:color="auto" w:fill="auto"/>
            <w:noWrap/>
            <w:vAlign w:val="bottom"/>
            <w:hideMark/>
          </w:tcPr>
          <w:p w14:paraId="0EAA41AB"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 Islamic Index</w:t>
            </w:r>
          </w:p>
        </w:tc>
        <w:tc>
          <w:tcPr>
            <w:tcW w:w="1118" w:type="pct"/>
            <w:tcBorders>
              <w:top w:val="nil"/>
              <w:left w:val="single" w:sz="4" w:space="0" w:color="auto"/>
              <w:right w:val="single" w:sz="4" w:space="0" w:color="auto"/>
            </w:tcBorders>
            <w:shd w:val="clear" w:color="auto" w:fill="auto"/>
            <w:noWrap/>
            <w:vAlign w:val="bottom"/>
            <w:hideMark/>
          </w:tcPr>
          <w:p w14:paraId="34A5F16C"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07" w:type="pct"/>
            <w:tcBorders>
              <w:top w:val="nil"/>
              <w:left w:val="single" w:sz="4" w:space="0" w:color="auto"/>
              <w:right w:val="single" w:sz="4" w:space="0" w:color="auto"/>
            </w:tcBorders>
            <w:shd w:val="clear" w:color="auto" w:fill="auto"/>
            <w:noWrap/>
            <w:vAlign w:val="bottom"/>
            <w:hideMark/>
          </w:tcPr>
          <w:p w14:paraId="5D2B8DD4"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0.0068</w:t>
            </w:r>
          </w:p>
          <w:p w14:paraId="6AECF6CC"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(0.0120)</w:t>
            </w:r>
          </w:p>
        </w:tc>
        <w:tc>
          <w:tcPr>
            <w:tcW w:w="609" w:type="pct"/>
            <w:tcBorders>
              <w:top w:val="nil"/>
              <w:left w:val="single" w:sz="4" w:space="0" w:color="auto"/>
              <w:right w:val="single" w:sz="4" w:space="0" w:color="auto"/>
            </w:tcBorders>
            <w:shd w:val="clear" w:color="auto" w:fill="auto"/>
            <w:noWrap/>
            <w:vAlign w:val="bottom"/>
            <w:hideMark/>
          </w:tcPr>
          <w:p w14:paraId="1FC4E8D2"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0.5701</w:t>
            </w:r>
          </w:p>
        </w:tc>
      </w:tr>
      <w:tr w:rsidR="004379AD" w:rsidRPr="00B13CBE" w14:paraId="1CE02740" w14:textId="77777777" w:rsidTr="00D04AA9">
        <w:trPr>
          <w:trHeight w:val="288"/>
        </w:trPr>
        <w:tc>
          <w:tcPr>
            <w:tcW w:w="795" w:type="pct"/>
            <w:tcBorders>
              <w:top w:val="nil"/>
              <w:left w:val="single" w:sz="4" w:space="0" w:color="auto"/>
              <w:bottom w:val="nil"/>
              <w:right w:val="single" w:sz="4" w:space="0" w:color="auto"/>
            </w:tcBorders>
            <w:shd w:val="clear" w:color="auto" w:fill="auto"/>
            <w:noWrap/>
            <w:vAlign w:val="bottom"/>
            <w:hideMark/>
          </w:tcPr>
          <w:p w14:paraId="7511CE7D"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372" w:type="pct"/>
            <w:tcBorders>
              <w:top w:val="nil"/>
              <w:left w:val="single" w:sz="4" w:space="0" w:color="auto"/>
              <w:bottom w:val="nil"/>
              <w:right w:val="single" w:sz="4" w:space="0" w:color="auto"/>
            </w:tcBorders>
            <w:shd w:val="clear" w:color="auto" w:fill="auto"/>
            <w:noWrap/>
            <w:vAlign w:val="bottom"/>
            <w:hideMark/>
          </w:tcPr>
          <w:p w14:paraId="472B82C7"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118" w:type="pct"/>
            <w:tcBorders>
              <w:top w:val="nil"/>
              <w:left w:val="single" w:sz="4" w:space="0" w:color="auto"/>
              <w:bottom w:val="nil"/>
              <w:right w:val="single" w:sz="4" w:space="0" w:color="auto"/>
            </w:tcBorders>
            <w:shd w:val="clear" w:color="auto" w:fill="auto"/>
            <w:noWrap/>
            <w:vAlign w:val="bottom"/>
            <w:hideMark/>
          </w:tcPr>
          <w:p w14:paraId="6B44DF63"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07" w:type="pct"/>
            <w:tcBorders>
              <w:top w:val="nil"/>
              <w:left w:val="single" w:sz="4" w:space="0" w:color="auto"/>
              <w:bottom w:val="nil"/>
              <w:right w:val="single" w:sz="4" w:space="0" w:color="auto"/>
            </w:tcBorders>
            <w:shd w:val="clear" w:color="auto" w:fill="auto"/>
            <w:noWrap/>
            <w:vAlign w:val="bottom"/>
            <w:hideMark/>
          </w:tcPr>
          <w:p w14:paraId="4C3AC3AA"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0.9157***</w:t>
            </w:r>
          </w:p>
          <w:p w14:paraId="05711D6A"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(0.0911)</w:t>
            </w:r>
          </w:p>
        </w:tc>
        <w:tc>
          <w:tcPr>
            <w:tcW w:w="609" w:type="pct"/>
            <w:tcBorders>
              <w:top w:val="nil"/>
              <w:left w:val="single" w:sz="4" w:space="0" w:color="auto"/>
              <w:bottom w:val="nil"/>
              <w:right w:val="single" w:sz="4" w:space="0" w:color="auto"/>
            </w:tcBorders>
            <w:shd w:val="clear" w:color="auto" w:fill="auto"/>
            <w:noWrap/>
            <w:vAlign w:val="bottom"/>
            <w:hideMark/>
          </w:tcPr>
          <w:p w14:paraId="5F821803"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4379AD" w:rsidRPr="00B13CBE" w14:paraId="6FECC68D" w14:textId="77777777" w:rsidTr="00D04AA9">
        <w:trPr>
          <w:trHeight w:val="288"/>
        </w:trPr>
        <w:tc>
          <w:tcPr>
            <w:tcW w:w="795" w:type="pct"/>
            <w:tcBorders>
              <w:top w:val="nil"/>
              <w:left w:val="single" w:sz="4" w:space="0" w:color="auto"/>
              <w:bottom w:val="single" w:sz="4" w:space="0" w:color="auto"/>
              <w:right w:val="single" w:sz="4" w:space="0" w:color="auto"/>
            </w:tcBorders>
            <w:shd w:val="clear" w:color="auto" w:fill="auto"/>
            <w:noWrap/>
            <w:vAlign w:val="bottom"/>
          </w:tcPr>
          <w:p w14:paraId="5E4E74E6"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372" w:type="pct"/>
            <w:tcBorders>
              <w:top w:val="nil"/>
              <w:left w:val="single" w:sz="4" w:space="0" w:color="auto"/>
              <w:bottom w:val="single" w:sz="4" w:space="0" w:color="auto"/>
              <w:right w:val="single" w:sz="4" w:space="0" w:color="auto"/>
            </w:tcBorders>
            <w:shd w:val="clear" w:color="auto" w:fill="auto"/>
            <w:noWrap/>
            <w:vAlign w:val="bottom"/>
          </w:tcPr>
          <w:p w14:paraId="02E793AB"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118" w:type="pct"/>
            <w:tcBorders>
              <w:top w:val="nil"/>
              <w:left w:val="single" w:sz="4" w:space="0" w:color="auto"/>
              <w:bottom w:val="single" w:sz="4" w:space="0" w:color="auto"/>
              <w:right w:val="single" w:sz="4" w:space="0" w:color="auto"/>
            </w:tcBorders>
            <w:shd w:val="clear" w:color="auto" w:fill="auto"/>
            <w:noWrap/>
            <w:vAlign w:val="bottom"/>
          </w:tcPr>
          <w:p w14:paraId="0918C11F"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107" w:type="pct"/>
            <w:tcBorders>
              <w:top w:val="nil"/>
              <w:left w:val="single" w:sz="4" w:space="0" w:color="auto"/>
              <w:bottom w:val="single" w:sz="4" w:space="0" w:color="auto"/>
              <w:right w:val="single" w:sz="4" w:space="0" w:color="auto"/>
            </w:tcBorders>
            <w:shd w:val="clear" w:color="auto" w:fill="auto"/>
            <w:noWrap/>
            <w:vAlign w:val="bottom"/>
          </w:tcPr>
          <w:p w14:paraId="15B56602"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609" w:type="pct"/>
            <w:tcBorders>
              <w:top w:val="nil"/>
              <w:left w:val="single" w:sz="4" w:space="0" w:color="auto"/>
              <w:bottom w:val="single" w:sz="4" w:space="0" w:color="auto"/>
              <w:right w:val="single" w:sz="4" w:space="0" w:color="auto"/>
            </w:tcBorders>
            <w:shd w:val="clear" w:color="auto" w:fill="auto"/>
            <w:noWrap/>
            <w:vAlign w:val="bottom"/>
          </w:tcPr>
          <w:p w14:paraId="6B17177B"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r>
      <w:tr w:rsidR="00581A28" w:rsidRPr="00B13CBE" w14:paraId="6BEF8ED9" w14:textId="77777777" w:rsidTr="00724820">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6989F100"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lastRenderedPageBreak/>
              <w:t>Note: significance at 1%, ** indicates significance at 5% and * indicates significance at 10% *** indicates</w:t>
            </w:r>
          </w:p>
        </w:tc>
      </w:tr>
    </w:tbl>
    <w:p w14:paraId="604812B7" w14:textId="77777777" w:rsidR="00724820" w:rsidRPr="00B13CBE" w:rsidRDefault="00724820" w:rsidP="00781A3B">
      <w:pPr>
        <w:spacing w:line="360" w:lineRule="auto"/>
        <w:jc w:val="both"/>
        <w:rPr>
          <w:rFonts w:ascii="Arial" w:hAnsi="Arial" w:cs="Arial"/>
          <w:color w:val="000000" w:themeColor="text1"/>
          <w:sz w:val="24"/>
          <w:szCs w:val="24"/>
        </w:rPr>
      </w:pPr>
    </w:p>
    <w:p w14:paraId="4802E84C" w14:textId="77777777" w:rsidR="00B71B0D"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None of the short-term correlations between China’s Shenzhen and other indices were statistically significant. Shenzhen index had its highest long-term correlation with Indonesia’s Jakarta Islamic Index (b=0.9157, s.e=0.0911). It also had a long-term correlation with Mexico’s IPC Mexico index (b=0.9061, s.e=0.0483) which were statistically significant at 1% level of significance.</w:t>
      </w:r>
    </w:p>
    <w:p w14:paraId="32968214" w14:textId="77777777" w:rsidR="003E652F" w:rsidRPr="00B13CBE" w:rsidRDefault="00C4772C" w:rsidP="00781A3B">
      <w:pPr>
        <w:pStyle w:val="Heading2"/>
      </w:pPr>
      <w:bookmarkStart w:id="58" w:name="_Toc82603379"/>
      <w:r w:rsidRPr="00B13CBE">
        <w:t xml:space="preserve">Correlation between </w:t>
      </w:r>
      <w:r w:rsidR="00724820" w:rsidRPr="00B13CBE">
        <w:t xml:space="preserve">Mexico </w:t>
      </w:r>
      <w:r w:rsidRPr="00B13CBE">
        <w:t>and</w:t>
      </w:r>
      <w:r w:rsidR="00724820" w:rsidRPr="00B13CBE">
        <w:t xml:space="preserve"> Other Parts of </w:t>
      </w:r>
      <w:r w:rsidRPr="00B13CBE">
        <w:t>T</w:t>
      </w:r>
      <w:r w:rsidR="00724820" w:rsidRPr="00B13CBE">
        <w:t>he World</w:t>
      </w:r>
      <w:r w:rsidRPr="00B13CBE">
        <w:t>.</w:t>
      </w:r>
      <w:bookmarkEnd w:id="58"/>
    </w:p>
    <w:p w14:paraId="53090445" w14:textId="77777777" w:rsidR="00724820" w:rsidRPr="00B13CBE" w:rsidRDefault="00C4772C" w:rsidP="00781A3B">
      <w:pPr>
        <w:spacing w:after="0"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DCC-GARCH models were fitted between Hong Kong’s Hang Seng index and indices from other parts of the world. The results are shown in Table </w:t>
      </w:r>
      <w:r w:rsidR="00F569D2" w:rsidRPr="00B13CBE">
        <w:rPr>
          <w:rFonts w:ascii="Arial" w:hAnsi="Arial" w:cs="Arial"/>
          <w:color w:val="000000" w:themeColor="text1"/>
          <w:sz w:val="24"/>
          <w:szCs w:val="24"/>
        </w:rPr>
        <w:t>11</w:t>
      </w:r>
      <w:r w:rsidRPr="00B13CBE">
        <w:rPr>
          <w:rFonts w:ascii="Arial" w:hAnsi="Arial" w:cs="Arial"/>
          <w:color w:val="000000" w:themeColor="text1"/>
          <w:sz w:val="24"/>
          <w:szCs w:val="24"/>
        </w:rPr>
        <w:t xml:space="preserve"> below. </w:t>
      </w:r>
      <w:r w:rsidR="00F569D2" w:rsidRPr="00B13CBE">
        <w:rPr>
          <w:rFonts w:ascii="Arial" w:hAnsi="Arial" w:cs="Arial"/>
          <w:color w:val="000000" w:themeColor="text1"/>
          <w:sz w:val="24"/>
          <w:szCs w:val="24"/>
        </w:rPr>
        <w:t>A GARCH (1,1) model with normally distributed residuals was used as the univariate distribution.</w:t>
      </w:r>
    </w:p>
    <w:p w14:paraId="1BF59E17" w14:textId="77777777" w:rsidR="00D04AA9" w:rsidRPr="00B13CBE" w:rsidRDefault="00C4772C" w:rsidP="00781A3B">
      <w:pPr>
        <w:pStyle w:val="Caption"/>
        <w:keepNext/>
        <w:spacing w:line="360" w:lineRule="auto"/>
        <w:jc w:val="both"/>
        <w:rPr>
          <w:rFonts w:ascii="Arial" w:hAnsi="Arial" w:cs="Arial"/>
          <w:color w:val="000000" w:themeColor="text1"/>
        </w:rPr>
      </w:pPr>
      <w:bookmarkStart w:id="59" w:name="_Toc82603422"/>
      <w:r w:rsidRPr="00B13CBE">
        <w:rPr>
          <w:rFonts w:ascii="Arial" w:hAnsi="Arial" w:cs="Arial"/>
          <w:color w:val="000000" w:themeColor="text1"/>
        </w:rPr>
        <w:t xml:space="preserve">Table </w:t>
      </w:r>
      <w:r w:rsidRPr="00B13CBE">
        <w:rPr>
          <w:rFonts w:ascii="Arial" w:hAnsi="Arial" w:cs="Arial"/>
          <w:color w:val="000000" w:themeColor="text1"/>
        </w:rPr>
        <w:fldChar w:fldCharType="begin"/>
      </w:r>
      <w:r w:rsidRPr="00B13CBE">
        <w:rPr>
          <w:rFonts w:ascii="Arial" w:hAnsi="Arial" w:cs="Arial"/>
          <w:color w:val="000000" w:themeColor="text1"/>
        </w:rPr>
        <w:instrText xml:space="preserve"> SEQ Table \* ARABIC </w:instrText>
      </w:r>
      <w:r w:rsidRPr="00B13CBE">
        <w:rPr>
          <w:rFonts w:ascii="Arial" w:hAnsi="Arial" w:cs="Arial"/>
          <w:color w:val="000000" w:themeColor="text1"/>
        </w:rPr>
        <w:fldChar w:fldCharType="separate"/>
      </w:r>
      <w:r w:rsidRPr="00B13CBE">
        <w:rPr>
          <w:rFonts w:ascii="Arial" w:hAnsi="Arial" w:cs="Arial"/>
          <w:noProof/>
          <w:color w:val="000000" w:themeColor="text1"/>
        </w:rPr>
        <w:t>11</w:t>
      </w:r>
      <w:r w:rsidRPr="00B13CBE">
        <w:rPr>
          <w:rFonts w:ascii="Arial" w:hAnsi="Arial" w:cs="Arial"/>
          <w:color w:val="000000" w:themeColor="text1"/>
        </w:rPr>
        <w:fldChar w:fldCharType="end"/>
      </w:r>
      <w:r w:rsidRPr="00B13CBE">
        <w:rPr>
          <w:rFonts w:ascii="Arial" w:hAnsi="Arial" w:cs="Arial"/>
          <w:color w:val="000000" w:themeColor="text1"/>
        </w:rPr>
        <w:t>:Correlations between Mexico's IPC Mexico Index and Indices from Other Countries</w:t>
      </w:r>
      <w:bookmarkEnd w:id="59"/>
    </w:p>
    <w:tbl>
      <w:tblPr>
        <w:tblW w:w="5000" w:type="pct"/>
        <w:tblLook w:val="04A0" w:firstRow="1" w:lastRow="0" w:firstColumn="1" w:lastColumn="0" w:noHBand="0" w:noVBand="1"/>
      </w:tblPr>
      <w:tblGrid>
        <w:gridCol w:w="1495"/>
        <w:gridCol w:w="2071"/>
        <w:gridCol w:w="1963"/>
        <w:gridCol w:w="1943"/>
        <w:gridCol w:w="1158"/>
      </w:tblGrid>
      <w:tr w:rsidR="004379AD" w:rsidRPr="00B13CBE" w14:paraId="4C66CD25" w14:textId="77777777" w:rsidTr="00D04AA9">
        <w:trPr>
          <w:trHeight w:val="288"/>
        </w:trPr>
        <w:tc>
          <w:tcPr>
            <w:tcW w:w="860" w:type="pct"/>
            <w:tcBorders>
              <w:top w:val="single" w:sz="4" w:space="0" w:color="auto"/>
              <w:left w:val="single" w:sz="4" w:space="0" w:color="auto"/>
              <w:bottom w:val="single" w:sz="4" w:space="0" w:color="auto"/>
            </w:tcBorders>
            <w:shd w:val="clear" w:color="auto" w:fill="auto"/>
            <w:noWrap/>
            <w:vAlign w:val="center"/>
          </w:tcPr>
          <w:p w14:paraId="38BE95B9"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Country</w:t>
            </w:r>
          </w:p>
        </w:tc>
        <w:tc>
          <w:tcPr>
            <w:tcW w:w="1208" w:type="pct"/>
            <w:tcBorders>
              <w:top w:val="single" w:sz="4" w:space="0" w:color="auto"/>
              <w:left w:val="nil"/>
              <w:bottom w:val="single" w:sz="4" w:space="0" w:color="auto"/>
            </w:tcBorders>
            <w:shd w:val="clear" w:color="auto" w:fill="auto"/>
            <w:noWrap/>
            <w:vAlign w:val="center"/>
          </w:tcPr>
          <w:p w14:paraId="0282AAFC"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Index</w:t>
            </w:r>
          </w:p>
        </w:tc>
        <w:tc>
          <w:tcPr>
            <w:tcW w:w="1143" w:type="pct"/>
            <w:tcBorders>
              <w:top w:val="single" w:sz="4" w:space="0" w:color="auto"/>
              <w:left w:val="nil"/>
              <w:bottom w:val="single" w:sz="4" w:space="0" w:color="auto"/>
            </w:tcBorders>
            <w:shd w:val="clear" w:color="auto" w:fill="auto"/>
            <w:noWrap/>
            <w:vAlign w:val="center"/>
          </w:tcPr>
          <w:p w14:paraId="69E631AD"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Name</w:t>
            </w:r>
          </w:p>
        </w:tc>
        <w:tc>
          <w:tcPr>
            <w:tcW w:w="1131" w:type="pct"/>
            <w:tcBorders>
              <w:top w:val="single" w:sz="4" w:space="0" w:color="auto"/>
              <w:left w:val="nil"/>
              <w:bottom w:val="single" w:sz="4" w:space="0" w:color="auto"/>
            </w:tcBorders>
            <w:shd w:val="clear" w:color="auto" w:fill="auto"/>
            <w:noWrap/>
            <w:vAlign w:val="center"/>
          </w:tcPr>
          <w:p w14:paraId="3F0CB987"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DCC Parameter Value</w:t>
            </w:r>
          </w:p>
        </w:tc>
        <w:tc>
          <w:tcPr>
            <w:tcW w:w="658" w:type="pct"/>
            <w:tcBorders>
              <w:top w:val="single" w:sz="4" w:space="0" w:color="auto"/>
              <w:left w:val="nil"/>
              <w:right w:val="single" w:sz="4" w:space="0" w:color="auto"/>
            </w:tcBorders>
            <w:shd w:val="clear" w:color="auto" w:fill="auto"/>
            <w:noWrap/>
            <w:vAlign w:val="center"/>
          </w:tcPr>
          <w:p w14:paraId="66364E4D"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t>p-value</w:t>
            </w:r>
          </w:p>
        </w:tc>
      </w:tr>
      <w:tr w:rsidR="004379AD" w:rsidRPr="00B13CBE" w14:paraId="36198209" w14:textId="77777777" w:rsidTr="00D04AA9">
        <w:trPr>
          <w:trHeight w:val="288"/>
        </w:trPr>
        <w:tc>
          <w:tcPr>
            <w:tcW w:w="860" w:type="pct"/>
            <w:tcBorders>
              <w:top w:val="single" w:sz="4" w:space="0" w:color="auto"/>
              <w:left w:val="single" w:sz="4" w:space="0" w:color="auto"/>
              <w:right w:val="single" w:sz="4" w:space="0" w:color="auto"/>
            </w:tcBorders>
            <w:shd w:val="clear" w:color="auto" w:fill="auto"/>
            <w:noWrap/>
            <w:vAlign w:val="bottom"/>
            <w:hideMark/>
          </w:tcPr>
          <w:p w14:paraId="1ED8D0DF"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Indonesia</w:t>
            </w:r>
          </w:p>
        </w:tc>
        <w:tc>
          <w:tcPr>
            <w:tcW w:w="1208" w:type="pct"/>
            <w:tcBorders>
              <w:top w:val="single" w:sz="4" w:space="0" w:color="auto"/>
              <w:left w:val="single" w:sz="4" w:space="0" w:color="auto"/>
              <w:right w:val="single" w:sz="4" w:space="0" w:color="auto"/>
            </w:tcBorders>
            <w:shd w:val="clear" w:color="auto" w:fill="auto"/>
            <w:noWrap/>
            <w:vAlign w:val="bottom"/>
            <w:hideMark/>
          </w:tcPr>
          <w:p w14:paraId="7ED1B8F9"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Jakarta.Islamic Index</w:t>
            </w:r>
          </w:p>
        </w:tc>
        <w:tc>
          <w:tcPr>
            <w:tcW w:w="1143" w:type="pct"/>
            <w:tcBorders>
              <w:top w:val="single" w:sz="4" w:space="0" w:color="auto"/>
              <w:left w:val="single" w:sz="4" w:space="0" w:color="auto"/>
              <w:right w:val="single" w:sz="4" w:space="0" w:color="auto"/>
            </w:tcBorders>
            <w:shd w:val="clear" w:color="auto" w:fill="auto"/>
            <w:noWrap/>
            <w:vAlign w:val="bottom"/>
            <w:hideMark/>
          </w:tcPr>
          <w:p w14:paraId="4EB230FA"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A</w:t>
            </w:r>
          </w:p>
        </w:tc>
        <w:tc>
          <w:tcPr>
            <w:tcW w:w="1131" w:type="pct"/>
            <w:tcBorders>
              <w:top w:val="single" w:sz="4" w:space="0" w:color="auto"/>
              <w:left w:val="single" w:sz="4" w:space="0" w:color="auto"/>
              <w:right w:val="single" w:sz="4" w:space="0" w:color="auto"/>
            </w:tcBorders>
            <w:shd w:val="clear" w:color="auto" w:fill="auto"/>
            <w:noWrap/>
            <w:vAlign w:val="bottom"/>
            <w:hideMark/>
          </w:tcPr>
          <w:p w14:paraId="250DBEDD"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0.0294**</w:t>
            </w:r>
          </w:p>
          <w:p w14:paraId="1B5FE82C"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(0.0165)</w:t>
            </w:r>
          </w:p>
        </w:tc>
        <w:tc>
          <w:tcPr>
            <w:tcW w:w="658" w:type="pct"/>
            <w:tcBorders>
              <w:top w:val="single" w:sz="4" w:space="0" w:color="auto"/>
              <w:left w:val="single" w:sz="4" w:space="0" w:color="auto"/>
              <w:right w:val="single" w:sz="4" w:space="0" w:color="auto"/>
            </w:tcBorders>
            <w:shd w:val="clear" w:color="auto" w:fill="auto"/>
            <w:noWrap/>
            <w:vAlign w:val="bottom"/>
            <w:hideMark/>
          </w:tcPr>
          <w:p w14:paraId="495AA930"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0.0744</w:t>
            </w:r>
          </w:p>
        </w:tc>
      </w:tr>
      <w:tr w:rsidR="004379AD" w:rsidRPr="00B13CBE" w14:paraId="23B242F4" w14:textId="77777777" w:rsidTr="00D04AA9">
        <w:trPr>
          <w:trHeight w:val="288"/>
        </w:trPr>
        <w:tc>
          <w:tcPr>
            <w:tcW w:w="860" w:type="pct"/>
            <w:tcBorders>
              <w:top w:val="nil"/>
              <w:left w:val="single" w:sz="4" w:space="0" w:color="auto"/>
              <w:bottom w:val="single" w:sz="4" w:space="0" w:color="auto"/>
              <w:right w:val="single" w:sz="4" w:space="0" w:color="auto"/>
            </w:tcBorders>
            <w:shd w:val="clear" w:color="auto" w:fill="auto"/>
            <w:noWrap/>
            <w:vAlign w:val="bottom"/>
            <w:hideMark/>
          </w:tcPr>
          <w:p w14:paraId="0B9E66D1"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208" w:type="pct"/>
            <w:tcBorders>
              <w:top w:val="nil"/>
              <w:left w:val="single" w:sz="4" w:space="0" w:color="auto"/>
              <w:bottom w:val="single" w:sz="4" w:space="0" w:color="auto"/>
              <w:right w:val="single" w:sz="4" w:space="0" w:color="auto"/>
            </w:tcBorders>
            <w:shd w:val="clear" w:color="auto" w:fill="auto"/>
            <w:noWrap/>
            <w:vAlign w:val="bottom"/>
            <w:hideMark/>
          </w:tcPr>
          <w:p w14:paraId="56DB27B5" w14:textId="77777777" w:rsidR="00724820" w:rsidRPr="00B13CBE" w:rsidRDefault="00724820" w:rsidP="00781A3B">
            <w:pPr>
              <w:spacing w:after="0" w:line="360" w:lineRule="auto"/>
              <w:jc w:val="both"/>
              <w:rPr>
                <w:rFonts w:ascii="Arial" w:eastAsia="Times New Roman" w:hAnsi="Arial" w:cs="Arial"/>
                <w:color w:val="000000" w:themeColor="text1"/>
                <w:sz w:val="24"/>
                <w:szCs w:val="24"/>
              </w:rPr>
            </w:pPr>
          </w:p>
        </w:tc>
        <w:tc>
          <w:tcPr>
            <w:tcW w:w="1143" w:type="pct"/>
            <w:tcBorders>
              <w:top w:val="nil"/>
              <w:left w:val="single" w:sz="4" w:space="0" w:color="auto"/>
              <w:bottom w:val="single" w:sz="4" w:space="0" w:color="auto"/>
              <w:right w:val="single" w:sz="4" w:space="0" w:color="auto"/>
            </w:tcBorders>
            <w:shd w:val="clear" w:color="auto" w:fill="auto"/>
            <w:noWrap/>
            <w:vAlign w:val="bottom"/>
            <w:hideMark/>
          </w:tcPr>
          <w:p w14:paraId="308F250B"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B</w:t>
            </w:r>
          </w:p>
        </w:tc>
        <w:tc>
          <w:tcPr>
            <w:tcW w:w="1131" w:type="pct"/>
            <w:tcBorders>
              <w:top w:val="nil"/>
              <w:left w:val="single" w:sz="4" w:space="0" w:color="auto"/>
              <w:bottom w:val="single" w:sz="4" w:space="0" w:color="auto"/>
              <w:right w:val="single" w:sz="4" w:space="0" w:color="auto"/>
            </w:tcBorders>
            <w:shd w:val="clear" w:color="auto" w:fill="auto"/>
            <w:noWrap/>
            <w:vAlign w:val="bottom"/>
            <w:hideMark/>
          </w:tcPr>
          <w:p w14:paraId="7E8CEC1C"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0.8234***</w:t>
            </w:r>
          </w:p>
          <w:p w14:paraId="7F4AFB8F"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(0.1272)</w:t>
            </w:r>
          </w:p>
        </w:tc>
        <w:tc>
          <w:tcPr>
            <w:tcW w:w="658" w:type="pct"/>
            <w:tcBorders>
              <w:top w:val="nil"/>
              <w:left w:val="single" w:sz="4" w:space="0" w:color="auto"/>
              <w:bottom w:val="single" w:sz="4" w:space="0" w:color="auto"/>
              <w:right w:val="single" w:sz="4" w:space="0" w:color="auto"/>
            </w:tcBorders>
            <w:shd w:val="clear" w:color="auto" w:fill="auto"/>
            <w:noWrap/>
            <w:vAlign w:val="bottom"/>
            <w:hideMark/>
          </w:tcPr>
          <w:p w14:paraId="7AA193DB"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color w:val="000000" w:themeColor="text1"/>
                <w:sz w:val="24"/>
                <w:szCs w:val="24"/>
              </w:rPr>
              <w:t>0.0000</w:t>
            </w:r>
          </w:p>
        </w:tc>
      </w:tr>
      <w:tr w:rsidR="00581A28" w:rsidRPr="00B13CBE" w14:paraId="2E9335FB" w14:textId="77777777" w:rsidTr="00724820">
        <w:trPr>
          <w:trHeight w:val="2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08BF5101" w14:textId="77777777" w:rsidR="00724820" w:rsidRPr="00B13CBE" w:rsidRDefault="00C4772C" w:rsidP="00781A3B">
            <w:pPr>
              <w:spacing w:after="0" w:line="360" w:lineRule="auto"/>
              <w:jc w:val="both"/>
              <w:rPr>
                <w:rFonts w:ascii="Arial" w:eastAsia="Times New Roman" w:hAnsi="Arial" w:cs="Arial"/>
                <w:color w:val="000000" w:themeColor="text1"/>
                <w:sz w:val="24"/>
                <w:szCs w:val="24"/>
              </w:rPr>
            </w:pPr>
            <w:r w:rsidRPr="00B13CBE">
              <w:rPr>
                <w:rFonts w:ascii="Arial" w:eastAsia="Times New Roman" w:hAnsi="Arial" w:cs="Arial"/>
                <w:b/>
                <w:bCs/>
                <w:color w:val="000000" w:themeColor="text1"/>
                <w:sz w:val="24"/>
                <w:szCs w:val="24"/>
              </w:rPr>
              <w:lastRenderedPageBreak/>
              <w:t>Note: significance at 1%, ** indicates significance at 5% and * indicates significance at 10% *** indicates</w:t>
            </w:r>
          </w:p>
        </w:tc>
      </w:tr>
    </w:tbl>
    <w:p w14:paraId="608AB4E0" w14:textId="77777777" w:rsidR="00724820" w:rsidRPr="00B13CBE" w:rsidRDefault="00724820" w:rsidP="00781A3B">
      <w:pPr>
        <w:spacing w:line="360" w:lineRule="auto"/>
        <w:jc w:val="both"/>
        <w:rPr>
          <w:rFonts w:ascii="Arial" w:hAnsi="Arial" w:cs="Arial"/>
          <w:color w:val="000000" w:themeColor="text1"/>
          <w:sz w:val="24"/>
          <w:szCs w:val="24"/>
        </w:rPr>
      </w:pPr>
    </w:p>
    <w:p w14:paraId="4449D549" w14:textId="77777777" w:rsidR="00724820"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IPC Mexico index had a short-term correlation of 0.0294 (s.e=</w:t>
      </w:r>
      <w:r w:rsidR="00115AAF" w:rsidRPr="00B13CBE">
        <w:rPr>
          <w:rFonts w:ascii="Arial" w:hAnsi="Arial" w:cs="Arial"/>
          <w:color w:val="000000" w:themeColor="text1"/>
          <w:sz w:val="24"/>
          <w:szCs w:val="24"/>
        </w:rPr>
        <w:t>0.0165) and long-term correlation of 0.8234(s.e=0.1272) with Indonesia’s Jakarta index which were statistically significant at 5% and 1% levels of significance, respectively.</w:t>
      </w:r>
    </w:p>
    <w:p w14:paraId="5F88182D" w14:textId="77777777" w:rsidR="001F6509" w:rsidRPr="00B13CBE" w:rsidRDefault="001F6509" w:rsidP="00781A3B">
      <w:pPr>
        <w:pStyle w:val="Heading2"/>
        <w:numPr>
          <w:ilvl w:val="0"/>
          <w:numId w:val="0"/>
        </w:numPr>
      </w:pPr>
    </w:p>
    <w:p w14:paraId="03145B35" w14:textId="77777777" w:rsidR="00AD0B81" w:rsidRPr="00B13CBE" w:rsidRDefault="00AD0B81" w:rsidP="00781A3B">
      <w:pPr>
        <w:spacing w:line="360" w:lineRule="auto"/>
        <w:jc w:val="both"/>
        <w:rPr>
          <w:rFonts w:ascii="Arial" w:hAnsi="Arial" w:cs="Arial"/>
          <w:color w:val="000000" w:themeColor="text1"/>
          <w:sz w:val="24"/>
          <w:szCs w:val="24"/>
        </w:rPr>
      </w:pPr>
    </w:p>
    <w:p w14:paraId="3EFBA019" w14:textId="77777777" w:rsidR="00AD0B81"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br w:type="page"/>
      </w:r>
    </w:p>
    <w:p w14:paraId="5639C07D" w14:textId="77777777" w:rsidR="00AD0B81" w:rsidRPr="00B13CBE" w:rsidRDefault="00C4772C" w:rsidP="00781A3B">
      <w:pPr>
        <w:pStyle w:val="Heading1"/>
        <w:numPr>
          <w:ilvl w:val="0"/>
          <w:numId w:val="18"/>
        </w:numPr>
        <w:spacing w:before="0" w:line="360" w:lineRule="auto"/>
        <w:jc w:val="both"/>
        <w:rPr>
          <w:rFonts w:ascii="Arial" w:hAnsi="Arial" w:cs="Arial"/>
          <w:b/>
          <w:bCs/>
          <w:color w:val="000000" w:themeColor="text1"/>
          <w:sz w:val="24"/>
          <w:szCs w:val="24"/>
        </w:rPr>
      </w:pPr>
      <w:bookmarkStart w:id="60" w:name="_Toc82603380"/>
      <w:r w:rsidRPr="00B13CBE">
        <w:rPr>
          <w:rFonts w:ascii="Arial" w:hAnsi="Arial" w:cs="Arial"/>
          <w:b/>
          <w:bCs/>
          <w:color w:val="000000" w:themeColor="text1"/>
          <w:sz w:val="24"/>
          <w:szCs w:val="24"/>
        </w:rPr>
        <w:lastRenderedPageBreak/>
        <w:t>CONCLUSIONS</w:t>
      </w:r>
      <w:bookmarkEnd w:id="60"/>
    </w:p>
    <w:p w14:paraId="009A715A" w14:textId="77777777" w:rsidR="00AD0B81"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Results from the DCC-GARCH models show that there is high long-term correlation among the 12 statistically significant indices. Most long-term correlations were above 0.8 which is a high figure. This does not bode well for long-term international investors since</w:t>
      </w:r>
      <w:r w:rsidR="00F569D2" w:rsidRPr="00B13CBE">
        <w:rPr>
          <w:rFonts w:ascii="Arial" w:hAnsi="Arial" w:cs="Arial"/>
          <w:color w:val="000000" w:themeColor="text1"/>
          <w:sz w:val="24"/>
          <w:szCs w:val="24"/>
        </w:rPr>
        <w:t>, as discussed in the literature review,</w:t>
      </w:r>
      <w:r w:rsidRPr="00B13CBE">
        <w:rPr>
          <w:rFonts w:ascii="Arial" w:hAnsi="Arial" w:cs="Arial"/>
          <w:color w:val="000000" w:themeColor="text1"/>
          <w:sz w:val="24"/>
          <w:szCs w:val="24"/>
        </w:rPr>
        <w:t xml:space="preserve"> the high correlation wipes away the benefits to be obtained from international diversification. </w:t>
      </w:r>
    </w:p>
    <w:p w14:paraId="3FFB396D" w14:textId="77777777" w:rsidR="00AD0B81"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Short-term correlations among the indices were of low values which shows that</w:t>
      </w:r>
      <w:r w:rsidR="00F569D2" w:rsidRPr="00B13CBE">
        <w:rPr>
          <w:rFonts w:ascii="Arial" w:hAnsi="Arial" w:cs="Arial"/>
          <w:color w:val="000000" w:themeColor="text1"/>
          <w:sz w:val="24"/>
          <w:szCs w:val="24"/>
        </w:rPr>
        <w:t xml:space="preserve"> volatility does not spillover from one market to another immediately. This means that</w:t>
      </w:r>
      <w:r w:rsidRPr="00B13CBE">
        <w:rPr>
          <w:rFonts w:ascii="Arial" w:hAnsi="Arial" w:cs="Arial"/>
          <w:color w:val="000000" w:themeColor="text1"/>
          <w:sz w:val="24"/>
          <w:szCs w:val="24"/>
        </w:rPr>
        <w:t xml:space="preserve"> there </w:t>
      </w:r>
      <w:r w:rsidR="00F569D2" w:rsidRPr="00B13CBE">
        <w:rPr>
          <w:rFonts w:ascii="Arial" w:hAnsi="Arial" w:cs="Arial"/>
          <w:color w:val="000000" w:themeColor="text1"/>
          <w:sz w:val="24"/>
          <w:szCs w:val="24"/>
        </w:rPr>
        <w:t>may be</w:t>
      </w:r>
      <w:r w:rsidRPr="00B13CBE">
        <w:rPr>
          <w:rFonts w:ascii="Arial" w:hAnsi="Arial" w:cs="Arial"/>
          <w:color w:val="000000" w:themeColor="text1"/>
          <w:sz w:val="24"/>
          <w:szCs w:val="24"/>
        </w:rPr>
        <w:t xml:space="preserve"> some diversification benefits to be obtained by investing in short-term foreign assets. However, most of the short-term correlation coefficients were not statistically significant</w:t>
      </w:r>
      <w:r w:rsidR="00F569D2" w:rsidRPr="00B13CBE">
        <w:rPr>
          <w:rFonts w:ascii="Arial" w:hAnsi="Arial" w:cs="Arial"/>
          <w:color w:val="000000" w:themeColor="text1"/>
          <w:sz w:val="24"/>
          <w:szCs w:val="24"/>
        </w:rPr>
        <w:t xml:space="preserve"> and this conclusion may be a random occurrence.</w:t>
      </w:r>
    </w:p>
    <w:p w14:paraId="23D6D920" w14:textId="77777777" w:rsidR="00AD0B81"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Only the U.S had a high long-term correlation with all other indices in the sample</w:t>
      </w:r>
      <w:r w:rsidR="00F569D2" w:rsidRPr="00B13CBE">
        <w:rPr>
          <w:rFonts w:ascii="Arial" w:hAnsi="Arial" w:cs="Arial"/>
          <w:color w:val="000000" w:themeColor="text1"/>
          <w:sz w:val="24"/>
          <w:szCs w:val="24"/>
        </w:rPr>
        <w:t xml:space="preserve"> including Indonesia’s Jakarta Islamic Index</w:t>
      </w:r>
      <w:r w:rsidRPr="00B13CBE">
        <w:rPr>
          <w:rFonts w:ascii="Arial" w:hAnsi="Arial" w:cs="Arial"/>
          <w:color w:val="000000" w:themeColor="text1"/>
          <w:sz w:val="24"/>
          <w:szCs w:val="24"/>
        </w:rPr>
        <w:t>. However, in terms of magnitude, China's Shenzhen index had the highest long-term correlation with Germany's DAX, France's CAC 40</w:t>
      </w:r>
      <w:r w:rsidR="00D04AA9" w:rsidRPr="00B13CBE">
        <w:rPr>
          <w:rFonts w:ascii="Arial" w:hAnsi="Arial" w:cs="Arial"/>
          <w:color w:val="000000" w:themeColor="text1"/>
          <w:sz w:val="24"/>
          <w:szCs w:val="24"/>
        </w:rPr>
        <w:t>,</w:t>
      </w:r>
      <w:r w:rsidRPr="00B13CBE">
        <w:rPr>
          <w:rFonts w:ascii="Arial" w:hAnsi="Arial" w:cs="Arial"/>
          <w:color w:val="000000" w:themeColor="text1"/>
          <w:sz w:val="24"/>
          <w:szCs w:val="24"/>
        </w:rPr>
        <w:t xml:space="preserve"> and Hong Kong's Hang Seng indices</w:t>
      </w:r>
      <w:r w:rsidR="00F569D2" w:rsidRPr="00B13CBE">
        <w:rPr>
          <w:rFonts w:ascii="Arial" w:hAnsi="Arial" w:cs="Arial"/>
          <w:color w:val="000000" w:themeColor="text1"/>
          <w:sz w:val="24"/>
          <w:szCs w:val="24"/>
        </w:rPr>
        <w:t>.</w:t>
      </w:r>
    </w:p>
    <w:p w14:paraId="04546D5B" w14:textId="77777777" w:rsidR="00AD0B81"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These results show that for international investors to obtain diversification benefits, timing mismatches between investments are crucial. When foreign assets are held for long, the benefits of international diversification </w:t>
      </w:r>
      <w:r w:rsidR="00FF1400" w:rsidRPr="00B13CBE">
        <w:rPr>
          <w:rFonts w:ascii="Arial" w:hAnsi="Arial" w:cs="Arial"/>
          <w:color w:val="000000" w:themeColor="text1"/>
          <w:sz w:val="24"/>
          <w:szCs w:val="24"/>
        </w:rPr>
        <w:t xml:space="preserve">are </w:t>
      </w:r>
      <w:r w:rsidRPr="00B13CBE">
        <w:rPr>
          <w:rFonts w:ascii="Arial" w:hAnsi="Arial" w:cs="Arial"/>
          <w:color w:val="000000" w:themeColor="text1"/>
          <w:sz w:val="24"/>
          <w:szCs w:val="24"/>
        </w:rPr>
        <w:t>erode</w:t>
      </w:r>
      <w:r w:rsidR="00FF1400" w:rsidRPr="00B13CBE">
        <w:rPr>
          <w:rFonts w:ascii="Arial" w:hAnsi="Arial" w:cs="Arial"/>
          <w:color w:val="000000" w:themeColor="text1"/>
          <w:sz w:val="24"/>
          <w:szCs w:val="24"/>
        </w:rPr>
        <w:t>d</w:t>
      </w:r>
      <w:r w:rsidRPr="00B13CBE">
        <w:rPr>
          <w:rFonts w:ascii="Arial" w:hAnsi="Arial" w:cs="Arial"/>
          <w:color w:val="000000" w:themeColor="text1"/>
          <w:sz w:val="24"/>
          <w:szCs w:val="24"/>
        </w:rPr>
        <w:t>.</w:t>
      </w:r>
      <w:r w:rsidR="00FF1400" w:rsidRPr="00B13CBE">
        <w:rPr>
          <w:rFonts w:ascii="Arial" w:hAnsi="Arial" w:cs="Arial"/>
          <w:color w:val="000000" w:themeColor="text1"/>
          <w:sz w:val="24"/>
          <w:szCs w:val="24"/>
        </w:rPr>
        <w:t xml:space="preserve"> </w:t>
      </w:r>
      <w:r w:rsidRPr="00B13CBE">
        <w:rPr>
          <w:rFonts w:ascii="Arial" w:hAnsi="Arial" w:cs="Arial"/>
          <w:color w:val="000000" w:themeColor="text1"/>
          <w:sz w:val="24"/>
          <w:szCs w:val="24"/>
        </w:rPr>
        <w:t>The high long-term correlation among the different indices poses a challenge to policymakers who have to find ways of mitigating contagion effects before it is too late.</w:t>
      </w:r>
      <w:r w:rsidR="00F569D2" w:rsidRPr="00B13CBE">
        <w:rPr>
          <w:rFonts w:ascii="Arial" w:hAnsi="Arial" w:cs="Arial"/>
          <w:color w:val="000000" w:themeColor="text1"/>
          <w:sz w:val="24"/>
          <w:szCs w:val="24"/>
        </w:rPr>
        <w:t>0</w:t>
      </w:r>
    </w:p>
    <w:p w14:paraId="35F3EF89" w14:textId="77777777" w:rsidR="001F4CEB"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This study had several limitations. First, w</w:t>
      </w:r>
      <w:r w:rsidR="00C32DCA" w:rsidRPr="00B13CBE">
        <w:rPr>
          <w:rFonts w:ascii="Arial" w:hAnsi="Arial" w:cs="Arial"/>
          <w:color w:val="000000" w:themeColor="text1"/>
          <w:sz w:val="24"/>
          <w:szCs w:val="24"/>
        </w:rPr>
        <w:t xml:space="preserve">hile the DCC-GARCH model is dynamic enough to capture time-varying correlations, it restricts the distribution </w:t>
      </w:r>
      <w:r w:rsidR="00C32DCA" w:rsidRPr="00B13CBE">
        <w:rPr>
          <w:rFonts w:ascii="Arial" w:hAnsi="Arial" w:cs="Arial"/>
          <w:color w:val="000000" w:themeColor="text1"/>
          <w:sz w:val="24"/>
          <w:szCs w:val="24"/>
        </w:rPr>
        <w:lastRenderedPageBreak/>
        <w:t>assumptions made on the residuals</w:t>
      </w:r>
      <w:r w:rsidRPr="00B13CBE">
        <w:rPr>
          <w:rFonts w:ascii="Arial" w:hAnsi="Arial" w:cs="Arial"/>
          <w:color w:val="000000" w:themeColor="text1"/>
          <w:sz w:val="24"/>
          <w:szCs w:val="24"/>
        </w:rPr>
        <w:t xml:space="preserve"> to the normal distribution, student t and skewed student t distributions. When the residuals do not follow any of these d</w:t>
      </w:r>
      <w:r w:rsidR="00FF1400" w:rsidRPr="00B13CBE">
        <w:rPr>
          <w:rFonts w:ascii="Arial" w:hAnsi="Arial" w:cs="Arial"/>
          <w:color w:val="000000" w:themeColor="text1"/>
          <w:sz w:val="24"/>
          <w:szCs w:val="24"/>
        </w:rPr>
        <w:t>i</w:t>
      </w:r>
      <w:r w:rsidRPr="00B13CBE">
        <w:rPr>
          <w:rFonts w:ascii="Arial" w:hAnsi="Arial" w:cs="Arial"/>
          <w:color w:val="000000" w:themeColor="text1"/>
          <w:sz w:val="24"/>
          <w:szCs w:val="24"/>
        </w:rPr>
        <w:t>stributions, the DCC results are spurious. Second, it</w:t>
      </w:r>
      <w:r w:rsidR="00C32DCA" w:rsidRPr="00B13CBE">
        <w:rPr>
          <w:rFonts w:ascii="Arial" w:hAnsi="Arial" w:cs="Arial"/>
          <w:color w:val="000000" w:themeColor="text1"/>
          <w:sz w:val="24"/>
          <w:szCs w:val="24"/>
        </w:rPr>
        <w:t xml:space="preserve"> uses linear correlation as the measure of dependence. </w:t>
      </w:r>
      <w:r w:rsidRPr="00B13CBE">
        <w:rPr>
          <w:rFonts w:ascii="Arial" w:hAnsi="Arial" w:cs="Arial"/>
          <w:color w:val="000000" w:themeColor="text1"/>
          <w:sz w:val="24"/>
          <w:szCs w:val="24"/>
        </w:rPr>
        <w:t>This means that it</w:t>
      </w:r>
      <w:r w:rsidR="00C32DCA" w:rsidRPr="00B13CBE">
        <w:rPr>
          <w:rFonts w:ascii="Arial" w:hAnsi="Arial" w:cs="Arial"/>
          <w:color w:val="000000" w:themeColor="text1"/>
          <w:sz w:val="24"/>
          <w:szCs w:val="24"/>
        </w:rPr>
        <w:t xml:space="preserve"> does not allow for more dynamic dependence relationships</w:t>
      </w:r>
      <w:r w:rsidRPr="00B13CBE">
        <w:rPr>
          <w:rFonts w:ascii="Arial" w:hAnsi="Arial" w:cs="Arial"/>
          <w:color w:val="000000" w:themeColor="text1"/>
          <w:sz w:val="24"/>
          <w:szCs w:val="24"/>
        </w:rPr>
        <w:t xml:space="preserve">. These two limitations can be solved in future research by using more robust models to capture dynamic dependence structures and non-elliptical residuals. Thirdly, the DCC-GARCH model </w:t>
      </w:r>
      <w:r w:rsidR="00C32DCA" w:rsidRPr="00B13CBE">
        <w:rPr>
          <w:rFonts w:ascii="Arial" w:hAnsi="Arial" w:cs="Arial"/>
          <w:color w:val="000000" w:themeColor="text1"/>
          <w:sz w:val="24"/>
          <w:szCs w:val="24"/>
        </w:rPr>
        <w:t xml:space="preserve">does not give any information about the direction of </w:t>
      </w:r>
      <w:r w:rsidRPr="00B13CBE">
        <w:rPr>
          <w:rFonts w:ascii="Arial" w:hAnsi="Arial" w:cs="Arial"/>
          <w:color w:val="000000" w:themeColor="text1"/>
          <w:sz w:val="24"/>
          <w:szCs w:val="24"/>
        </w:rPr>
        <w:t>any</w:t>
      </w:r>
      <w:r w:rsidR="00C32DCA" w:rsidRPr="00B13CBE">
        <w:rPr>
          <w:rFonts w:ascii="Arial" w:hAnsi="Arial" w:cs="Arial"/>
          <w:color w:val="000000" w:themeColor="text1"/>
          <w:sz w:val="24"/>
          <w:szCs w:val="24"/>
        </w:rPr>
        <w:t xml:space="preserve"> volatility spillovers. More robust models, such as copula-GARCH are required to amend these shortcomings. Future research can apply more robust models to capture more dynamic dependence structures among capital markets.</w:t>
      </w:r>
    </w:p>
    <w:bookmarkEnd w:id="36"/>
    <w:bookmarkEnd w:id="37"/>
    <w:p w14:paraId="6A392C70" w14:textId="77777777" w:rsidR="00EE2D99"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br w:type="page"/>
      </w:r>
    </w:p>
    <w:p w14:paraId="2E6AC471" w14:textId="77777777" w:rsidR="00D77A26" w:rsidRPr="00B13CBE" w:rsidRDefault="00C4772C" w:rsidP="00781A3B">
      <w:pPr>
        <w:pStyle w:val="Heading1"/>
        <w:numPr>
          <w:ilvl w:val="0"/>
          <w:numId w:val="18"/>
        </w:numPr>
        <w:spacing w:line="360" w:lineRule="auto"/>
        <w:jc w:val="both"/>
        <w:rPr>
          <w:rFonts w:ascii="Arial" w:hAnsi="Arial" w:cs="Arial"/>
          <w:b/>
          <w:bCs/>
          <w:color w:val="000000" w:themeColor="text1"/>
          <w:sz w:val="24"/>
          <w:szCs w:val="24"/>
        </w:rPr>
      </w:pPr>
      <w:bookmarkStart w:id="61" w:name="_Toc82603381"/>
      <w:r w:rsidRPr="00B13CBE">
        <w:rPr>
          <w:rFonts w:ascii="Arial" w:hAnsi="Arial" w:cs="Arial"/>
          <w:b/>
          <w:bCs/>
          <w:color w:val="000000" w:themeColor="text1"/>
          <w:sz w:val="24"/>
          <w:szCs w:val="24"/>
        </w:rPr>
        <w:lastRenderedPageBreak/>
        <w:t>REFERENCES</w:t>
      </w:r>
      <w:bookmarkEnd w:id="61"/>
      <w:r w:rsidRPr="00B13CBE">
        <w:rPr>
          <w:rFonts w:ascii="Arial" w:hAnsi="Arial" w:cs="Arial"/>
          <w:b/>
          <w:bCs/>
          <w:color w:val="000000" w:themeColor="text1"/>
          <w:sz w:val="24"/>
          <w:szCs w:val="24"/>
        </w:rPr>
        <w:t xml:space="preserve"> </w:t>
      </w:r>
    </w:p>
    <w:p w14:paraId="50FEF146"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begin"/>
      </w:r>
      <w:r w:rsidRPr="00B13CBE">
        <w:rPr>
          <w:rFonts w:ascii="Arial" w:hAnsi="Arial" w:cs="Arial"/>
          <w:color w:val="000000" w:themeColor="text1"/>
          <w:sz w:val="24"/>
          <w:szCs w:val="24"/>
        </w:rPr>
        <w:instrText xml:space="preserve"> ADDIN ZOTERO_BIBL {"uncited":[],"omitted":[],"custom":[]} CSL_BIBLIOGRAPHY </w:instrText>
      </w:r>
      <w:r w:rsidRPr="00B13CBE">
        <w:rPr>
          <w:rFonts w:ascii="Arial" w:hAnsi="Arial" w:cs="Arial"/>
          <w:color w:val="000000" w:themeColor="text1"/>
          <w:sz w:val="24"/>
          <w:szCs w:val="24"/>
        </w:rPr>
        <w:fldChar w:fldCharType="separate"/>
      </w:r>
      <w:r w:rsidRPr="00B13CBE">
        <w:rPr>
          <w:rFonts w:ascii="Arial" w:hAnsi="Arial" w:cs="Arial"/>
          <w:color w:val="000000" w:themeColor="text1"/>
          <w:sz w:val="24"/>
          <w:szCs w:val="24"/>
        </w:rPr>
        <w:t xml:space="preserve">Aït-Sahalia, Y., Fan, J. and Li, Y. (2013) ‘The leverage effect puzzle: Disentangling sources of bias at high frequency’, </w:t>
      </w:r>
      <w:r w:rsidRPr="00B13CBE">
        <w:rPr>
          <w:rFonts w:ascii="Arial" w:hAnsi="Arial" w:cs="Arial"/>
          <w:i/>
          <w:iCs/>
          <w:color w:val="000000" w:themeColor="text1"/>
          <w:sz w:val="24"/>
          <w:szCs w:val="24"/>
        </w:rPr>
        <w:t>Journal of Financial Economics</w:t>
      </w:r>
      <w:r w:rsidRPr="00B13CBE">
        <w:rPr>
          <w:rFonts w:ascii="Arial" w:hAnsi="Arial" w:cs="Arial"/>
          <w:color w:val="000000" w:themeColor="text1"/>
          <w:sz w:val="24"/>
          <w:szCs w:val="24"/>
        </w:rPr>
        <w:t>, 109(1), pp. 224–249. doi: 10.1016/j.jfineco.2013.02.018.</w:t>
      </w:r>
    </w:p>
    <w:p w14:paraId="5F7AFC8B"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Alexander, C. (2008) </w:t>
      </w:r>
      <w:r w:rsidRPr="00B13CBE">
        <w:rPr>
          <w:rFonts w:ascii="Arial" w:hAnsi="Arial" w:cs="Arial"/>
          <w:i/>
          <w:iCs/>
          <w:color w:val="000000" w:themeColor="text1"/>
          <w:sz w:val="24"/>
          <w:szCs w:val="24"/>
        </w:rPr>
        <w:t>Market Risk Analysis, Practical Financial Econometrics</w:t>
      </w:r>
      <w:r w:rsidRPr="00B13CBE">
        <w:rPr>
          <w:rFonts w:ascii="Arial" w:hAnsi="Arial" w:cs="Arial"/>
          <w:color w:val="000000" w:themeColor="text1"/>
          <w:sz w:val="24"/>
          <w:szCs w:val="24"/>
        </w:rPr>
        <w:t>. John Wiley &amp; Sons.</w:t>
      </w:r>
    </w:p>
    <w:p w14:paraId="0C3752D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Andersen, T. and Bollerslev, T. (no date) </w:t>
      </w:r>
      <w:r w:rsidRPr="00B13CBE">
        <w:rPr>
          <w:rFonts w:ascii="Arial" w:hAnsi="Arial" w:cs="Arial"/>
          <w:i/>
          <w:iCs/>
          <w:color w:val="000000" w:themeColor="text1"/>
          <w:sz w:val="24"/>
          <w:szCs w:val="24"/>
        </w:rPr>
        <w:t>Volatility</w:t>
      </w:r>
      <w:r w:rsidRPr="00B13CBE">
        <w:rPr>
          <w:rFonts w:ascii="Arial" w:hAnsi="Arial" w:cs="Arial"/>
          <w:color w:val="000000" w:themeColor="text1"/>
          <w:sz w:val="24"/>
          <w:szCs w:val="24"/>
        </w:rPr>
        <w:t>. Available at: https://www.e-elgar.com/shop/gbp/volatility-9781788110617.html (Accessed: 27 July 2021).</w:t>
      </w:r>
    </w:p>
    <w:p w14:paraId="4171BCA0"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Balasubramanyan, L. (2004) ‘Do Time-Varying Covariances, Volatility Comovement and Spillover Matter?’</w:t>
      </w:r>
    </w:p>
    <w:p w14:paraId="435E1AA5"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Bekaert, G., Harvey, C. R. and Ng, A. (2005) ‘Market Integration and Contagion’, </w:t>
      </w:r>
      <w:r w:rsidRPr="00B13CBE">
        <w:rPr>
          <w:rFonts w:ascii="Arial" w:hAnsi="Arial" w:cs="Arial"/>
          <w:i/>
          <w:iCs/>
          <w:color w:val="000000" w:themeColor="text1"/>
          <w:sz w:val="24"/>
          <w:szCs w:val="24"/>
        </w:rPr>
        <w:t>The Journal of Business</w:t>
      </w:r>
      <w:r w:rsidRPr="00B13CBE">
        <w:rPr>
          <w:rFonts w:ascii="Arial" w:hAnsi="Arial" w:cs="Arial"/>
          <w:color w:val="000000" w:themeColor="text1"/>
          <w:sz w:val="24"/>
          <w:szCs w:val="24"/>
        </w:rPr>
        <w:t>, 78(1), pp. 39–69. doi: 10.1086/426519.</w:t>
      </w:r>
    </w:p>
    <w:p w14:paraId="0C31019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Black, F. (1976) ‘Studies of stock market volatility changes’, </w:t>
      </w:r>
      <w:r w:rsidRPr="00B13CBE">
        <w:rPr>
          <w:rFonts w:ascii="Arial" w:hAnsi="Arial" w:cs="Arial"/>
          <w:i/>
          <w:iCs/>
          <w:color w:val="000000" w:themeColor="text1"/>
          <w:sz w:val="24"/>
          <w:szCs w:val="24"/>
        </w:rPr>
        <w:t>1976 Proceedings of the American Statistical Association Bisiness and Economic Statistics Section</w:t>
      </w:r>
      <w:r w:rsidRPr="00B13CBE">
        <w:rPr>
          <w:rFonts w:ascii="Arial" w:hAnsi="Arial" w:cs="Arial"/>
          <w:color w:val="000000" w:themeColor="text1"/>
          <w:sz w:val="24"/>
          <w:szCs w:val="24"/>
        </w:rPr>
        <w:t>. Available at: https://ci.nii.ac.jp/naid/10018822970/ (Accessed: 29 July 2021).</w:t>
      </w:r>
    </w:p>
    <w:p w14:paraId="4F16A292"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Bollerslev, T. (1987) ‘A Conditionally Heteroskedastic Time Series Model for Speculative Prices and Rates of Return’, </w:t>
      </w:r>
      <w:r w:rsidRPr="00B13CBE">
        <w:rPr>
          <w:rFonts w:ascii="Arial" w:hAnsi="Arial" w:cs="Arial"/>
          <w:i/>
          <w:iCs/>
          <w:color w:val="000000" w:themeColor="text1"/>
          <w:sz w:val="24"/>
          <w:szCs w:val="24"/>
        </w:rPr>
        <w:t>The Review of Economics and Statistics</w:t>
      </w:r>
      <w:r w:rsidRPr="00B13CBE">
        <w:rPr>
          <w:rFonts w:ascii="Arial" w:hAnsi="Arial" w:cs="Arial"/>
          <w:color w:val="000000" w:themeColor="text1"/>
          <w:sz w:val="24"/>
          <w:szCs w:val="24"/>
        </w:rPr>
        <w:t>, 69(3), pp. 542–547. doi: 10.2307/1925546.</w:t>
      </w:r>
    </w:p>
    <w:p w14:paraId="3267950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Bollerslev, T., Engle, R. F. and Nelson, D. B. (1994) ‘Chapter 49 Arch models’, in </w:t>
      </w:r>
      <w:r w:rsidRPr="00B13CBE">
        <w:rPr>
          <w:rFonts w:ascii="Arial" w:hAnsi="Arial" w:cs="Arial"/>
          <w:i/>
          <w:iCs/>
          <w:color w:val="000000" w:themeColor="text1"/>
          <w:sz w:val="24"/>
          <w:szCs w:val="24"/>
        </w:rPr>
        <w:t>Handbook of Econometrics</w:t>
      </w:r>
      <w:r w:rsidRPr="00B13CBE">
        <w:rPr>
          <w:rFonts w:ascii="Arial" w:hAnsi="Arial" w:cs="Arial"/>
          <w:color w:val="000000" w:themeColor="text1"/>
          <w:sz w:val="24"/>
          <w:szCs w:val="24"/>
        </w:rPr>
        <w:t>. Elsevier, pp. 2959–3038. doi: 10.1016/S1573-4412(05)80018-2.</w:t>
      </w:r>
    </w:p>
    <w:p w14:paraId="4ACD0D2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Brière, M., Chapelle, A. and Szafarz, A. (2012) ‘No contagion, only globalization and flight to quality’, </w:t>
      </w:r>
      <w:r w:rsidRPr="00B13CBE">
        <w:rPr>
          <w:rFonts w:ascii="Arial" w:hAnsi="Arial" w:cs="Arial"/>
          <w:i/>
          <w:iCs/>
          <w:color w:val="000000" w:themeColor="text1"/>
          <w:sz w:val="24"/>
          <w:szCs w:val="24"/>
        </w:rPr>
        <w:t>Journal of International Money and Finance</w:t>
      </w:r>
      <w:r w:rsidRPr="00B13CBE">
        <w:rPr>
          <w:rFonts w:ascii="Arial" w:hAnsi="Arial" w:cs="Arial"/>
          <w:color w:val="000000" w:themeColor="text1"/>
          <w:sz w:val="24"/>
          <w:szCs w:val="24"/>
        </w:rPr>
        <w:t>, 31(6), pp. 1729–1744. doi: 10.1016/j.jimonfin.2012.03.010.</w:t>
      </w:r>
    </w:p>
    <w:p w14:paraId="377E6251"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Calvo, G. A. (1998) </w:t>
      </w:r>
      <w:r w:rsidRPr="00B13CBE">
        <w:rPr>
          <w:rFonts w:ascii="Arial" w:hAnsi="Arial" w:cs="Arial"/>
          <w:i/>
          <w:iCs/>
          <w:color w:val="000000" w:themeColor="text1"/>
          <w:sz w:val="24"/>
          <w:szCs w:val="24"/>
        </w:rPr>
        <w:t>CAPITAL FLOWS AND CAPITAL-MARKET CRISES: The Simple Economics of Sudden Stops: Journal of Applied Economics: Vol 1, No 1</w:t>
      </w:r>
      <w:r w:rsidRPr="00B13CBE">
        <w:rPr>
          <w:rFonts w:ascii="Arial" w:hAnsi="Arial" w:cs="Arial"/>
          <w:color w:val="000000" w:themeColor="text1"/>
          <w:sz w:val="24"/>
          <w:szCs w:val="24"/>
        </w:rPr>
        <w:t>. Available at: https://www.tandfonline.com/doi/abs/10.1080/15140326.1998.12040516 (Accessed: 31 July 2021).</w:t>
      </w:r>
    </w:p>
    <w:p w14:paraId="068E8C6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Calvo, G. A. and Mendoza, E. G. (2000) ‘Rational contagion and the globalization of securities markets’, </w:t>
      </w:r>
      <w:r w:rsidRPr="00B13CBE">
        <w:rPr>
          <w:rFonts w:ascii="Arial" w:hAnsi="Arial" w:cs="Arial"/>
          <w:i/>
          <w:iCs/>
          <w:color w:val="000000" w:themeColor="text1"/>
          <w:sz w:val="24"/>
          <w:szCs w:val="24"/>
        </w:rPr>
        <w:t>Journal of International Economics</w:t>
      </w:r>
      <w:r w:rsidRPr="00B13CBE">
        <w:rPr>
          <w:rFonts w:ascii="Arial" w:hAnsi="Arial" w:cs="Arial"/>
          <w:color w:val="000000" w:themeColor="text1"/>
          <w:sz w:val="24"/>
          <w:szCs w:val="24"/>
        </w:rPr>
        <w:t>, 51(1), pp. 79–113. doi: 10.1016/S0022-1996(99)00038-0.</w:t>
      </w:r>
    </w:p>
    <w:p w14:paraId="25AD1021"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Dowd, K. (2002) ‘An Introduction to Market Risk Measurement’.</w:t>
      </w:r>
    </w:p>
    <w:p w14:paraId="7B508B1D"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Engle, R. (2002) ‘Dynamic Conditional Correlation: A Simple Class of Multivariate Generalized Autoregressive Conditional Heteroskedasticity Models’, </w:t>
      </w:r>
      <w:r w:rsidRPr="00B13CBE">
        <w:rPr>
          <w:rFonts w:ascii="Arial" w:hAnsi="Arial" w:cs="Arial"/>
          <w:i/>
          <w:iCs/>
          <w:color w:val="000000" w:themeColor="text1"/>
          <w:sz w:val="24"/>
          <w:szCs w:val="24"/>
        </w:rPr>
        <w:t>Journal of Business &amp; Economic Statistics</w:t>
      </w:r>
      <w:r w:rsidRPr="00B13CBE">
        <w:rPr>
          <w:rFonts w:ascii="Arial" w:hAnsi="Arial" w:cs="Arial"/>
          <w:color w:val="000000" w:themeColor="text1"/>
          <w:sz w:val="24"/>
          <w:szCs w:val="24"/>
        </w:rPr>
        <w:t>, 20(3), pp. 339–350.</w:t>
      </w:r>
    </w:p>
    <w:p w14:paraId="5BF5E28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Engle, R. F. and Susmel, R. (1993) ‘Common Volatility in International Equity Markets’, </w:t>
      </w:r>
      <w:r w:rsidRPr="00B13CBE">
        <w:rPr>
          <w:rFonts w:ascii="Arial" w:hAnsi="Arial" w:cs="Arial"/>
          <w:i/>
          <w:iCs/>
          <w:color w:val="000000" w:themeColor="text1"/>
          <w:sz w:val="24"/>
          <w:szCs w:val="24"/>
        </w:rPr>
        <w:t>Journal of Business &amp; Economic Statistics</w:t>
      </w:r>
      <w:r w:rsidRPr="00B13CBE">
        <w:rPr>
          <w:rFonts w:ascii="Arial" w:hAnsi="Arial" w:cs="Arial"/>
          <w:color w:val="000000" w:themeColor="text1"/>
          <w:sz w:val="24"/>
          <w:szCs w:val="24"/>
        </w:rPr>
        <w:t>, 11(2), pp. 167–176. doi: 10.2307/1391368.</w:t>
      </w:r>
    </w:p>
    <w:p w14:paraId="03002CCA"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Erb, C. B., Harvey, C. R. and Viskanta, T. E. (1994) ‘Forecasting International Equity Correlations’, </w:t>
      </w:r>
      <w:r w:rsidRPr="00B13CBE">
        <w:rPr>
          <w:rFonts w:ascii="Arial" w:hAnsi="Arial" w:cs="Arial"/>
          <w:i/>
          <w:iCs/>
          <w:color w:val="000000" w:themeColor="text1"/>
          <w:sz w:val="24"/>
          <w:szCs w:val="24"/>
        </w:rPr>
        <w:t>Financial Analysts Journal</w:t>
      </w:r>
      <w:r w:rsidRPr="00B13CBE">
        <w:rPr>
          <w:rFonts w:ascii="Arial" w:hAnsi="Arial" w:cs="Arial"/>
          <w:color w:val="000000" w:themeColor="text1"/>
          <w:sz w:val="24"/>
          <w:szCs w:val="24"/>
        </w:rPr>
        <w:t>, 50(6), pp. 32–45. doi: 10.2469/faj.v50.n6.32.</w:t>
      </w:r>
    </w:p>
    <w:p w14:paraId="38C2E965"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Fishburn, P. C. (1977) ‘Mean-Risk Analysis with Risk Associated with Below-Target Returns’, </w:t>
      </w:r>
      <w:r w:rsidRPr="00B13CBE">
        <w:rPr>
          <w:rFonts w:ascii="Arial" w:hAnsi="Arial" w:cs="Arial"/>
          <w:i/>
          <w:iCs/>
          <w:color w:val="000000" w:themeColor="text1"/>
          <w:sz w:val="24"/>
          <w:szCs w:val="24"/>
        </w:rPr>
        <w:t>The American Economic Review</w:t>
      </w:r>
      <w:r w:rsidRPr="00B13CBE">
        <w:rPr>
          <w:rFonts w:ascii="Arial" w:hAnsi="Arial" w:cs="Arial"/>
          <w:color w:val="000000" w:themeColor="text1"/>
          <w:sz w:val="24"/>
          <w:szCs w:val="24"/>
        </w:rPr>
        <w:t>, 67(2), pp. 116–126.</w:t>
      </w:r>
    </w:p>
    <w:p w14:paraId="2880A162"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Forbes, K. J. and Rigobon, R. (2002) ‘No Contagion, Only Interdependence: Measuring Stock Market Comovements’, </w:t>
      </w:r>
      <w:r w:rsidRPr="00B13CBE">
        <w:rPr>
          <w:rFonts w:ascii="Arial" w:hAnsi="Arial" w:cs="Arial"/>
          <w:i/>
          <w:iCs/>
          <w:color w:val="000000" w:themeColor="text1"/>
          <w:sz w:val="24"/>
          <w:szCs w:val="24"/>
        </w:rPr>
        <w:t>The Journal of Finance</w:t>
      </w:r>
      <w:r w:rsidRPr="00B13CBE">
        <w:rPr>
          <w:rFonts w:ascii="Arial" w:hAnsi="Arial" w:cs="Arial"/>
          <w:color w:val="000000" w:themeColor="text1"/>
          <w:sz w:val="24"/>
          <w:szCs w:val="24"/>
        </w:rPr>
        <w:t>, 57(5), pp. 2223–2261.</w:t>
      </w:r>
    </w:p>
    <w:p w14:paraId="69BC0756"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Grubel, H. G. (1968) ‘Internationally Diversified Portfolios: Welfare Gains and Capital Flows’, </w:t>
      </w:r>
      <w:r w:rsidRPr="00B13CBE">
        <w:rPr>
          <w:rFonts w:ascii="Arial" w:hAnsi="Arial" w:cs="Arial"/>
          <w:i/>
          <w:iCs/>
          <w:color w:val="000000" w:themeColor="text1"/>
          <w:sz w:val="24"/>
          <w:szCs w:val="24"/>
        </w:rPr>
        <w:t>The American Economic Review</w:t>
      </w:r>
      <w:r w:rsidRPr="00B13CBE">
        <w:rPr>
          <w:rFonts w:ascii="Arial" w:hAnsi="Arial" w:cs="Arial"/>
          <w:color w:val="000000" w:themeColor="text1"/>
          <w:sz w:val="24"/>
          <w:szCs w:val="24"/>
        </w:rPr>
        <w:t>, 58(5), pp. 1299–1314.</w:t>
      </w:r>
    </w:p>
    <w:p w14:paraId="6D726D2B"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Guégan, D. and Hassani, B. (2019) </w:t>
      </w:r>
      <w:r w:rsidRPr="00B13CBE">
        <w:rPr>
          <w:rFonts w:ascii="Arial" w:hAnsi="Arial" w:cs="Arial"/>
          <w:i/>
          <w:iCs/>
          <w:color w:val="000000" w:themeColor="text1"/>
          <w:sz w:val="24"/>
          <w:szCs w:val="24"/>
        </w:rPr>
        <w:t>Risk Measurement - From Quantitative Measures to Management Decisions</w:t>
      </w:r>
      <w:r w:rsidRPr="00B13CBE">
        <w:rPr>
          <w:rFonts w:ascii="Arial" w:hAnsi="Arial" w:cs="Arial"/>
          <w:color w:val="000000" w:themeColor="text1"/>
          <w:sz w:val="24"/>
          <w:szCs w:val="24"/>
        </w:rPr>
        <w:t>. Available at: https://www.springer.com/gp/book/9783030026790 (Accessed: 29 July 2021).</w:t>
      </w:r>
    </w:p>
    <w:p w14:paraId="59D2FF48"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Harlow, W. V. (1991) ‘Asset Allocation in a Downside-Risk Framework’, </w:t>
      </w:r>
      <w:r w:rsidRPr="00B13CBE">
        <w:rPr>
          <w:rFonts w:ascii="Arial" w:hAnsi="Arial" w:cs="Arial"/>
          <w:i/>
          <w:iCs/>
          <w:color w:val="000000" w:themeColor="text1"/>
          <w:sz w:val="24"/>
          <w:szCs w:val="24"/>
        </w:rPr>
        <w:t>Financial Analysts Journal</w:t>
      </w:r>
      <w:r w:rsidRPr="00B13CBE">
        <w:rPr>
          <w:rFonts w:ascii="Arial" w:hAnsi="Arial" w:cs="Arial"/>
          <w:color w:val="000000" w:themeColor="text1"/>
          <w:sz w:val="24"/>
          <w:szCs w:val="24"/>
        </w:rPr>
        <w:t>, 47(5), pp. 28–40. doi: 10.2469/faj.v47.n5.28.</w:t>
      </w:r>
    </w:p>
    <w:p w14:paraId="0E986652"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Hong, Y. (2001) ‘A test for volatility spillover with application to exchange rates’, </w:t>
      </w:r>
      <w:r w:rsidRPr="00B13CBE">
        <w:rPr>
          <w:rFonts w:ascii="Arial" w:hAnsi="Arial" w:cs="Arial"/>
          <w:i/>
          <w:iCs/>
          <w:color w:val="000000" w:themeColor="text1"/>
          <w:sz w:val="24"/>
          <w:szCs w:val="24"/>
        </w:rPr>
        <w:t>Journal of Econometrics</w:t>
      </w:r>
      <w:r w:rsidRPr="00B13CBE">
        <w:rPr>
          <w:rFonts w:ascii="Arial" w:hAnsi="Arial" w:cs="Arial"/>
          <w:color w:val="000000" w:themeColor="text1"/>
          <w:sz w:val="24"/>
          <w:szCs w:val="24"/>
        </w:rPr>
        <w:t>, 103(1), pp. 183–224. doi: 10.1016/S0304-4076(01)00043-4.</w:t>
      </w:r>
    </w:p>
    <w:p w14:paraId="079A0041"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Hull, J. (2012) </w:t>
      </w:r>
      <w:r w:rsidRPr="00B13CBE">
        <w:rPr>
          <w:rFonts w:ascii="Arial" w:hAnsi="Arial" w:cs="Arial"/>
          <w:i/>
          <w:iCs/>
          <w:color w:val="000000" w:themeColor="text1"/>
          <w:sz w:val="24"/>
          <w:szCs w:val="24"/>
        </w:rPr>
        <w:t>Risk Management and Financial Institutions, + Web Site</w:t>
      </w:r>
      <w:r w:rsidRPr="00B13CBE">
        <w:rPr>
          <w:rFonts w:ascii="Arial" w:hAnsi="Arial" w:cs="Arial"/>
          <w:color w:val="000000" w:themeColor="text1"/>
          <w:sz w:val="24"/>
          <w:szCs w:val="24"/>
        </w:rPr>
        <w:t>. John Wiley &amp; Sons.</w:t>
      </w:r>
    </w:p>
    <w:p w14:paraId="3A087463"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Kalotychou, E. and Staikouras, S. (2009) ‘■ An Overview of the Issues Surrounding Stock Market Volatility’, in </w:t>
      </w:r>
      <w:r w:rsidRPr="00B13CBE">
        <w:rPr>
          <w:rFonts w:ascii="Arial" w:hAnsi="Arial" w:cs="Arial"/>
          <w:i/>
          <w:iCs/>
          <w:color w:val="000000" w:themeColor="text1"/>
          <w:sz w:val="24"/>
          <w:szCs w:val="24"/>
        </w:rPr>
        <w:t>Stock Market Volatility</w:t>
      </w:r>
      <w:r w:rsidRPr="00B13CBE">
        <w:rPr>
          <w:rFonts w:ascii="Arial" w:hAnsi="Arial" w:cs="Arial"/>
          <w:color w:val="000000" w:themeColor="text1"/>
          <w:sz w:val="24"/>
          <w:szCs w:val="24"/>
        </w:rPr>
        <w:t>. Chapman and Hall/CRC.</w:t>
      </w:r>
    </w:p>
    <w:p w14:paraId="7165CB56"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Kaminsky, G. L., Reinhart, C. M. and Végh, C. A. (2003) ‘The Unholy Trinity of Financial Contagion’, </w:t>
      </w:r>
      <w:r w:rsidRPr="00B13CBE">
        <w:rPr>
          <w:rFonts w:ascii="Arial" w:hAnsi="Arial" w:cs="Arial"/>
          <w:i/>
          <w:iCs/>
          <w:color w:val="000000" w:themeColor="text1"/>
          <w:sz w:val="24"/>
          <w:szCs w:val="24"/>
        </w:rPr>
        <w:t>Journal of Economic Perspectives</w:t>
      </w:r>
      <w:r w:rsidRPr="00B13CBE">
        <w:rPr>
          <w:rFonts w:ascii="Arial" w:hAnsi="Arial" w:cs="Arial"/>
          <w:color w:val="000000" w:themeColor="text1"/>
          <w:sz w:val="24"/>
          <w:szCs w:val="24"/>
        </w:rPr>
        <w:t>, 17(4), pp. 51–74. doi: 10.1257/089533003772034899.</w:t>
      </w:r>
    </w:p>
    <w:p w14:paraId="6936861F"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Karolyi, G. A. and Stulz, R. M. (1996) ‘Why Do Markets Move Together? An Investigation of U.S.-Japan Stock Return Comovements’, </w:t>
      </w:r>
      <w:r w:rsidRPr="00B13CBE">
        <w:rPr>
          <w:rFonts w:ascii="Arial" w:hAnsi="Arial" w:cs="Arial"/>
          <w:i/>
          <w:iCs/>
          <w:color w:val="000000" w:themeColor="text1"/>
          <w:sz w:val="24"/>
          <w:szCs w:val="24"/>
        </w:rPr>
        <w:t>The Journal of Finance</w:t>
      </w:r>
      <w:r w:rsidRPr="00B13CBE">
        <w:rPr>
          <w:rFonts w:ascii="Arial" w:hAnsi="Arial" w:cs="Arial"/>
          <w:color w:val="000000" w:themeColor="text1"/>
          <w:sz w:val="24"/>
          <w:szCs w:val="24"/>
        </w:rPr>
        <w:t>, 51(3), pp. 951–986. doi: 10.2307/2329228.</w:t>
      </w:r>
    </w:p>
    <w:p w14:paraId="6BC4320B"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King, M. A. and Wadhwani, S. (1990) ‘Transmission of Volatility between Stock Markets’, </w:t>
      </w:r>
      <w:r w:rsidRPr="00B13CBE">
        <w:rPr>
          <w:rFonts w:ascii="Arial" w:hAnsi="Arial" w:cs="Arial"/>
          <w:i/>
          <w:iCs/>
          <w:color w:val="000000" w:themeColor="text1"/>
          <w:sz w:val="24"/>
          <w:szCs w:val="24"/>
        </w:rPr>
        <w:t>The Review of Financial Studies</w:t>
      </w:r>
      <w:r w:rsidRPr="00B13CBE">
        <w:rPr>
          <w:rFonts w:ascii="Arial" w:hAnsi="Arial" w:cs="Arial"/>
          <w:color w:val="000000" w:themeColor="text1"/>
          <w:sz w:val="24"/>
          <w:szCs w:val="24"/>
        </w:rPr>
        <w:t>, 3(1), pp. 5–33.</w:t>
      </w:r>
    </w:p>
    <w:p w14:paraId="60C0C794"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Kodres, L. E. and Pritsker, M. (2002) ‘A Rational Expectations Model of Financial Contagion’, </w:t>
      </w:r>
      <w:r w:rsidRPr="00B13CBE">
        <w:rPr>
          <w:rFonts w:ascii="Arial" w:hAnsi="Arial" w:cs="Arial"/>
          <w:i/>
          <w:iCs/>
          <w:color w:val="000000" w:themeColor="text1"/>
          <w:sz w:val="24"/>
          <w:szCs w:val="24"/>
        </w:rPr>
        <w:t>The Journal of Finance</w:t>
      </w:r>
      <w:r w:rsidRPr="00B13CBE">
        <w:rPr>
          <w:rFonts w:ascii="Arial" w:hAnsi="Arial" w:cs="Arial"/>
          <w:color w:val="000000" w:themeColor="text1"/>
          <w:sz w:val="24"/>
          <w:szCs w:val="24"/>
        </w:rPr>
        <w:t>, 57(2), pp. 769–799. doi: 10.1111/1540-6261.00441.</w:t>
      </w:r>
    </w:p>
    <w:p w14:paraId="5EB57512"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LeBaron, B. (1992) ‘Some Relations Between Volatility and Serial Correlations in Stock Market Returns’, </w:t>
      </w:r>
      <w:r w:rsidRPr="00B13CBE">
        <w:rPr>
          <w:rFonts w:ascii="Arial" w:hAnsi="Arial" w:cs="Arial"/>
          <w:i/>
          <w:iCs/>
          <w:color w:val="000000" w:themeColor="text1"/>
          <w:sz w:val="24"/>
          <w:szCs w:val="24"/>
        </w:rPr>
        <w:t>The Journal of Business</w:t>
      </w:r>
      <w:r w:rsidRPr="00B13CBE">
        <w:rPr>
          <w:rFonts w:ascii="Arial" w:hAnsi="Arial" w:cs="Arial"/>
          <w:color w:val="000000" w:themeColor="text1"/>
          <w:sz w:val="24"/>
          <w:szCs w:val="24"/>
        </w:rPr>
        <w:t>, 65(2), pp. 199–219.</w:t>
      </w:r>
    </w:p>
    <w:p w14:paraId="72591A7D"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Longin, F. and Solnik, B. (1995) ‘Is the correlation in international equity returns constant: 1960–1990?’, </w:t>
      </w:r>
      <w:r w:rsidRPr="00B13CBE">
        <w:rPr>
          <w:rFonts w:ascii="Arial" w:hAnsi="Arial" w:cs="Arial"/>
          <w:i/>
          <w:iCs/>
          <w:color w:val="000000" w:themeColor="text1"/>
          <w:sz w:val="24"/>
          <w:szCs w:val="24"/>
        </w:rPr>
        <w:t>Journal of International Money and Finance</w:t>
      </w:r>
      <w:r w:rsidRPr="00B13CBE">
        <w:rPr>
          <w:rFonts w:ascii="Arial" w:hAnsi="Arial" w:cs="Arial"/>
          <w:color w:val="000000" w:themeColor="text1"/>
          <w:sz w:val="24"/>
          <w:szCs w:val="24"/>
        </w:rPr>
        <w:t>, 14(1), pp. 3–26. doi: 10.1016/0261-5606(94)00001-H.</w:t>
      </w:r>
    </w:p>
    <w:p w14:paraId="5F5A1D4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Mandelbrot, B. B. (1963) ‘The variation of certain speculative prices’, in Mandelbrot, B. B. (ed.) </w:t>
      </w:r>
      <w:r w:rsidRPr="00B13CBE">
        <w:rPr>
          <w:rFonts w:ascii="Arial" w:hAnsi="Arial" w:cs="Arial"/>
          <w:i/>
          <w:iCs/>
          <w:color w:val="000000" w:themeColor="text1"/>
          <w:sz w:val="24"/>
          <w:szCs w:val="24"/>
        </w:rPr>
        <w:t xml:space="preserve">Fractals and Scaling in Finance: Discontinuity, </w:t>
      </w:r>
      <w:r w:rsidRPr="00B13CBE">
        <w:rPr>
          <w:rFonts w:ascii="Arial" w:hAnsi="Arial" w:cs="Arial"/>
          <w:i/>
          <w:iCs/>
          <w:color w:val="000000" w:themeColor="text1"/>
          <w:sz w:val="24"/>
          <w:szCs w:val="24"/>
        </w:rPr>
        <w:lastRenderedPageBreak/>
        <w:t>Concentration, Risk. Selecta Volume E</w:t>
      </w:r>
      <w:r w:rsidRPr="00B13CBE">
        <w:rPr>
          <w:rFonts w:ascii="Arial" w:hAnsi="Arial" w:cs="Arial"/>
          <w:color w:val="000000" w:themeColor="text1"/>
          <w:sz w:val="24"/>
          <w:szCs w:val="24"/>
        </w:rPr>
        <w:t>. New York, NY: Springer, pp. 371–418. doi: 10.1007/978-1-4757-2763-0_14.</w:t>
      </w:r>
    </w:p>
    <w:p w14:paraId="1F220DFA"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Markowitz, H. (1959) ‘Portfolio Selection’, </w:t>
      </w:r>
      <w:r w:rsidRPr="00B13CBE">
        <w:rPr>
          <w:rFonts w:ascii="Arial" w:hAnsi="Arial" w:cs="Arial"/>
          <w:i/>
          <w:iCs/>
          <w:color w:val="000000" w:themeColor="text1"/>
          <w:sz w:val="24"/>
          <w:szCs w:val="24"/>
        </w:rPr>
        <w:t>The Journal of Finance</w:t>
      </w:r>
      <w:r w:rsidRPr="00B13CBE">
        <w:rPr>
          <w:rFonts w:ascii="Arial" w:hAnsi="Arial" w:cs="Arial"/>
          <w:color w:val="000000" w:themeColor="text1"/>
          <w:sz w:val="24"/>
          <w:szCs w:val="24"/>
        </w:rPr>
        <w:t>, 7(1), pp. 77–91.</w:t>
      </w:r>
    </w:p>
    <w:p w14:paraId="787EF9D9"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Mullainathan, S. (2002) ‘A Memory-Based Model of Bounded Rationality*’, </w:t>
      </w:r>
      <w:r w:rsidRPr="00B13CBE">
        <w:rPr>
          <w:rFonts w:ascii="Arial" w:hAnsi="Arial" w:cs="Arial"/>
          <w:i/>
          <w:iCs/>
          <w:color w:val="000000" w:themeColor="text1"/>
          <w:sz w:val="24"/>
          <w:szCs w:val="24"/>
        </w:rPr>
        <w:t>The Quarterly Journal of Economics</w:t>
      </w:r>
      <w:r w:rsidRPr="00B13CBE">
        <w:rPr>
          <w:rFonts w:ascii="Arial" w:hAnsi="Arial" w:cs="Arial"/>
          <w:color w:val="000000" w:themeColor="text1"/>
          <w:sz w:val="24"/>
          <w:szCs w:val="24"/>
        </w:rPr>
        <w:t>, 117(3), pp. 735–774. doi: 10.1162/003355302760193887.</w:t>
      </w:r>
    </w:p>
    <w:p w14:paraId="3A43E55B"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Natarajan, V. K., Robert Raja Singh, A. and Chidham Priya, N. (2014) ‘Examining mean-volatility spillovers across national stock markets’, </w:t>
      </w:r>
      <w:r w:rsidRPr="00B13CBE">
        <w:rPr>
          <w:rFonts w:ascii="Arial" w:hAnsi="Arial" w:cs="Arial"/>
          <w:i/>
          <w:iCs/>
          <w:color w:val="000000" w:themeColor="text1"/>
          <w:sz w:val="24"/>
          <w:szCs w:val="24"/>
        </w:rPr>
        <w:t>Journal of Economics Finance and Administrative Science</w:t>
      </w:r>
      <w:r w:rsidRPr="00B13CBE">
        <w:rPr>
          <w:rFonts w:ascii="Arial" w:hAnsi="Arial" w:cs="Arial"/>
          <w:color w:val="000000" w:themeColor="text1"/>
          <w:sz w:val="24"/>
          <w:szCs w:val="24"/>
        </w:rPr>
        <w:t>, 19(36), pp. 55–62. doi: 10.1016/j.jefas.2014.01.001.</w:t>
      </w:r>
    </w:p>
    <w:p w14:paraId="59C2A0B6"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Orskaug, E. (2009) ‘Multivariate DCC-GARCH Model: -With Various Error Distributions’, </w:t>
      </w:r>
      <w:r w:rsidRPr="00B13CBE">
        <w:rPr>
          <w:rFonts w:ascii="Arial" w:hAnsi="Arial" w:cs="Arial"/>
          <w:i/>
          <w:iCs/>
          <w:color w:val="000000" w:themeColor="text1"/>
          <w:sz w:val="24"/>
          <w:szCs w:val="24"/>
        </w:rPr>
        <w:t>84</w:t>
      </w:r>
      <w:r w:rsidRPr="00B13CBE">
        <w:rPr>
          <w:rFonts w:ascii="Arial" w:hAnsi="Arial" w:cs="Arial"/>
          <w:color w:val="000000" w:themeColor="text1"/>
          <w:sz w:val="24"/>
          <w:szCs w:val="24"/>
        </w:rPr>
        <w:t>. Available at: https://ntnuopen.ntnu.no/ntnu-xmlui/handle/11250/259296 (Accessed: 7 August 2021).</w:t>
      </w:r>
    </w:p>
    <w:p w14:paraId="1A9C38FE"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Poterba, J. M. and Summers, L. H. (1986) ‘The Persistence of Volatility and Stock Market Fluctuations’, </w:t>
      </w:r>
      <w:r w:rsidRPr="00B13CBE">
        <w:rPr>
          <w:rFonts w:ascii="Arial" w:hAnsi="Arial" w:cs="Arial"/>
          <w:i/>
          <w:iCs/>
          <w:color w:val="000000" w:themeColor="text1"/>
          <w:sz w:val="24"/>
          <w:szCs w:val="24"/>
        </w:rPr>
        <w:t>The American Economic Review</w:t>
      </w:r>
      <w:r w:rsidRPr="00B13CBE">
        <w:rPr>
          <w:rFonts w:ascii="Arial" w:hAnsi="Arial" w:cs="Arial"/>
          <w:color w:val="000000" w:themeColor="text1"/>
          <w:sz w:val="24"/>
          <w:szCs w:val="24"/>
        </w:rPr>
        <w:t>, 76(5), pp. 1142–1151.</w:t>
      </w:r>
    </w:p>
    <w:p w14:paraId="764317B3"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Ramchand, L. and Susmel, R. (1998) ‘Volatility and cross correlation across major stock markets’, </w:t>
      </w:r>
      <w:r w:rsidRPr="00B13CBE">
        <w:rPr>
          <w:rFonts w:ascii="Arial" w:hAnsi="Arial" w:cs="Arial"/>
          <w:i/>
          <w:iCs/>
          <w:color w:val="000000" w:themeColor="text1"/>
          <w:sz w:val="24"/>
          <w:szCs w:val="24"/>
        </w:rPr>
        <w:t>Journal of Empirical Finance</w:t>
      </w:r>
      <w:r w:rsidRPr="00B13CBE">
        <w:rPr>
          <w:rFonts w:ascii="Arial" w:hAnsi="Arial" w:cs="Arial"/>
          <w:color w:val="000000" w:themeColor="text1"/>
          <w:sz w:val="24"/>
          <w:szCs w:val="24"/>
        </w:rPr>
        <w:t>, 5(4), pp. 397–416. doi: 10.1016/S0927-5398(98)00003-6.</w:t>
      </w:r>
    </w:p>
    <w:p w14:paraId="06F12D69"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Schwert, G. W. (1990) ‘Stock Market Volatility’, </w:t>
      </w:r>
      <w:r w:rsidRPr="00B13CBE">
        <w:rPr>
          <w:rFonts w:ascii="Arial" w:hAnsi="Arial" w:cs="Arial"/>
          <w:i/>
          <w:iCs/>
          <w:color w:val="000000" w:themeColor="text1"/>
          <w:sz w:val="24"/>
          <w:szCs w:val="24"/>
        </w:rPr>
        <w:t>Financial Analysts Journal</w:t>
      </w:r>
      <w:r w:rsidRPr="00B13CBE">
        <w:rPr>
          <w:rFonts w:ascii="Arial" w:hAnsi="Arial" w:cs="Arial"/>
          <w:color w:val="000000" w:themeColor="text1"/>
          <w:sz w:val="24"/>
          <w:szCs w:val="24"/>
        </w:rPr>
        <w:t>, 46(3), pp. 23–34. doi: 10.2469/faj.v46.n3.23.</w:t>
      </w:r>
    </w:p>
    <w:p w14:paraId="6D67C08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lastRenderedPageBreak/>
        <w:t xml:space="preserve">Schwert, G. W. and Seguin, P. J. (1990) ‘Heteroskedasticity in Stock Returns’, </w:t>
      </w:r>
      <w:r w:rsidRPr="00B13CBE">
        <w:rPr>
          <w:rFonts w:ascii="Arial" w:hAnsi="Arial" w:cs="Arial"/>
          <w:i/>
          <w:iCs/>
          <w:color w:val="000000" w:themeColor="text1"/>
          <w:sz w:val="24"/>
          <w:szCs w:val="24"/>
        </w:rPr>
        <w:t>The Journal of Finance</w:t>
      </w:r>
      <w:r w:rsidRPr="00B13CBE">
        <w:rPr>
          <w:rFonts w:ascii="Arial" w:hAnsi="Arial" w:cs="Arial"/>
          <w:color w:val="000000" w:themeColor="text1"/>
          <w:sz w:val="24"/>
          <w:szCs w:val="24"/>
        </w:rPr>
        <w:t>, 45(4), pp. 1129–1155. doi: 10.1111/j.1540-6261.1990.tb02430.x.</w:t>
      </w:r>
    </w:p>
    <w:p w14:paraId="4051DB67"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Sharpe, W. F. (1992) ‘7/9/2002 Asset Allocation: Management Style and Performance Measurement’.</w:t>
      </w:r>
    </w:p>
    <w:p w14:paraId="1F5AC8AD"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Sheppard, K. (2003) </w:t>
      </w:r>
      <w:r w:rsidRPr="00B13CBE">
        <w:rPr>
          <w:rFonts w:ascii="Arial" w:hAnsi="Arial" w:cs="Arial"/>
          <w:i/>
          <w:iCs/>
          <w:color w:val="000000" w:themeColor="text1"/>
          <w:sz w:val="24"/>
          <w:szCs w:val="24"/>
        </w:rPr>
        <w:t>Multi-step estimation of Multivariate GARCH models</w:t>
      </w:r>
      <w:r w:rsidRPr="00B13CBE">
        <w:rPr>
          <w:rFonts w:ascii="Arial" w:hAnsi="Arial" w:cs="Arial"/>
          <w:color w:val="000000" w:themeColor="text1"/>
          <w:sz w:val="24"/>
          <w:szCs w:val="24"/>
        </w:rPr>
        <w:t>. Available at: https://www.semanticscholar.org/paper/Multi-step-estimation-of-Multivariate-GARCH-models-Sheppard/f14dfb0c1549ad0a2e767637ef1241753a40e349 (Accessed: 23 July 2021).</w:t>
      </w:r>
    </w:p>
    <w:p w14:paraId="78D1488C"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Skintzi, V. D. and Refenes, A. N. (2006) ‘Volatility spillovers and dynamic correlation in European bond markets’, </w:t>
      </w:r>
      <w:r w:rsidRPr="00B13CBE">
        <w:rPr>
          <w:rFonts w:ascii="Arial" w:hAnsi="Arial" w:cs="Arial"/>
          <w:i/>
          <w:iCs/>
          <w:color w:val="000000" w:themeColor="text1"/>
          <w:sz w:val="24"/>
          <w:szCs w:val="24"/>
        </w:rPr>
        <w:t>Journal of International Financial Markets, Institutions and Money</w:t>
      </w:r>
      <w:r w:rsidRPr="00B13CBE">
        <w:rPr>
          <w:rFonts w:ascii="Arial" w:hAnsi="Arial" w:cs="Arial"/>
          <w:color w:val="000000" w:themeColor="text1"/>
          <w:sz w:val="24"/>
          <w:szCs w:val="24"/>
        </w:rPr>
        <w:t>, 16(1), pp. 23–40. doi: 10.1016/j.intfin.2004.12.003.</w:t>
      </w:r>
    </w:p>
    <w:p w14:paraId="0FD90971"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Solnik, B., Buocrelle, C. and Le Fur, Y. (1996) </w:t>
      </w:r>
      <w:r w:rsidRPr="00B13CBE">
        <w:rPr>
          <w:rFonts w:ascii="Arial" w:hAnsi="Arial" w:cs="Arial"/>
          <w:i/>
          <w:iCs/>
          <w:color w:val="000000" w:themeColor="text1"/>
          <w:sz w:val="24"/>
          <w:szCs w:val="24"/>
        </w:rPr>
        <w:t>International Market Correlation and Volatility: Financial Analysts Journal: Vol 52, No 5</w:t>
      </w:r>
      <w:r w:rsidRPr="00B13CBE">
        <w:rPr>
          <w:rFonts w:ascii="Arial" w:hAnsi="Arial" w:cs="Arial"/>
          <w:color w:val="000000" w:themeColor="text1"/>
          <w:sz w:val="24"/>
          <w:szCs w:val="24"/>
        </w:rPr>
        <w:t>. Available at: https://www.tandfonline.com/doi/abs/10.2469/faj.v52.n5.2021 (Accessed: 23 July 2021).</w:t>
      </w:r>
    </w:p>
    <w:p w14:paraId="144BDACB"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Stewart, S. D., Piros, C. D. and Heisler, J. C. (2019) </w:t>
      </w:r>
      <w:r w:rsidRPr="00B13CBE">
        <w:rPr>
          <w:rFonts w:ascii="Arial" w:hAnsi="Arial" w:cs="Arial"/>
          <w:i/>
          <w:iCs/>
          <w:color w:val="000000" w:themeColor="text1"/>
          <w:sz w:val="24"/>
          <w:szCs w:val="24"/>
        </w:rPr>
        <w:t>Portfolio Management: Theory and Practice</w:t>
      </w:r>
      <w:r w:rsidRPr="00B13CBE">
        <w:rPr>
          <w:rFonts w:ascii="Arial" w:hAnsi="Arial" w:cs="Arial"/>
          <w:color w:val="000000" w:themeColor="text1"/>
          <w:sz w:val="24"/>
          <w:szCs w:val="24"/>
        </w:rPr>
        <w:t>. Available at: https://books.google.co.ke/books?hl=en&amp;lr=&amp;id=4PyGDwAAQBAJ&amp;oi=fnd&amp;pg=PR9&amp;dq=portfolio+management+theory+and+practice&amp;ots=p7_9NlX0T5&amp;sig=5P4</w:t>
      </w:r>
      <w:r w:rsidRPr="00B13CBE">
        <w:rPr>
          <w:rFonts w:ascii="Arial" w:hAnsi="Arial" w:cs="Arial"/>
          <w:color w:val="000000" w:themeColor="text1"/>
          <w:sz w:val="24"/>
          <w:szCs w:val="24"/>
        </w:rPr>
        <w:lastRenderedPageBreak/>
        <w:t>DcWlMSRrRF4Okl_16BZn-RfA&amp;redir_esc=y#v=onepage&amp;q=portfolio%20management%20theory%20and%20practice&amp;f=false (Accessed: 29 August 2021).</w:t>
      </w:r>
    </w:p>
    <w:p w14:paraId="3D154DB3"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Sukcharoen, K. and Leatham, D. J. (2017) ‘Hedging downside risk of oil refineries: A vine copula approach’, </w:t>
      </w:r>
      <w:r w:rsidRPr="00B13CBE">
        <w:rPr>
          <w:rFonts w:ascii="Arial" w:hAnsi="Arial" w:cs="Arial"/>
          <w:i/>
          <w:iCs/>
          <w:color w:val="000000" w:themeColor="text1"/>
          <w:sz w:val="24"/>
          <w:szCs w:val="24"/>
        </w:rPr>
        <w:t>Energy Economics</w:t>
      </w:r>
      <w:r w:rsidRPr="00B13CBE">
        <w:rPr>
          <w:rFonts w:ascii="Arial" w:hAnsi="Arial" w:cs="Arial"/>
          <w:color w:val="000000" w:themeColor="text1"/>
          <w:sz w:val="24"/>
          <w:szCs w:val="24"/>
        </w:rPr>
        <w:t>, 66, pp. 493–507. doi: 10.1016/j.eneco.2017.07.012.</w:t>
      </w:r>
    </w:p>
    <w:p w14:paraId="7552AF74"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Sun, W. </w:t>
      </w:r>
      <w:r w:rsidRPr="00B13CBE">
        <w:rPr>
          <w:rFonts w:ascii="Arial" w:hAnsi="Arial" w:cs="Arial"/>
          <w:i/>
          <w:iCs/>
          <w:color w:val="000000" w:themeColor="text1"/>
          <w:sz w:val="24"/>
          <w:szCs w:val="24"/>
        </w:rPr>
        <w:t>et al.</w:t>
      </w:r>
      <w:r w:rsidRPr="00B13CBE">
        <w:rPr>
          <w:rFonts w:ascii="Arial" w:hAnsi="Arial" w:cs="Arial"/>
          <w:color w:val="000000" w:themeColor="text1"/>
          <w:sz w:val="24"/>
          <w:szCs w:val="24"/>
        </w:rPr>
        <w:t xml:space="preserve"> (2008) ‘A new approach to modeling co-movement of international equity markets: evidence of unconditional copula-based simulation of tail dependence’, </w:t>
      </w:r>
      <w:r w:rsidRPr="00B13CBE">
        <w:rPr>
          <w:rFonts w:ascii="Arial" w:hAnsi="Arial" w:cs="Arial"/>
          <w:i/>
          <w:iCs/>
          <w:color w:val="000000" w:themeColor="text1"/>
          <w:sz w:val="24"/>
          <w:szCs w:val="24"/>
        </w:rPr>
        <w:t>Empirical Economics</w:t>
      </w:r>
      <w:r w:rsidRPr="00B13CBE">
        <w:rPr>
          <w:rFonts w:ascii="Arial" w:hAnsi="Arial" w:cs="Arial"/>
          <w:color w:val="000000" w:themeColor="text1"/>
          <w:sz w:val="24"/>
          <w:szCs w:val="24"/>
        </w:rPr>
        <w:t>, 36(1), p. 201. doi: 10.1007/s00181-008-0192-3.</w:t>
      </w:r>
    </w:p>
    <w:p w14:paraId="0021F6C5"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Susmel, R. and Engle, R. F. (1994) ‘Hourly volatility spillovers between international equity markets’, </w:t>
      </w:r>
      <w:r w:rsidRPr="00B13CBE">
        <w:rPr>
          <w:rFonts w:ascii="Arial" w:hAnsi="Arial" w:cs="Arial"/>
          <w:i/>
          <w:iCs/>
          <w:color w:val="000000" w:themeColor="text1"/>
          <w:sz w:val="24"/>
          <w:szCs w:val="24"/>
        </w:rPr>
        <w:t>Journal of International Money and Finance</w:t>
      </w:r>
      <w:r w:rsidRPr="00B13CBE">
        <w:rPr>
          <w:rFonts w:ascii="Arial" w:hAnsi="Arial" w:cs="Arial"/>
          <w:color w:val="000000" w:themeColor="text1"/>
          <w:sz w:val="24"/>
          <w:szCs w:val="24"/>
        </w:rPr>
        <w:t>, 13(1), pp. 3–25. doi: 10.1016/0261-5606(94)90021-3.</w:t>
      </w:r>
    </w:p>
    <w:p w14:paraId="3204A056"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Tsay, R. S. (2005) ‘Analysis of Financial Time Series’, p. 638.</w:t>
      </w:r>
    </w:p>
    <w:p w14:paraId="7687C2A1" w14:textId="77777777" w:rsidR="00AD616B" w:rsidRPr="00B13CBE" w:rsidRDefault="00C4772C" w:rsidP="00781A3B">
      <w:pPr>
        <w:pStyle w:val="Bibliography"/>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t xml:space="preserve">Xiao, L. and Dhesi, G. (2010) ‘Volatility spillover and time varying conditional correlation between the European and US stock markets’, </w:t>
      </w:r>
      <w:r w:rsidRPr="00B13CBE">
        <w:rPr>
          <w:rFonts w:ascii="Arial" w:hAnsi="Arial" w:cs="Arial"/>
          <w:i/>
          <w:iCs/>
          <w:color w:val="000000" w:themeColor="text1"/>
          <w:sz w:val="24"/>
          <w:szCs w:val="24"/>
        </w:rPr>
        <w:t>Glob. Econ. Finance J.</w:t>
      </w:r>
      <w:r w:rsidRPr="00B13CBE">
        <w:rPr>
          <w:rFonts w:ascii="Arial" w:hAnsi="Arial" w:cs="Arial"/>
          <w:color w:val="000000" w:themeColor="text1"/>
          <w:sz w:val="24"/>
          <w:szCs w:val="24"/>
        </w:rPr>
        <w:t>, 3, pp. 148–164.</w:t>
      </w:r>
    </w:p>
    <w:p w14:paraId="51429C57" w14:textId="77777777" w:rsidR="00D3717A" w:rsidRPr="00B13CBE" w:rsidRDefault="00C4772C" w:rsidP="00781A3B">
      <w:pPr>
        <w:spacing w:line="360" w:lineRule="auto"/>
        <w:jc w:val="both"/>
        <w:rPr>
          <w:rFonts w:ascii="Arial" w:hAnsi="Arial" w:cs="Arial"/>
          <w:color w:val="000000" w:themeColor="text1"/>
          <w:sz w:val="24"/>
          <w:szCs w:val="24"/>
        </w:rPr>
      </w:pPr>
      <w:r w:rsidRPr="00B13CBE">
        <w:rPr>
          <w:rFonts w:ascii="Arial" w:hAnsi="Arial" w:cs="Arial"/>
          <w:color w:val="000000" w:themeColor="text1"/>
          <w:sz w:val="24"/>
          <w:szCs w:val="24"/>
        </w:rPr>
        <w:fldChar w:fldCharType="end"/>
      </w:r>
      <w:r w:rsidRPr="00B13CBE">
        <w:rPr>
          <w:rFonts w:ascii="Arial" w:hAnsi="Arial" w:cs="Arial"/>
          <w:color w:val="000000" w:themeColor="text1"/>
          <w:sz w:val="24"/>
          <w:szCs w:val="24"/>
        </w:rPr>
        <w:t xml:space="preserve"> </w:t>
      </w:r>
    </w:p>
    <w:sectPr w:rsidR="00D3717A" w:rsidRPr="00B13CBE" w:rsidSect="00FC6236">
      <w:footerReference w:type="default" r:id="rId12"/>
      <w:footerReference w:type="first" r:id="rId13"/>
      <w:pgSz w:w="12240" w:h="15840"/>
      <w:pgMar w:top="2880" w:right="1440" w:bottom="288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5CED7" w14:textId="77777777" w:rsidR="00524154" w:rsidRDefault="00524154">
      <w:pPr>
        <w:spacing w:after="0" w:line="240" w:lineRule="auto"/>
      </w:pPr>
      <w:r>
        <w:separator/>
      </w:r>
    </w:p>
  </w:endnote>
  <w:endnote w:type="continuationSeparator" w:id="0">
    <w:p w14:paraId="18A84C3A" w14:textId="77777777" w:rsidR="00524154" w:rsidRDefault="00524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94678" w14:textId="5C0C07F2" w:rsidR="00FC49CE" w:rsidRDefault="00FC49CE">
    <w:pPr>
      <w:pStyle w:val="Footer"/>
      <w:jc w:val="center"/>
    </w:pPr>
  </w:p>
  <w:p w14:paraId="02D1551F" w14:textId="77777777" w:rsidR="00FC49CE" w:rsidRDefault="00FC49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267627" w14:textId="668B6EFC" w:rsidR="00FC49CE" w:rsidRDefault="00FC49CE">
    <w:pPr>
      <w:pStyle w:val="Footer"/>
      <w:jc w:val="center"/>
    </w:pPr>
  </w:p>
  <w:p w14:paraId="2A3C4B6E" w14:textId="77777777" w:rsidR="00FC49CE" w:rsidRDefault="00FC49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85418708"/>
      <w:docPartObj>
        <w:docPartGallery w:val="Page Numbers (Bottom of Page)"/>
        <w:docPartUnique/>
      </w:docPartObj>
    </w:sdtPr>
    <w:sdtEndPr>
      <w:rPr>
        <w:noProof/>
      </w:rPr>
    </w:sdtEndPr>
    <w:sdtContent>
      <w:p w14:paraId="65F8C2E5" w14:textId="77777777" w:rsidR="00FC49CE" w:rsidRDefault="00FC4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59BC43" w14:textId="77777777" w:rsidR="00FC49CE" w:rsidRDefault="00FC49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4801689"/>
      <w:docPartObj>
        <w:docPartGallery w:val="Page Numbers (Bottom of Page)"/>
        <w:docPartUnique/>
      </w:docPartObj>
    </w:sdtPr>
    <w:sdtEndPr>
      <w:rPr>
        <w:noProof/>
      </w:rPr>
    </w:sdtEndPr>
    <w:sdtContent>
      <w:p w14:paraId="1E5445FE" w14:textId="77777777" w:rsidR="00FC49CE" w:rsidRDefault="00FC4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0DF3C6" w14:textId="77777777" w:rsidR="00FC49CE" w:rsidRDefault="00FC4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086CB" w14:textId="77777777" w:rsidR="00524154" w:rsidRDefault="00524154">
      <w:pPr>
        <w:spacing w:after="0" w:line="240" w:lineRule="auto"/>
      </w:pPr>
      <w:r>
        <w:separator/>
      </w:r>
    </w:p>
  </w:footnote>
  <w:footnote w:type="continuationSeparator" w:id="0">
    <w:p w14:paraId="53013F4E" w14:textId="77777777" w:rsidR="00524154" w:rsidRDefault="00524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EFB8E4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561BD6"/>
    <w:multiLevelType w:val="multilevel"/>
    <w:tmpl w:val="5B9014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A99411"/>
    <w:multiLevelType w:val="multilevel"/>
    <w:tmpl w:val="37AAF1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0F68CC"/>
    <w:multiLevelType w:val="hybridMultilevel"/>
    <w:tmpl w:val="341C936A"/>
    <w:lvl w:ilvl="0" w:tplc="DC3A6074">
      <w:start w:val="1"/>
      <w:numFmt w:val="decimal"/>
      <w:lvlText w:val="%1."/>
      <w:lvlJc w:val="left"/>
      <w:pPr>
        <w:ind w:left="720" w:hanging="360"/>
      </w:pPr>
    </w:lvl>
    <w:lvl w:ilvl="1" w:tplc="DF322C1C" w:tentative="1">
      <w:start w:val="1"/>
      <w:numFmt w:val="lowerLetter"/>
      <w:lvlText w:val="%2."/>
      <w:lvlJc w:val="left"/>
      <w:pPr>
        <w:ind w:left="1440" w:hanging="360"/>
      </w:pPr>
    </w:lvl>
    <w:lvl w:ilvl="2" w:tplc="A308E07E" w:tentative="1">
      <w:start w:val="1"/>
      <w:numFmt w:val="lowerRoman"/>
      <w:lvlText w:val="%3."/>
      <w:lvlJc w:val="right"/>
      <w:pPr>
        <w:ind w:left="2160" w:hanging="180"/>
      </w:pPr>
    </w:lvl>
    <w:lvl w:ilvl="3" w:tplc="FD7E69B8" w:tentative="1">
      <w:start w:val="1"/>
      <w:numFmt w:val="decimal"/>
      <w:lvlText w:val="%4."/>
      <w:lvlJc w:val="left"/>
      <w:pPr>
        <w:ind w:left="2880" w:hanging="360"/>
      </w:pPr>
    </w:lvl>
    <w:lvl w:ilvl="4" w:tplc="2BD4EF90" w:tentative="1">
      <w:start w:val="1"/>
      <w:numFmt w:val="lowerLetter"/>
      <w:lvlText w:val="%5."/>
      <w:lvlJc w:val="left"/>
      <w:pPr>
        <w:ind w:left="3600" w:hanging="360"/>
      </w:pPr>
    </w:lvl>
    <w:lvl w:ilvl="5" w:tplc="0394C5F4" w:tentative="1">
      <w:start w:val="1"/>
      <w:numFmt w:val="lowerRoman"/>
      <w:lvlText w:val="%6."/>
      <w:lvlJc w:val="right"/>
      <w:pPr>
        <w:ind w:left="4320" w:hanging="180"/>
      </w:pPr>
    </w:lvl>
    <w:lvl w:ilvl="6" w:tplc="AAD88C74" w:tentative="1">
      <w:start w:val="1"/>
      <w:numFmt w:val="decimal"/>
      <w:lvlText w:val="%7."/>
      <w:lvlJc w:val="left"/>
      <w:pPr>
        <w:ind w:left="5040" w:hanging="360"/>
      </w:pPr>
    </w:lvl>
    <w:lvl w:ilvl="7" w:tplc="D08E6B64" w:tentative="1">
      <w:start w:val="1"/>
      <w:numFmt w:val="lowerLetter"/>
      <w:lvlText w:val="%8."/>
      <w:lvlJc w:val="left"/>
      <w:pPr>
        <w:ind w:left="5760" w:hanging="360"/>
      </w:pPr>
    </w:lvl>
    <w:lvl w:ilvl="8" w:tplc="6936A686" w:tentative="1">
      <w:start w:val="1"/>
      <w:numFmt w:val="lowerRoman"/>
      <w:lvlText w:val="%9."/>
      <w:lvlJc w:val="right"/>
      <w:pPr>
        <w:ind w:left="6480" w:hanging="180"/>
      </w:pPr>
    </w:lvl>
  </w:abstractNum>
  <w:abstractNum w:abstractNumId="4" w15:restartNumberingAfterBreak="0">
    <w:nsid w:val="050E0C7A"/>
    <w:multiLevelType w:val="hybridMultilevel"/>
    <w:tmpl w:val="BAAA8492"/>
    <w:lvl w:ilvl="0" w:tplc="470018DE">
      <w:start w:val="1"/>
      <w:numFmt w:val="decimal"/>
      <w:lvlText w:val="%1."/>
      <w:lvlJc w:val="left"/>
      <w:pPr>
        <w:ind w:left="720" w:hanging="360"/>
      </w:pPr>
    </w:lvl>
    <w:lvl w:ilvl="1" w:tplc="85767AF8" w:tentative="1">
      <w:start w:val="1"/>
      <w:numFmt w:val="lowerLetter"/>
      <w:lvlText w:val="%2."/>
      <w:lvlJc w:val="left"/>
      <w:pPr>
        <w:ind w:left="1440" w:hanging="360"/>
      </w:pPr>
    </w:lvl>
    <w:lvl w:ilvl="2" w:tplc="E7C0705A" w:tentative="1">
      <w:start w:val="1"/>
      <w:numFmt w:val="lowerRoman"/>
      <w:lvlText w:val="%3."/>
      <w:lvlJc w:val="right"/>
      <w:pPr>
        <w:ind w:left="2160" w:hanging="180"/>
      </w:pPr>
    </w:lvl>
    <w:lvl w:ilvl="3" w:tplc="C832A45C" w:tentative="1">
      <w:start w:val="1"/>
      <w:numFmt w:val="decimal"/>
      <w:lvlText w:val="%4."/>
      <w:lvlJc w:val="left"/>
      <w:pPr>
        <w:ind w:left="2880" w:hanging="360"/>
      </w:pPr>
    </w:lvl>
    <w:lvl w:ilvl="4" w:tplc="F714647A" w:tentative="1">
      <w:start w:val="1"/>
      <w:numFmt w:val="lowerLetter"/>
      <w:lvlText w:val="%5."/>
      <w:lvlJc w:val="left"/>
      <w:pPr>
        <w:ind w:left="3600" w:hanging="360"/>
      </w:pPr>
    </w:lvl>
    <w:lvl w:ilvl="5" w:tplc="F0883FCE" w:tentative="1">
      <w:start w:val="1"/>
      <w:numFmt w:val="lowerRoman"/>
      <w:lvlText w:val="%6."/>
      <w:lvlJc w:val="right"/>
      <w:pPr>
        <w:ind w:left="4320" w:hanging="180"/>
      </w:pPr>
    </w:lvl>
    <w:lvl w:ilvl="6" w:tplc="18385CE8" w:tentative="1">
      <w:start w:val="1"/>
      <w:numFmt w:val="decimal"/>
      <w:lvlText w:val="%7."/>
      <w:lvlJc w:val="left"/>
      <w:pPr>
        <w:ind w:left="5040" w:hanging="360"/>
      </w:pPr>
    </w:lvl>
    <w:lvl w:ilvl="7" w:tplc="91B681DA" w:tentative="1">
      <w:start w:val="1"/>
      <w:numFmt w:val="lowerLetter"/>
      <w:lvlText w:val="%8."/>
      <w:lvlJc w:val="left"/>
      <w:pPr>
        <w:ind w:left="5760" w:hanging="360"/>
      </w:pPr>
    </w:lvl>
    <w:lvl w:ilvl="8" w:tplc="0AEEC38A" w:tentative="1">
      <w:start w:val="1"/>
      <w:numFmt w:val="lowerRoman"/>
      <w:lvlText w:val="%9."/>
      <w:lvlJc w:val="right"/>
      <w:pPr>
        <w:ind w:left="6480" w:hanging="180"/>
      </w:pPr>
    </w:lvl>
  </w:abstractNum>
  <w:abstractNum w:abstractNumId="5" w15:restartNumberingAfterBreak="0">
    <w:nsid w:val="07631894"/>
    <w:multiLevelType w:val="hybridMultilevel"/>
    <w:tmpl w:val="36607FBE"/>
    <w:lvl w:ilvl="0" w:tplc="4E405922">
      <w:start w:val="1"/>
      <w:numFmt w:val="decimal"/>
      <w:lvlText w:val="%1."/>
      <w:lvlJc w:val="left"/>
      <w:pPr>
        <w:ind w:left="720" w:hanging="360"/>
      </w:pPr>
    </w:lvl>
    <w:lvl w:ilvl="1" w:tplc="D7C40B28" w:tentative="1">
      <w:start w:val="1"/>
      <w:numFmt w:val="lowerLetter"/>
      <w:lvlText w:val="%2."/>
      <w:lvlJc w:val="left"/>
      <w:pPr>
        <w:ind w:left="1440" w:hanging="360"/>
      </w:pPr>
    </w:lvl>
    <w:lvl w:ilvl="2" w:tplc="54940FF2" w:tentative="1">
      <w:start w:val="1"/>
      <w:numFmt w:val="lowerRoman"/>
      <w:lvlText w:val="%3."/>
      <w:lvlJc w:val="right"/>
      <w:pPr>
        <w:ind w:left="2160" w:hanging="180"/>
      </w:pPr>
    </w:lvl>
    <w:lvl w:ilvl="3" w:tplc="350C910E" w:tentative="1">
      <w:start w:val="1"/>
      <w:numFmt w:val="decimal"/>
      <w:lvlText w:val="%4."/>
      <w:lvlJc w:val="left"/>
      <w:pPr>
        <w:ind w:left="2880" w:hanging="360"/>
      </w:pPr>
    </w:lvl>
    <w:lvl w:ilvl="4" w:tplc="31284B56" w:tentative="1">
      <w:start w:val="1"/>
      <w:numFmt w:val="lowerLetter"/>
      <w:lvlText w:val="%5."/>
      <w:lvlJc w:val="left"/>
      <w:pPr>
        <w:ind w:left="3600" w:hanging="360"/>
      </w:pPr>
    </w:lvl>
    <w:lvl w:ilvl="5" w:tplc="A1BACFD4" w:tentative="1">
      <w:start w:val="1"/>
      <w:numFmt w:val="lowerRoman"/>
      <w:lvlText w:val="%6."/>
      <w:lvlJc w:val="right"/>
      <w:pPr>
        <w:ind w:left="4320" w:hanging="180"/>
      </w:pPr>
    </w:lvl>
    <w:lvl w:ilvl="6" w:tplc="7800F342" w:tentative="1">
      <w:start w:val="1"/>
      <w:numFmt w:val="decimal"/>
      <w:lvlText w:val="%7."/>
      <w:lvlJc w:val="left"/>
      <w:pPr>
        <w:ind w:left="5040" w:hanging="360"/>
      </w:pPr>
    </w:lvl>
    <w:lvl w:ilvl="7" w:tplc="EA566D26" w:tentative="1">
      <w:start w:val="1"/>
      <w:numFmt w:val="lowerLetter"/>
      <w:lvlText w:val="%8."/>
      <w:lvlJc w:val="left"/>
      <w:pPr>
        <w:ind w:left="5760" w:hanging="360"/>
      </w:pPr>
    </w:lvl>
    <w:lvl w:ilvl="8" w:tplc="E1A6498A" w:tentative="1">
      <w:start w:val="1"/>
      <w:numFmt w:val="lowerRoman"/>
      <w:lvlText w:val="%9."/>
      <w:lvlJc w:val="right"/>
      <w:pPr>
        <w:ind w:left="6480" w:hanging="180"/>
      </w:pPr>
    </w:lvl>
  </w:abstractNum>
  <w:abstractNum w:abstractNumId="6" w15:restartNumberingAfterBreak="0">
    <w:nsid w:val="07FA3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4645B6"/>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3832EF6"/>
    <w:multiLevelType w:val="hybridMultilevel"/>
    <w:tmpl w:val="7AB2653A"/>
    <w:lvl w:ilvl="0" w:tplc="57DA9FAE">
      <w:start w:val="1"/>
      <w:numFmt w:val="decimal"/>
      <w:lvlText w:val="%1."/>
      <w:lvlJc w:val="left"/>
      <w:pPr>
        <w:ind w:left="720" w:hanging="360"/>
      </w:pPr>
    </w:lvl>
    <w:lvl w:ilvl="1" w:tplc="79C6365C" w:tentative="1">
      <w:start w:val="1"/>
      <w:numFmt w:val="lowerLetter"/>
      <w:lvlText w:val="%2."/>
      <w:lvlJc w:val="left"/>
      <w:pPr>
        <w:ind w:left="1440" w:hanging="360"/>
      </w:pPr>
    </w:lvl>
    <w:lvl w:ilvl="2" w:tplc="DABC08B2" w:tentative="1">
      <w:start w:val="1"/>
      <w:numFmt w:val="lowerRoman"/>
      <w:lvlText w:val="%3."/>
      <w:lvlJc w:val="right"/>
      <w:pPr>
        <w:ind w:left="2160" w:hanging="180"/>
      </w:pPr>
    </w:lvl>
    <w:lvl w:ilvl="3" w:tplc="09EE5784" w:tentative="1">
      <w:start w:val="1"/>
      <w:numFmt w:val="decimal"/>
      <w:lvlText w:val="%4."/>
      <w:lvlJc w:val="left"/>
      <w:pPr>
        <w:ind w:left="2880" w:hanging="360"/>
      </w:pPr>
    </w:lvl>
    <w:lvl w:ilvl="4" w:tplc="FE14EAB0" w:tentative="1">
      <w:start w:val="1"/>
      <w:numFmt w:val="lowerLetter"/>
      <w:lvlText w:val="%5."/>
      <w:lvlJc w:val="left"/>
      <w:pPr>
        <w:ind w:left="3600" w:hanging="360"/>
      </w:pPr>
    </w:lvl>
    <w:lvl w:ilvl="5" w:tplc="0C206AB4" w:tentative="1">
      <w:start w:val="1"/>
      <w:numFmt w:val="lowerRoman"/>
      <w:lvlText w:val="%6."/>
      <w:lvlJc w:val="right"/>
      <w:pPr>
        <w:ind w:left="4320" w:hanging="180"/>
      </w:pPr>
    </w:lvl>
    <w:lvl w:ilvl="6" w:tplc="EB8CD732" w:tentative="1">
      <w:start w:val="1"/>
      <w:numFmt w:val="decimal"/>
      <w:lvlText w:val="%7."/>
      <w:lvlJc w:val="left"/>
      <w:pPr>
        <w:ind w:left="5040" w:hanging="360"/>
      </w:pPr>
    </w:lvl>
    <w:lvl w:ilvl="7" w:tplc="303E41A8" w:tentative="1">
      <w:start w:val="1"/>
      <w:numFmt w:val="lowerLetter"/>
      <w:lvlText w:val="%8."/>
      <w:lvlJc w:val="left"/>
      <w:pPr>
        <w:ind w:left="5760" w:hanging="360"/>
      </w:pPr>
    </w:lvl>
    <w:lvl w:ilvl="8" w:tplc="3A786C22" w:tentative="1">
      <w:start w:val="1"/>
      <w:numFmt w:val="lowerRoman"/>
      <w:lvlText w:val="%9."/>
      <w:lvlJc w:val="right"/>
      <w:pPr>
        <w:ind w:left="6480" w:hanging="180"/>
      </w:pPr>
    </w:lvl>
  </w:abstractNum>
  <w:abstractNum w:abstractNumId="9" w15:restartNumberingAfterBreak="0">
    <w:nsid w:val="1A5017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260B83"/>
    <w:multiLevelType w:val="hybridMultilevel"/>
    <w:tmpl w:val="A4A4D97A"/>
    <w:lvl w:ilvl="0" w:tplc="C5ACF7DE">
      <w:start w:val="1"/>
      <w:numFmt w:val="decimal"/>
      <w:lvlText w:val="%1."/>
      <w:lvlJc w:val="left"/>
      <w:pPr>
        <w:ind w:left="720" w:hanging="360"/>
      </w:pPr>
    </w:lvl>
    <w:lvl w:ilvl="1" w:tplc="91B8A440" w:tentative="1">
      <w:start w:val="1"/>
      <w:numFmt w:val="lowerLetter"/>
      <w:lvlText w:val="%2."/>
      <w:lvlJc w:val="left"/>
      <w:pPr>
        <w:ind w:left="1440" w:hanging="360"/>
      </w:pPr>
    </w:lvl>
    <w:lvl w:ilvl="2" w:tplc="C388DC34" w:tentative="1">
      <w:start w:val="1"/>
      <w:numFmt w:val="lowerRoman"/>
      <w:lvlText w:val="%3."/>
      <w:lvlJc w:val="right"/>
      <w:pPr>
        <w:ind w:left="2160" w:hanging="180"/>
      </w:pPr>
    </w:lvl>
    <w:lvl w:ilvl="3" w:tplc="480EA64C" w:tentative="1">
      <w:start w:val="1"/>
      <w:numFmt w:val="decimal"/>
      <w:lvlText w:val="%4."/>
      <w:lvlJc w:val="left"/>
      <w:pPr>
        <w:ind w:left="2880" w:hanging="360"/>
      </w:pPr>
    </w:lvl>
    <w:lvl w:ilvl="4" w:tplc="1F74302C" w:tentative="1">
      <w:start w:val="1"/>
      <w:numFmt w:val="lowerLetter"/>
      <w:lvlText w:val="%5."/>
      <w:lvlJc w:val="left"/>
      <w:pPr>
        <w:ind w:left="3600" w:hanging="360"/>
      </w:pPr>
    </w:lvl>
    <w:lvl w:ilvl="5" w:tplc="7F58DD6E" w:tentative="1">
      <w:start w:val="1"/>
      <w:numFmt w:val="lowerRoman"/>
      <w:lvlText w:val="%6."/>
      <w:lvlJc w:val="right"/>
      <w:pPr>
        <w:ind w:left="4320" w:hanging="180"/>
      </w:pPr>
    </w:lvl>
    <w:lvl w:ilvl="6" w:tplc="62B8AE66" w:tentative="1">
      <w:start w:val="1"/>
      <w:numFmt w:val="decimal"/>
      <w:lvlText w:val="%7."/>
      <w:lvlJc w:val="left"/>
      <w:pPr>
        <w:ind w:left="5040" w:hanging="360"/>
      </w:pPr>
    </w:lvl>
    <w:lvl w:ilvl="7" w:tplc="0492BE0C" w:tentative="1">
      <w:start w:val="1"/>
      <w:numFmt w:val="lowerLetter"/>
      <w:lvlText w:val="%8."/>
      <w:lvlJc w:val="left"/>
      <w:pPr>
        <w:ind w:left="5760" w:hanging="360"/>
      </w:pPr>
    </w:lvl>
    <w:lvl w:ilvl="8" w:tplc="49B0592E" w:tentative="1">
      <w:start w:val="1"/>
      <w:numFmt w:val="lowerRoman"/>
      <w:lvlText w:val="%9."/>
      <w:lvlJc w:val="right"/>
      <w:pPr>
        <w:ind w:left="6480" w:hanging="180"/>
      </w:pPr>
    </w:lvl>
  </w:abstractNum>
  <w:abstractNum w:abstractNumId="11" w15:restartNumberingAfterBreak="0">
    <w:nsid w:val="233679C2"/>
    <w:multiLevelType w:val="hybridMultilevel"/>
    <w:tmpl w:val="8FD8F552"/>
    <w:lvl w:ilvl="0" w:tplc="D59A08AA">
      <w:start w:val="1"/>
      <w:numFmt w:val="decimal"/>
      <w:lvlText w:val="%1."/>
      <w:lvlJc w:val="left"/>
      <w:pPr>
        <w:ind w:left="720" w:hanging="360"/>
      </w:pPr>
    </w:lvl>
    <w:lvl w:ilvl="1" w:tplc="DD302984" w:tentative="1">
      <w:start w:val="1"/>
      <w:numFmt w:val="lowerLetter"/>
      <w:lvlText w:val="%2."/>
      <w:lvlJc w:val="left"/>
      <w:pPr>
        <w:ind w:left="1440" w:hanging="360"/>
      </w:pPr>
    </w:lvl>
    <w:lvl w:ilvl="2" w:tplc="026E920C" w:tentative="1">
      <w:start w:val="1"/>
      <w:numFmt w:val="lowerRoman"/>
      <w:lvlText w:val="%3."/>
      <w:lvlJc w:val="right"/>
      <w:pPr>
        <w:ind w:left="2160" w:hanging="180"/>
      </w:pPr>
    </w:lvl>
    <w:lvl w:ilvl="3" w:tplc="3F2E3BC6" w:tentative="1">
      <w:start w:val="1"/>
      <w:numFmt w:val="decimal"/>
      <w:lvlText w:val="%4."/>
      <w:lvlJc w:val="left"/>
      <w:pPr>
        <w:ind w:left="2880" w:hanging="360"/>
      </w:pPr>
    </w:lvl>
    <w:lvl w:ilvl="4" w:tplc="6C0C8272" w:tentative="1">
      <w:start w:val="1"/>
      <w:numFmt w:val="lowerLetter"/>
      <w:lvlText w:val="%5."/>
      <w:lvlJc w:val="left"/>
      <w:pPr>
        <w:ind w:left="3600" w:hanging="360"/>
      </w:pPr>
    </w:lvl>
    <w:lvl w:ilvl="5" w:tplc="CFAC6F84" w:tentative="1">
      <w:start w:val="1"/>
      <w:numFmt w:val="lowerRoman"/>
      <w:lvlText w:val="%6."/>
      <w:lvlJc w:val="right"/>
      <w:pPr>
        <w:ind w:left="4320" w:hanging="180"/>
      </w:pPr>
    </w:lvl>
    <w:lvl w:ilvl="6" w:tplc="A970B4B6" w:tentative="1">
      <w:start w:val="1"/>
      <w:numFmt w:val="decimal"/>
      <w:lvlText w:val="%7."/>
      <w:lvlJc w:val="left"/>
      <w:pPr>
        <w:ind w:left="5040" w:hanging="360"/>
      </w:pPr>
    </w:lvl>
    <w:lvl w:ilvl="7" w:tplc="51F0F5F8" w:tentative="1">
      <w:start w:val="1"/>
      <w:numFmt w:val="lowerLetter"/>
      <w:lvlText w:val="%8."/>
      <w:lvlJc w:val="left"/>
      <w:pPr>
        <w:ind w:left="5760" w:hanging="360"/>
      </w:pPr>
    </w:lvl>
    <w:lvl w:ilvl="8" w:tplc="DAFC7D96" w:tentative="1">
      <w:start w:val="1"/>
      <w:numFmt w:val="lowerRoman"/>
      <w:lvlText w:val="%9."/>
      <w:lvlJc w:val="right"/>
      <w:pPr>
        <w:ind w:left="6480" w:hanging="180"/>
      </w:pPr>
    </w:lvl>
  </w:abstractNum>
  <w:abstractNum w:abstractNumId="12" w15:restartNumberingAfterBreak="0">
    <w:nsid w:val="23B043AC"/>
    <w:multiLevelType w:val="hybridMultilevel"/>
    <w:tmpl w:val="CF1E5974"/>
    <w:lvl w:ilvl="0" w:tplc="7EFACB4E">
      <w:start w:val="1"/>
      <w:numFmt w:val="decimal"/>
      <w:lvlText w:val="%1."/>
      <w:lvlJc w:val="left"/>
      <w:pPr>
        <w:ind w:left="720" w:hanging="360"/>
      </w:pPr>
    </w:lvl>
    <w:lvl w:ilvl="1" w:tplc="EAC64364" w:tentative="1">
      <w:start w:val="1"/>
      <w:numFmt w:val="lowerLetter"/>
      <w:lvlText w:val="%2."/>
      <w:lvlJc w:val="left"/>
      <w:pPr>
        <w:ind w:left="1440" w:hanging="360"/>
      </w:pPr>
    </w:lvl>
    <w:lvl w:ilvl="2" w:tplc="C3AC1AE2" w:tentative="1">
      <w:start w:val="1"/>
      <w:numFmt w:val="lowerRoman"/>
      <w:lvlText w:val="%3."/>
      <w:lvlJc w:val="right"/>
      <w:pPr>
        <w:ind w:left="2160" w:hanging="180"/>
      </w:pPr>
    </w:lvl>
    <w:lvl w:ilvl="3" w:tplc="BCF6D81E" w:tentative="1">
      <w:start w:val="1"/>
      <w:numFmt w:val="decimal"/>
      <w:lvlText w:val="%4."/>
      <w:lvlJc w:val="left"/>
      <w:pPr>
        <w:ind w:left="2880" w:hanging="360"/>
      </w:pPr>
    </w:lvl>
    <w:lvl w:ilvl="4" w:tplc="85082A26" w:tentative="1">
      <w:start w:val="1"/>
      <w:numFmt w:val="lowerLetter"/>
      <w:lvlText w:val="%5."/>
      <w:lvlJc w:val="left"/>
      <w:pPr>
        <w:ind w:left="3600" w:hanging="360"/>
      </w:pPr>
    </w:lvl>
    <w:lvl w:ilvl="5" w:tplc="7C647D60" w:tentative="1">
      <w:start w:val="1"/>
      <w:numFmt w:val="lowerRoman"/>
      <w:lvlText w:val="%6."/>
      <w:lvlJc w:val="right"/>
      <w:pPr>
        <w:ind w:left="4320" w:hanging="180"/>
      </w:pPr>
    </w:lvl>
    <w:lvl w:ilvl="6" w:tplc="3C88994E" w:tentative="1">
      <w:start w:val="1"/>
      <w:numFmt w:val="decimal"/>
      <w:lvlText w:val="%7."/>
      <w:lvlJc w:val="left"/>
      <w:pPr>
        <w:ind w:left="5040" w:hanging="360"/>
      </w:pPr>
    </w:lvl>
    <w:lvl w:ilvl="7" w:tplc="EA1CD728" w:tentative="1">
      <w:start w:val="1"/>
      <w:numFmt w:val="lowerLetter"/>
      <w:lvlText w:val="%8."/>
      <w:lvlJc w:val="left"/>
      <w:pPr>
        <w:ind w:left="5760" w:hanging="360"/>
      </w:pPr>
    </w:lvl>
    <w:lvl w:ilvl="8" w:tplc="DCB0F496" w:tentative="1">
      <w:start w:val="1"/>
      <w:numFmt w:val="lowerRoman"/>
      <w:lvlText w:val="%9."/>
      <w:lvlJc w:val="right"/>
      <w:pPr>
        <w:ind w:left="6480" w:hanging="180"/>
      </w:pPr>
    </w:lvl>
  </w:abstractNum>
  <w:abstractNum w:abstractNumId="13" w15:restartNumberingAfterBreak="0">
    <w:nsid w:val="24BD31BC"/>
    <w:multiLevelType w:val="hybridMultilevel"/>
    <w:tmpl w:val="DC309DCA"/>
    <w:lvl w:ilvl="0" w:tplc="C2B09250">
      <w:start w:val="1"/>
      <w:numFmt w:val="lowerRoman"/>
      <w:lvlText w:val="%1."/>
      <w:lvlJc w:val="left"/>
      <w:pPr>
        <w:ind w:left="1080" w:hanging="720"/>
      </w:pPr>
      <w:rPr>
        <w:rFonts w:eastAsiaTheme="minorEastAsia" w:hint="default"/>
      </w:rPr>
    </w:lvl>
    <w:lvl w:ilvl="1" w:tplc="8AE04ABC" w:tentative="1">
      <w:start w:val="1"/>
      <w:numFmt w:val="lowerLetter"/>
      <w:lvlText w:val="%2."/>
      <w:lvlJc w:val="left"/>
      <w:pPr>
        <w:ind w:left="1440" w:hanging="360"/>
      </w:pPr>
    </w:lvl>
    <w:lvl w:ilvl="2" w:tplc="66E2727A" w:tentative="1">
      <w:start w:val="1"/>
      <w:numFmt w:val="lowerRoman"/>
      <w:lvlText w:val="%3."/>
      <w:lvlJc w:val="right"/>
      <w:pPr>
        <w:ind w:left="2160" w:hanging="180"/>
      </w:pPr>
    </w:lvl>
    <w:lvl w:ilvl="3" w:tplc="0FD4BACA" w:tentative="1">
      <w:start w:val="1"/>
      <w:numFmt w:val="decimal"/>
      <w:lvlText w:val="%4."/>
      <w:lvlJc w:val="left"/>
      <w:pPr>
        <w:ind w:left="2880" w:hanging="360"/>
      </w:pPr>
    </w:lvl>
    <w:lvl w:ilvl="4" w:tplc="57B895CC" w:tentative="1">
      <w:start w:val="1"/>
      <w:numFmt w:val="lowerLetter"/>
      <w:lvlText w:val="%5."/>
      <w:lvlJc w:val="left"/>
      <w:pPr>
        <w:ind w:left="3600" w:hanging="360"/>
      </w:pPr>
    </w:lvl>
    <w:lvl w:ilvl="5" w:tplc="292E4A6E" w:tentative="1">
      <w:start w:val="1"/>
      <w:numFmt w:val="lowerRoman"/>
      <w:lvlText w:val="%6."/>
      <w:lvlJc w:val="right"/>
      <w:pPr>
        <w:ind w:left="4320" w:hanging="180"/>
      </w:pPr>
    </w:lvl>
    <w:lvl w:ilvl="6" w:tplc="DF985170" w:tentative="1">
      <w:start w:val="1"/>
      <w:numFmt w:val="decimal"/>
      <w:lvlText w:val="%7."/>
      <w:lvlJc w:val="left"/>
      <w:pPr>
        <w:ind w:left="5040" w:hanging="360"/>
      </w:pPr>
    </w:lvl>
    <w:lvl w:ilvl="7" w:tplc="C158FA44" w:tentative="1">
      <w:start w:val="1"/>
      <w:numFmt w:val="lowerLetter"/>
      <w:lvlText w:val="%8."/>
      <w:lvlJc w:val="left"/>
      <w:pPr>
        <w:ind w:left="5760" w:hanging="360"/>
      </w:pPr>
    </w:lvl>
    <w:lvl w:ilvl="8" w:tplc="B03A2704" w:tentative="1">
      <w:start w:val="1"/>
      <w:numFmt w:val="lowerRoman"/>
      <w:lvlText w:val="%9."/>
      <w:lvlJc w:val="right"/>
      <w:pPr>
        <w:ind w:left="6480" w:hanging="180"/>
      </w:pPr>
    </w:lvl>
  </w:abstractNum>
  <w:abstractNum w:abstractNumId="14" w15:restartNumberingAfterBreak="0">
    <w:nsid w:val="2D497800"/>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250625"/>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2BB43DE"/>
    <w:multiLevelType w:val="hybridMultilevel"/>
    <w:tmpl w:val="CD444E38"/>
    <w:lvl w:ilvl="0" w:tplc="65C0D12C">
      <w:start w:val="1"/>
      <w:numFmt w:val="decimal"/>
      <w:lvlText w:val="%1."/>
      <w:lvlJc w:val="left"/>
      <w:pPr>
        <w:ind w:left="720" w:hanging="360"/>
      </w:pPr>
    </w:lvl>
    <w:lvl w:ilvl="1" w:tplc="24B0E080" w:tentative="1">
      <w:start w:val="1"/>
      <w:numFmt w:val="lowerLetter"/>
      <w:lvlText w:val="%2."/>
      <w:lvlJc w:val="left"/>
      <w:pPr>
        <w:ind w:left="1440" w:hanging="360"/>
      </w:pPr>
    </w:lvl>
    <w:lvl w:ilvl="2" w:tplc="5336B72E" w:tentative="1">
      <w:start w:val="1"/>
      <w:numFmt w:val="lowerRoman"/>
      <w:lvlText w:val="%3."/>
      <w:lvlJc w:val="right"/>
      <w:pPr>
        <w:ind w:left="2160" w:hanging="180"/>
      </w:pPr>
    </w:lvl>
    <w:lvl w:ilvl="3" w:tplc="F9803F7C" w:tentative="1">
      <w:start w:val="1"/>
      <w:numFmt w:val="decimal"/>
      <w:lvlText w:val="%4."/>
      <w:lvlJc w:val="left"/>
      <w:pPr>
        <w:ind w:left="2880" w:hanging="360"/>
      </w:pPr>
    </w:lvl>
    <w:lvl w:ilvl="4" w:tplc="0DB65C3A" w:tentative="1">
      <w:start w:val="1"/>
      <w:numFmt w:val="lowerLetter"/>
      <w:lvlText w:val="%5."/>
      <w:lvlJc w:val="left"/>
      <w:pPr>
        <w:ind w:left="3600" w:hanging="360"/>
      </w:pPr>
    </w:lvl>
    <w:lvl w:ilvl="5" w:tplc="820432F0" w:tentative="1">
      <w:start w:val="1"/>
      <w:numFmt w:val="lowerRoman"/>
      <w:lvlText w:val="%6."/>
      <w:lvlJc w:val="right"/>
      <w:pPr>
        <w:ind w:left="4320" w:hanging="180"/>
      </w:pPr>
    </w:lvl>
    <w:lvl w:ilvl="6" w:tplc="86640D02" w:tentative="1">
      <w:start w:val="1"/>
      <w:numFmt w:val="decimal"/>
      <w:lvlText w:val="%7."/>
      <w:lvlJc w:val="left"/>
      <w:pPr>
        <w:ind w:left="5040" w:hanging="360"/>
      </w:pPr>
    </w:lvl>
    <w:lvl w:ilvl="7" w:tplc="55785656" w:tentative="1">
      <w:start w:val="1"/>
      <w:numFmt w:val="lowerLetter"/>
      <w:lvlText w:val="%8."/>
      <w:lvlJc w:val="left"/>
      <w:pPr>
        <w:ind w:left="5760" w:hanging="360"/>
      </w:pPr>
    </w:lvl>
    <w:lvl w:ilvl="8" w:tplc="9A6E1BD4" w:tentative="1">
      <w:start w:val="1"/>
      <w:numFmt w:val="lowerRoman"/>
      <w:lvlText w:val="%9."/>
      <w:lvlJc w:val="right"/>
      <w:pPr>
        <w:ind w:left="6480" w:hanging="180"/>
      </w:pPr>
    </w:lvl>
  </w:abstractNum>
  <w:abstractNum w:abstractNumId="17" w15:restartNumberingAfterBreak="0">
    <w:nsid w:val="45CD0070"/>
    <w:multiLevelType w:val="hybridMultilevel"/>
    <w:tmpl w:val="106EB1EE"/>
    <w:lvl w:ilvl="0" w:tplc="ECA89C28">
      <w:start w:val="1"/>
      <w:numFmt w:val="lowerRoman"/>
      <w:lvlText w:val="%1."/>
      <w:lvlJc w:val="left"/>
      <w:pPr>
        <w:ind w:left="1080" w:hanging="720"/>
      </w:pPr>
      <w:rPr>
        <w:rFonts w:hint="default"/>
      </w:rPr>
    </w:lvl>
    <w:lvl w:ilvl="1" w:tplc="293892C4" w:tentative="1">
      <w:start w:val="1"/>
      <w:numFmt w:val="lowerLetter"/>
      <w:lvlText w:val="%2."/>
      <w:lvlJc w:val="left"/>
      <w:pPr>
        <w:ind w:left="1440" w:hanging="360"/>
      </w:pPr>
    </w:lvl>
    <w:lvl w:ilvl="2" w:tplc="0EFA0350" w:tentative="1">
      <w:start w:val="1"/>
      <w:numFmt w:val="lowerRoman"/>
      <w:lvlText w:val="%3."/>
      <w:lvlJc w:val="right"/>
      <w:pPr>
        <w:ind w:left="2160" w:hanging="180"/>
      </w:pPr>
    </w:lvl>
    <w:lvl w:ilvl="3" w:tplc="4D06505C" w:tentative="1">
      <w:start w:val="1"/>
      <w:numFmt w:val="decimal"/>
      <w:lvlText w:val="%4."/>
      <w:lvlJc w:val="left"/>
      <w:pPr>
        <w:ind w:left="2880" w:hanging="360"/>
      </w:pPr>
    </w:lvl>
    <w:lvl w:ilvl="4" w:tplc="3B38223E" w:tentative="1">
      <w:start w:val="1"/>
      <w:numFmt w:val="lowerLetter"/>
      <w:lvlText w:val="%5."/>
      <w:lvlJc w:val="left"/>
      <w:pPr>
        <w:ind w:left="3600" w:hanging="360"/>
      </w:pPr>
    </w:lvl>
    <w:lvl w:ilvl="5" w:tplc="0AA004F8" w:tentative="1">
      <w:start w:val="1"/>
      <w:numFmt w:val="lowerRoman"/>
      <w:lvlText w:val="%6."/>
      <w:lvlJc w:val="right"/>
      <w:pPr>
        <w:ind w:left="4320" w:hanging="180"/>
      </w:pPr>
    </w:lvl>
    <w:lvl w:ilvl="6" w:tplc="E8CC8312" w:tentative="1">
      <w:start w:val="1"/>
      <w:numFmt w:val="decimal"/>
      <w:lvlText w:val="%7."/>
      <w:lvlJc w:val="left"/>
      <w:pPr>
        <w:ind w:left="5040" w:hanging="360"/>
      </w:pPr>
    </w:lvl>
    <w:lvl w:ilvl="7" w:tplc="D73CA248" w:tentative="1">
      <w:start w:val="1"/>
      <w:numFmt w:val="lowerLetter"/>
      <w:lvlText w:val="%8."/>
      <w:lvlJc w:val="left"/>
      <w:pPr>
        <w:ind w:left="5760" w:hanging="360"/>
      </w:pPr>
    </w:lvl>
    <w:lvl w:ilvl="8" w:tplc="571E8068" w:tentative="1">
      <w:start w:val="1"/>
      <w:numFmt w:val="lowerRoman"/>
      <w:lvlText w:val="%9."/>
      <w:lvlJc w:val="right"/>
      <w:pPr>
        <w:ind w:left="6480" w:hanging="180"/>
      </w:pPr>
    </w:lvl>
  </w:abstractNum>
  <w:abstractNum w:abstractNumId="18" w15:restartNumberingAfterBreak="0">
    <w:nsid w:val="472A5E9C"/>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7973DE1"/>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9952490"/>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B071C3C"/>
    <w:multiLevelType w:val="hybridMultilevel"/>
    <w:tmpl w:val="A9F84352"/>
    <w:lvl w:ilvl="0" w:tplc="B48CFDAA">
      <w:start w:val="1"/>
      <w:numFmt w:val="decimal"/>
      <w:lvlText w:val="%1."/>
      <w:lvlJc w:val="left"/>
      <w:pPr>
        <w:ind w:left="720" w:hanging="360"/>
      </w:pPr>
    </w:lvl>
    <w:lvl w:ilvl="1" w:tplc="115A2B98" w:tentative="1">
      <w:start w:val="1"/>
      <w:numFmt w:val="lowerLetter"/>
      <w:lvlText w:val="%2."/>
      <w:lvlJc w:val="left"/>
      <w:pPr>
        <w:ind w:left="1440" w:hanging="360"/>
      </w:pPr>
    </w:lvl>
    <w:lvl w:ilvl="2" w:tplc="E000E190" w:tentative="1">
      <w:start w:val="1"/>
      <w:numFmt w:val="lowerRoman"/>
      <w:lvlText w:val="%3."/>
      <w:lvlJc w:val="right"/>
      <w:pPr>
        <w:ind w:left="2160" w:hanging="180"/>
      </w:pPr>
    </w:lvl>
    <w:lvl w:ilvl="3" w:tplc="0D1E91CC" w:tentative="1">
      <w:start w:val="1"/>
      <w:numFmt w:val="decimal"/>
      <w:lvlText w:val="%4."/>
      <w:lvlJc w:val="left"/>
      <w:pPr>
        <w:ind w:left="2880" w:hanging="360"/>
      </w:pPr>
    </w:lvl>
    <w:lvl w:ilvl="4" w:tplc="B84232D4" w:tentative="1">
      <w:start w:val="1"/>
      <w:numFmt w:val="lowerLetter"/>
      <w:lvlText w:val="%5."/>
      <w:lvlJc w:val="left"/>
      <w:pPr>
        <w:ind w:left="3600" w:hanging="360"/>
      </w:pPr>
    </w:lvl>
    <w:lvl w:ilvl="5" w:tplc="4E80EB22" w:tentative="1">
      <w:start w:val="1"/>
      <w:numFmt w:val="lowerRoman"/>
      <w:lvlText w:val="%6."/>
      <w:lvlJc w:val="right"/>
      <w:pPr>
        <w:ind w:left="4320" w:hanging="180"/>
      </w:pPr>
    </w:lvl>
    <w:lvl w:ilvl="6" w:tplc="24460570" w:tentative="1">
      <w:start w:val="1"/>
      <w:numFmt w:val="decimal"/>
      <w:lvlText w:val="%7."/>
      <w:lvlJc w:val="left"/>
      <w:pPr>
        <w:ind w:left="5040" w:hanging="360"/>
      </w:pPr>
    </w:lvl>
    <w:lvl w:ilvl="7" w:tplc="175211E2" w:tentative="1">
      <w:start w:val="1"/>
      <w:numFmt w:val="lowerLetter"/>
      <w:lvlText w:val="%8."/>
      <w:lvlJc w:val="left"/>
      <w:pPr>
        <w:ind w:left="5760" w:hanging="360"/>
      </w:pPr>
    </w:lvl>
    <w:lvl w:ilvl="8" w:tplc="57445BF8" w:tentative="1">
      <w:start w:val="1"/>
      <w:numFmt w:val="lowerRoman"/>
      <w:lvlText w:val="%9."/>
      <w:lvlJc w:val="right"/>
      <w:pPr>
        <w:ind w:left="6480" w:hanging="180"/>
      </w:pPr>
    </w:lvl>
  </w:abstractNum>
  <w:abstractNum w:abstractNumId="22" w15:restartNumberingAfterBreak="0">
    <w:nsid w:val="52027042"/>
    <w:multiLevelType w:val="hybridMultilevel"/>
    <w:tmpl w:val="8C6ED53A"/>
    <w:lvl w:ilvl="0" w:tplc="739237CE">
      <w:start w:val="1"/>
      <w:numFmt w:val="lowerRoman"/>
      <w:lvlText w:val="%1."/>
      <w:lvlJc w:val="right"/>
      <w:pPr>
        <w:ind w:left="1080" w:hanging="720"/>
      </w:pPr>
      <w:rPr>
        <w:rFonts w:hint="default"/>
      </w:rPr>
    </w:lvl>
    <w:lvl w:ilvl="1" w:tplc="3BEAE612" w:tentative="1">
      <w:start w:val="1"/>
      <w:numFmt w:val="lowerLetter"/>
      <w:lvlText w:val="%2."/>
      <w:lvlJc w:val="left"/>
      <w:pPr>
        <w:ind w:left="1440" w:hanging="360"/>
      </w:pPr>
    </w:lvl>
    <w:lvl w:ilvl="2" w:tplc="FF482220" w:tentative="1">
      <w:start w:val="1"/>
      <w:numFmt w:val="lowerRoman"/>
      <w:lvlText w:val="%3."/>
      <w:lvlJc w:val="right"/>
      <w:pPr>
        <w:ind w:left="2160" w:hanging="180"/>
      </w:pPr>
    </w:lvl>
    <w:lvl w:ilvl="3" w:tplc="93721F96" w:tentative="1">
      <w:start w:val="1"/>
      <w:numFmt w:val="decimal"/>
      <w:lvlText w:val="%4."/>
      <w:lvlJc w:val="left"/>
      <w:pPr>
        <w:ind w:left="2880" w:hanging="360"/>
      </w:pPr>
    </w:lvl>
    <w:lvl w:ilvl="4" w:tplc="0F42D966" w:tentative="1">
      <w:start w:val="1"/>
      <w:numFmt w:val="lowerLetter"/>
      <w:lvlText w:val="%5."/>
      <w:lvlJc w:val="left"/>
      <w:pPr>
        <w:ind w:left="3600" w:hanging="360"/>
      </w:pPr>
    </w:lvl>
    <w:lvl w:ilvl="5" w:tplc="98EE740A" w:tentative="1">
      <w:start w:val="1"/>
      <w:numFmt w:val="lowerRoman"/>
      <w:lvlText w:val="%6."/>
      <w:lvlJc w:val="right"/>
      <w:pPr>
        <w:ind w:left="4320" w:hanging="180"/>
      </w:pPr>
    </w:lvl>
    <w:lvl w:ilvl="6" w:tplc="2F8A4436" w:tentative="1">
      <w:start w:val="1"/>
      <w:numFmt w:val="decimal"/>
      <w:lvlText w:val="%7."/>
      <w:lvlJc w:val="left"/>
      <w:pPr>
        <w:ind w:left="5040" w:hanging="360"/>
      </w:pPr>
    </w:lvl>
    <w:lvl w:ilvl="7" w:tplc="46BCFCC4" w:tentative="1">
      <w:start w:val="1"/>
      <w:numFmt w:val="lowerLetter"/>
      <w:lvlText w:val="%8."/>
      <w:lvlJc w:val="left"/>
      <w:pPr>
        <w:ind w:left="5760" w:hanging="360"/>
      </w:pPr>
    </w:lvl>
    <w:lvl w:ilvl="8" w:tplc="97FC48EC" w:tentative="1">
      <w:start w:val="1"/>
      <w:numFmt w:val="lowerRoman"/>
      <w:lvlText w:val="%9."/>
      <w:lvlJc w:val="right"/>
      <w:pPr>
        <w:ind w:left="6480" w:hanging="180"/>
      </w:pPr>
    </w:lvl>
  </w:abstractNum>
  <w:abstractNum w:abstractNumId="23" w15:restartNumberingAfterBreak="0">
    <w:nsid w:val="58C660B9"/>
    <w:multiLevelType w:val="hybridMultilevel"/>
    <w:tmpl w:val="47CA90C4"/>
    <w:lvl w:ilvl="0" w:tplc="6BA40A06">
      <w:start w:val="1"/>
      <w:numFmt w:val="lowerRoman"/>
      <w:lvlText w:val="%1."/>
      <w:lvlJc w:val="left"/>
      <w:pPr>
        <w:ind w:left="1080" w:hanging="720"/>
      </w:pPr>
      <w:rPr>
        <w:rFonts w:hint="default"/>
      </w:rPr>
    </w:lvl>
    <w:lvl w:ilvl="1" w:tplc="F66642B6" w:tentative="1">
      <w:start w:val="1"/>
      <w:numFmt w:val="lowerLetter"/>
      <w:lvlText w:val="%2."/>
      <w:lvlJc w:val="left"/>
      <w:pPr>
        <w:ind w:left="1440" w:hanging="360"/>
      </w:pPr>
    </w:lvl>
    <w:lvl w:ilvl="2" w:tplc="9CE0CC22" w:tentative="1">
      <w:start w:val="1"/>
      <w:numFmt w:val="lowerRoman"/>
      <w:lvlText w:val="%3."/>
      <w:lvlJc w:val="right"/>
      <w:pPr>
        <w:ind w:left="2160" w:hanging="180"/>
      </w:pPr>
    </w:lvl>
    <w:lvl w:ilvl="3" w:tplc="AF0043EA" w:tentative="1">
      <w:start w:val="1"/>
      <w:numFmt w:val="decimal"/>
      <w:lvlText w:val="%4."/>
      <w:lvlJc w:val="left"/>
      <w:pPr>
        <w:ind w:left="2880" w:hanging="360"/>
      </w:pPr>
    </w:lvl>
    <w:lvl w:ilvl="4" w:tplc="FB7A32FE" w:tentative="1">
      <w:start w:val="1"/>
      <w:numFmt w:val="lowerLetter"/>
      <w:lvlText w:val="%5."/>
      <w:lvlJc w:val="left"/>
      <w:pPr>
        <w:ind w:left="3600" w:hanging="360"/>
      </w:pPr>
    </w:lvl>
    <w:lvl w:ilvl="5" w:tplc="82A228EE" w:tentative="1">
      <w:start w:val="1"/>
      <w:numFmt w:val="lowerRoman"/>
      <w:lvlText w:val="%6."/>
      <w:lvlJc w:val="right"/>
      <w:pPr>
        <w:ind w:left="4320" w:hanging="180"/>
      </w:pPr>
    </w:lvl>
    <w:lvl w:ilvl="6" w:tplc="AD6E091A" w:tentative="1">
      <w:start w:val="1"/>
      <w:numFmt w:val="decimal"/>
      <w:lvlText w:val="%7."/>
      <w:lvlJc w:val="left"/>
      <w:pPr>
        <w:ind w:left="5040" w:hanging="360"/>
      </w:pPr>
    </w:lvl>
    <w:lvl w:ilvl="7" w:tplc="7D9A1AC0" w:tentative="1">
      <w:start w:val="1"/>
      <w:numFmt w:val="lowerLetter"/>
      <w:lvlText w:val="%8."/>
      <w:lvlJc w:val="left"/>
      <w:pPr>
        <w:ind w:left="5760" w:hanging="360"/>
      </w:pPr>
    </w:lvl>
    <w:lvl w:ilvl="8" w:tplc="8520941E" w:tentative="1">
      <w:start w:val="1"/>
      <w:numFmt w:val="lowerRoman"/>
      <w:lvlText w:val="%9."/>
      <w:lvlJc w:val="right"/>
      <w:pPr>
        <w:ind w:left="6480" w:hanging="180"/>
      </w:pPr>
    </w:lvl>
  </w:abstractNum>
  <w:abstractNum w:abstractNumId="24" w15:restartNumberingAfterBreak="0">
    <w:nsid w:val="59293EBE"/>
    <w:multiLevelType w:val="hybridMultilevel"/>
    <w:tmpl w:val="9FFAC914"/>
    <w:lvl w:ilvl="0" w:tplc="5C14C254">
      <w:start w:val="1"/>
      <w:numFmt w:val="decimal"/>
      <w:lvlText w:val="%1."/>
      <w:lvlJc w:val="left"/>
      <w:pPr>
        <w:ind w:left="720" w:hanging="360"/>
      </w:pPr>
    </w:lvl>
    <w:lvl w:ilvl="1" w:tplc="A1AA9D46" w:tentative="1">
      <w:start w:val="1"/>
      <w:numFmt w:val="lowerLetter"/>
      <w:lvlText w:val="%2."/>
      <w:lvlJc w:val="left"/>
      <w:pPr>
        <w:ind w:left="1440" w:hanging="360"/>
      </w:pPr>
    </w:lvl>
    <w:lvl w:ilvl="2" w:tplc="22EACE38" w:tentative="1">
      <w:start w:val="1"/>
      <w:numFmt w:val="lowerRoman"/>
      <w:lvlText w:val="%3."/>
      <w:lvlJc w:val="right"/>
      <w:pPr>
        <w:ind w:left="2160" w:hanging="180"/>
      </w:pPr>
    </w:lvl>
    <w:lvl w:ilvl="3" w:tplc="CAEC46D0" w:tentative="1">
      <w:start w:val="1"/>
      <w:numFmt w:val="decimal"/>
      <w:lvlText w:val="%4."/>
      <w:lvlJc w:val="left"/>
      <w:pPr>
        <w:ind w:left="2880" w:hanging="360"/>
      </w:pPr>
    </w:lvl>
    <w:lvl w:ilvl="4" w:tplc="F90AB9DA" w:tentative="1">
      <w:start w:val="1"/>
      <w:numFmt w:val="lowerLetter"/>
      <w:lvlText w:val="%5."/>
      <w:lvlJc w:val="left"/>
      <w:pPr>
        <w:ind w:left="3600" w:hanging="360"/>
      </w:pPr>
    </w:lvl>
    <w:lvl w:ilvl="5" w:tplc="51883626" w:tentative="1">
      <w:start w:val="1"/>
      <w:numFmt w:val="lowerRoman"/>
      <w:lvlText w:val="%6."/>
      <w:lvlJc w:val="right"/>
      <w:pPr>
        <w:ind w:left="4320" w:hanging="180"/>
      </w:pPr>
    </w:lvl>
    <w:lvl w:ilvl="6" w:tplc="D29670A0" w:tentative="1">
      <w:start w:val="1"/>
      <w:numFmt w:val="decimal"/>
      <w:lvlText w:val="%7."/>
      <w:lvlJc w:val="left"/>
      <w:pPr>
        <w:ind w:left="5040" w:hanging="360"/>
      </w:pPr>
    </w:lvl>
    <w:lvl w:ilvl="7" w:tplc="31D2B9EA" w:tentative="1">
      <w:start w:val="1"/>
      <w:numFmt w:val="lowerLetter"/>
      <w:lvlText w:val="%8."/>
      <w:lvlJc w:val="left"/>
      <w:pPr>
        <w:ind w:left="5760" w:hanging="360"/>
      </w:pPr>
    </w:lvl>
    <w:lvl w:ilvl="8" w:tplc="E85EED62" w:tentative="1">
      <w:start w:val="1"/>
      <w:numFmt w:val="lowerRoman"/>
      <w:lvlText w:val="%9."/>
      <w:lvlJc w:val="right"/>
      <w:pPr>
        <w:ind w:left="6480" w:hanging="180"/>
      </w:pPr>
    </w:lvl>
  </w:abstractNum>
  <w:abstractNum w:abstractNumId="25" w15:restartNumberingAfterBreak="0">
    <w:nsid w:val="59F724F4"/>
    <w:multiLevelType w:val="multilevel"/>
    <w:tmpl w:val="5B9014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CA860DD"/>
    <w:multiLevelType w:val="hybridMultilevel"/>
    <w:tmpl w:val="6EFAD44C"/>
    <w:lvl w:ilvl="0" w:tplc="E780A480">
      <w:start w:val="1"/>
      <w:numFmt w:val="decimal"/>
      <w:lvlText w:val="%1."/>
      <w:lvlJc w:val="left"/>
      <w:pPr>
        <w:ind w:left="720" w:hanging="360"/>
      </w:pPr>
      <w:rPr>
        <w:rFonts w:hint="default"/>
      </w:rPr>
    </w:lvl>
    <w:lvl w:ilvl="1" w:tplc="5874F52C" w:tentative="1">
      <w:start w:val="1"/>
      <w:numFmt w:val="lowerLetter"/>
      <w:lvlText w:val="%2."/>
      <w:lvlJc w:val="left"/>
      <w:pPr>
        <w:ind w:left="1440" w:hanging="360"/>
      </w:pPr>
    </w:lvl>
    <w:lvl w:ilvl="2" w:tplc="5D74933C" w:tentative="1">
      <w:start w:val="1"/>
      <w:numFmt w:val="lowerRoman"/>
      <w:lvlText w:val="%3."/>
      <w:lvlJc w:val="right"/>
      <w:pPr>
        <w:ind w:left="2160" w:hanging="180"/>
      </w:pPr>
    </w:lvl>
    <w:lvl w:ilvl="3" w:tplc="F51864A0" w:tentative="1">
      <w:start w:val="1"/>
      <w:numFmt w:val="decimal"/>
      <w:lvlText w:val="%4."/>
      <w:lvlJc w:val="left"/>
      <w:pPr>
        <w:ind w:left="2880" w:hanging="360"/>
      </w:pPr>
    </w:lvl>
    <w:lvl w:ilvl="4" w:tplc="E5FECE24" w:tentative="1">
      <w:start w:val="1"/>
      <w:numFmt w:val="lowerLetter"/>
      <w:lvlText w:val="%5."/>
      <w:lvlJc w:val="left"/>
      <w:pPr>
        <w:ind w:left="3600" w:hanging="360"/>
      </w:pPr>
    </w:lvl>
    <w:lvl w:ilvl="5" w:tplc="AEFA3E7E" w:tentative="1">
      <w:start w:val="1"/>
      <w:numFmt w:val="lowerRoman"/>
      <w:lvlText w:val="%6."/>
      <w:lvlJc w:val="right"/>
      <w:pPr>
        <w:ind w:left="4320" w:hanging="180"/>
      </w:pPr>
    </w:lvl>
    <w:lvl w:ilvl="6" w:tplc="E536DDFE" w:tentative="1">
      <w:start w:val="1"/>
      <w:numFmt w:val="decimal"/>
      <w:lvlText w:val="%7."/>
      <w:lvlJc w:val="left"/>
      <w:pPr>
        <w:ind w:left="5040" w:hanging="360"/>
      </w:pPr>
    </w:lvl>
    <w:lvl w:ilvl="7" w:tplc="E814EEDC" w:tentative="1">
      <w:start w:val="1"/>
      <w:numFmt w:val="lowerLetter"/>
      <w:lvlText w:val="%8."/>
      <w:lvlJc w:val="left"/>
      <w:pPr>
        <w:ind w:left="5760" w:hanging="360"/>
      </w:pPr>
    </w:lvl>
    <w:lvl w:ilvl="8" w:tplc="1F7AD896" w:tentative="1">
      <w:start w:val="1"/>
      <w:numFmt w:val="lowerRoman"/>
      <w:lvlText w:val="%9."/>
      <w:lvlJc w:val="right"/>
      <w:pPr>
        <w:ind w:left="6480" w:hanging="180"/>
      </w:pPr>
    </w:lvl>
  </w:abstractNum>
  <w:abstractNum w:abstractNumId="27" w15:restartNumberingAfterBreak="0">
    <w:nsid w:val="5FB20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15673F2"/>
    <w:multiLevelType w:val="hybridMultilevel"/>
    <w:tmpl w:val="CA1403EA"/>
    <w:lvl w:ilvl="0" w:tplc="B4C4771A">
      <w:start w:val="1"/>
      <w:numFmt w:val="decimal"/>
      <w:lvlText w:val="%1."/>
      <w:lvlJc w:val="left"/>
      <w:pPr>
        <w:ind w:left="720" w:hanging="360"/>
      </w:pPr>
    </w:lvl>
    <w:lvl w:ilvl="1" w:tplc="7C38F620" w:tentative="1">
      <w:start w:val="1"/>
      <w:numFmt w:val="lowerLetter"/>
      <w:lvlText w:val="%2."/>
      <w:lvlJc w:val="left"/>
      <w:pPr>
        <w:ind w:left="1440" w:hanging="360"/>
      </w:pPr>
    </w:lvl>
    <w:lvl w:ilvl="2" w:tplc="F500C360" w:tentative="1">
      <w:start w:val="1"/>
      <w:numFmt w:val="lowerRoman"/>
      <w:lvlText w:val="%3."/>
      <w:lvlJc w:val="right"/>
      <w:pPr>
        <w:ind w:left="2160" w:hanging="180"/>
      </w:pPr>
    </w:lvl>
    <w:lvl w:ilvl="3" w:tplc="E24E63CE" w:tentative="1">
      <w:start w:val="1"/>
      <w:numFmt w:val="decimal"/>
      <w:lvlText w:val="%4."/>
      <w:lvlJc w:val="left"/>
      <w:pPr>
        <w:ind w:left="2880" w:hanging="360"/>
      </w:pPr>
    </w:lvl>
    <w:lvl w:ilvl="4" w:tplc="651449FE" w:tentative="1">
      <w:start w:val="1"/>
      <w:numFmt w:val="lowerLetter"/>
      <w:lvlText w:val="%5."/>
      <w:lvlJc w:val="left"/>
      <w:pPr>
        <w:ind w:left="3600" w:hanging="360"/>
      </w:pPr>
    </w:lvl>
    <w:lvl w:ilvl="5" w:tplc="2C6EE0DC" w:tentative="1">
      <w:start w:val="1"/>
      <w:numFmt w:val="lowerRoman"/>
      <w:lvlText w:val="%6."/>
      <w:lvlJc w:val="right"/>
      <w:pPr>
        <w:ind w:left="4320" w:hanging="180"/>
      </w:pPr>
    </w:lvl>
    <w:lvl w:ilvl="6" w:tplc="0EEE0356" w:tentative="1">
      <w:start w:val="1"/>
      <w:numFmt w:val="decimal"/>
      <w:lvlText w:val="%7."/>
      <w:lvlJc w:val="left"/>
      <w:pPr>
        <w:ind w:left="5040" w:hanging="360"/>
      </w:pPr>
    </w:lvl>
    <w:lvl w:ilvl="7" w:tplc="4F4439A2" w:tentative="1">
      <w:start w:val="1"/>
      <w:numFmt w:val="lowerLetter"/>
      <w:lvlText w:val="%8."/>
      <w:lvlJc w:val="left"/>
      <w:pPr>
        <w:ind w:left="5760" w:hanging="360"/>
      </w:pPr>
    </w:lvl>
    <w:lvl w:ilvl="8" w:tplc="5ACA9372" w:tentative="1">
      <w:start w:val="1"/>
      <w:numFmt w:val="lowerRoman"/>
      <w:lvlText w:val="%9."/>
      <w:lvlJc w:val="right"/>
      <w:pPr>
        <w:ind w:left="6480" w:hanging="180"/>
      </w:pPr>
    </w:lvl>
  </w:abstractNum>
  <w:abstractNum w:abstractNumId="29" w15:restartNumberingAfterBreak="0">
    <w:nsid w:val="66947A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7D49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0664F97"/>
    <w:multiLevelType w:val="multilevel"/>
    <w:tmpl w:val="AB847788"/>
    <w:lvl w:ilvl="0">
      <w:start w:val="1"/>
      <w:numFmt w:val="decimal"/>
      <w:lvlText w:val="%1."/>
      <w:lvlJc w:val="left"/>
      <w:pPr>
        <w:ind w:left="360" w:hanging="360"/>
      </w:pPr>
      <w:rPr>
        <w:rFonts w:ascii="Arial" w:eastAsiaTheme="minorHAnsi" w:hAnsi="Arial" w:cs="Arial"/>
        <w:b/>
        <w:bCs/>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B860CBE"/>
    <w:multiLevelType w:val="multilevel"/>
    <w:tmpl w:val="1E5E7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6"/>
  </w:num>
  <w:num w:numId="2">
    <w:abstractNumId w:val="6"/>
  </w:num>
  <w:num w:numId="3">
    <w:abstractNumId w:val="23"/>
  </w:num>
  <w:num w:numId="4">
    <w:abstractNumId w:val="17"/>
  </w:num>
  <w:num w:numId="5">
    <w:abstractNumId w:val="30"/>
  </w:num>
  <w:num w:numId="6">
    <w:abstractNumId w:val="1"/>
  </w:num>
  <w:num w:numId="7">
    <w:abstractNumId w:val="25"/>
  </w:num>
  <w:num w:numId="8">
    <w:abstractNumId w:val="29"/>
  </w:num>
  <w:num w:numId="9">
    <w:abstractNumId w:val="9"/>
  </w:num>
  <w:num w:numId="10">
    <w:abstractNumId w:val="7"/>
  </w:num>
  <w:num w:numId="11">
    <w:abstractNumId w:val="20"/>
  </w:num>
  <w:num w:numId="12">
    <w:abstractNumId w:val="19"/>
  </w:num>
  <w:num w:numId="13">
    <w:abstractNumId w:val="8"/>
  </w:num>
  <w:num w:numId="14">
    <w:abstractNumId w:val="4"/>
  </w:num>
  <w:num w:numId="15">
    <w:abstractNumId w:val="28"/>
  </w:num>
  <w:num w:numId="16">
    <w:abstractNumId w:val="27"/>
  </w:num>
  <w:num w:numId="17">
    <w:abstractNumId w:val="15"/>
  </w:num>
  <w:num w:numId="18">
    <w:abstractNumId w:val="31"/>
  </w:num>
  <w:num w:numId="19">
    <w:abstractNumId w:val="22"/>
  </w:num>
  <w:num w:numId="20">
    <w:abstractNumId w:val="14"/>
  </w:num>
  <w:num w:numId="21">
    <w:abstractNumId w:val="18"/>
  </w:num>
  <w:num w:numId="22">
    <w:abstractNumId w:val="32"/>
  </w:num>
  <w:num w:numId="23">
    <w:abstractNumId w:val="13"/>
  </w:num>
  <w:num w:numId="24">
    <w:abstractNumId w:val="3"/>
  </w:num>
  <w:num w:numId="25">
    <w:abstractNumId w:val="12"/>
  </w:num>
  <w:num w:numId="26">
    <w:abstractNumId w:val="11"/>
  </w:num>
  <w:num w:numId="27">
    <w:abstractNumId w:val="16"/>
  </w:num>
  <w:num w:numId="28">
    <w:abstractNumId w:val="10"/>
  </w:num>
  <w:num w:numId="29">
    <w:abstractNumId w:val="21"/>
  </w:num>
  <w:num w:numId="30">
    <w:abstractNumId w:val="0"/>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72"/>
    <w:rsid w:val="00010072"/>
    <w:rsid w:val="00011696"/>
    <w:rsid w:val="0001536F"/>
    <w:rsid w:val="000162C4"/>
    <w:rsid w:val="00027C73"/>
    <w:rsid w:val="00030A83"/>
    <w:rsid w:val="00031656"/>
    <w:rsid w:val="0003779D"/>
    <w:rsid w:val="00043C63"/>
    <w:rsid w:val="00055654"/>
    <w:rsid w:val="000703E0"/>
    <w:rsid w:val="00093297"/>
    <w:rsid w:val="000A30BD"/>
    <w:rsid w:val="000A45AC"/>
    <w:rsid w:val="000A735D"/>
    <w:rsid w:val="000A7374"/>
    <w:rsid w:val="000B12A7"/>
    <w:rsid w:val="000B1AF9"/>
    <w:rsid w:val="000B22DA"/>
    <w:rsid w:val="000C2323"/>
    <w:rsid w:val="000C32D2"/>
    <w:rsid w:val="000C440B"/>
    <w:rsid w:val="000C74F3"/>
    <w:rsid w:val="000C7B4F"/>
    <w:rsid w:val="000E3A44"/>
    <w:rsid w:val="000E55EF"/>
    <w:rsid w:val="000E7533"/>
    <w:rsid w:val="00105332"/>
    <w:rsid w:val="00115AAF"/>
    <w:rsid w:val="00134D6E"/>
    <w:rsid w:val="00134F98"/>
    <w:rsid w:val="0014040B"/>
    <w:rsid w:val="0015169E"/>
    <w:rsid w:val="00157605"/>
    <w:rsid w:val="001639D4"/>
    <w:rsid w:val="00163FC3"/>
    <w:rsid w:val="00172041"/>
    <w:rsid w:val="00172332"/>
    <w:rsid w:val="00173054"/>
    <w:rsid w:val="00183A0B"/>
    <w:rsid w:val="001A0D8C"/>
    <w:rsid w:val="001A1D48"/>
    <w:rsid w:val="001A2637"/>
    <w:rsid w:val="001A4CBC"/>
    <w:rsid w:val="001D223B"/>
    <w:rsid w:val="001D534A"/>
    <w:rsid w:val="001D6701"/>
    <w:rsid w:val="001E1FD1"/>
    <w:rsid w:val="001E46F4"/>
    <w:rsid w:val="001E60A0"/>
    <w:rsid w:val="001F4CEB"/>
    <w:rsid w:val="001F6509"/>
    <w:rsid w:val="00204C6F"/>
    <w:rsid w:val="00205242"/>
    <w:rsid w:val="0022017C"/>
    <w:rsid w:val="00220858"/>
    <w:rsid w:val="00232E17"/>
    <w:rsid w:val="002448BA"/>
    <w:rsid w:val="002526D1"/>
    <w:rsid w:val="00262D23"/>
    <w:rsid w:val="0027241F"/>
    <w:rsid w:val="0028286A"/>
    <w:rsid w:val="002829DC"/>
    <w:rsid w:val="00295000"/>
    <w:rsid w:val="002A071D"/>
    <w:rsid w:val="002A0DD5"/>
    <w:rsid w:val="002C182F"/>
    <w:rsid w:val="002D1C19"/>
    <w:rsid w:val="002E0206"/>
    <w:rsid w:val="002E14DD"/>
    <w:rsid w:val="002F4353"/>
    <w:rsid w:val="002F6ED7"/>
    <w:rsid w:val="00305050"/>
    <w:rsid w:val="0031075B"/>
    <w:rsid w:val="00321F57"/>
    <w:rsid w:val="00334E7D"/>
    <w:rsid w:val="00346B41"/>
    <w:rsid w:val="00370D61"/>
    <w:rsid w:val="00383C0A"/>
    <w:rsid w:val="00391CBC"/>
    <w:rsid w:val="00395975"/>
    <w:rsid w:val="003A4C13"/>
    <w:rsid w:val="003A605C"/>
    <w:rsid w:val="003B0A11"/>
    <w:rsid w:val="003C2CE1"/>
    <w:rsid w:val="003E652F"/>
    <w:rsid w:val="00405684"/>
    <w:rsid w:val="0042246E"/>
    <w:rsid w:val="004379AD"/>
    <w:rsid w:val="00445D00"/>
    <w:rsid w:val="0044695A"/>
    <w:rsid w:val="0045661D"/>
    <w:rsid w:val="00465C30"/>
    <w:rsid w:val="00474156"/>
    <w:rsid w:val="00475E29"/>
    <w:rsid w:val="00476378"/>
    <w:rsid w:val="00490800"/>
    <w:rsid w:val="00492A0F"/>
    <w:rsid w:val="004A007D"/>
    <w:rsid w:val="004C0ABA"/>
    <w:rsid w:val="004D3355"/>
    <w:rsid w:val="004F34D2"/>
    <w:rsid w:val="00507708"/>
    <w:rsid w:val="00510944"/>
    <w:rsid w:val="005171B2"/>
    <w:rsid w:val="00523E79"/>
    <w:rsid w:val="00524154"/>
    <w:rsid w:val="00525F1F"/>
    <w:rsid w:val="0053346C"/>
    <w:rsid w:val="0054482C"/>
    <w:rsid w:val="00567E47"/>
    <w:rsid w:val="00581A28"/>
    <w:rsid w:val="005945C1"/>
    <w:rsid w:val="00595191"/>
    <w:rsid w:val="005A1145"/>
    <w:rsid w:val="005A6AEB"/>
    <w:rsid w:val="005A73E7"/>
    <w:rsid w:val="005E0109"/>
    <w:rsid w:val="005E0352"/>
    <w:rsid w:val="005E070D"/>
    <w:rsid w:val="005E0E03"/>
    <w:rsid w:val="005F11C8"/>
    <w:rsid w:val="005F553A"/>
    <w:rsid w:val="00601A7E"/>
    <w:rsid w:val="006540B9"/>
    <w:rsid w:val="00677469"/>
    <w:rsid w:val="00680556"/>
    <w:rsid w:val="00686539"/>
    <w:rsid w:val="00693846"/>
    <w:rsid w:val="006A13E5"/>
    <w:rsid w:val="006A7247"/>
    <w:rsid w:val="006C07A9"/>
    <w:rsid w:val="006C4077"/>
    <w:rsid w:val="006D4D5E"/>
    <w:rsid w:val="006D5D0C"/>
    <w:rsid w:val="007048E9"/>
    <w:rsid w:val="0070789F"/>
    <w:rsid w:val="00712091"/>
    <w:rsid w:val="00724820"/>
    <w:rsid w:val="00725774"/>
    <w:rsid w:val="007357E9"/>
    <w:rsid w:val="00756235"/>
    <w:rsid w:val="007761D8"/>
    <w:rsid w:val="00781A3B"/>
    <w:rsid w:val="007837F4"/>
    <w:rsid w:val="0078397F"/>
    <w:rsid w:val="0079026E"/>
    <w:rsid w:val="0079643A"/>
    <w:rsid w:val="007B09CD"/>
    <w:rsid w:val="007B0C54"/>
    <w:rsid w:val="007C7045"/>
    <w:rsid w:val="007C73C2"/>
    <w:rsid w:val="007F4ECA"/>
    <w:rsid w:val="007F5DCA"/>
    <w:rsid w:val="00800367"/>
    <w:rsid w:val="00800845"/>
    <w:rsid w:val="008178F1"/>
    <w:rsid w:val="0082392B"/>
    <w:rsid w:val="00840140"/>
    <w:rsid w:val="00852849"/>
    <w:rsid w:val="008546D9"/>
    <w:rsid w:val="00871068"/>
    <w:rsid w:val="008714AD"/>
    <w:rsid w:val="00882AD3"/>
    <w:rsid w:val="008846C7"/>
    <w:rsid w:val="008978A3"/>
    <w:rsid w:val="008B0B5D"/>
    <w:rsid w:val="008C16A1"/>
    <w:rsid w:val="008D26E9"/>
    <w:rsid w:val="008E428F"/>
    <w:rsid w:val="00913B59"/>
    <w:rsid w:val="00925AD9"/>
    <w:rsid w:val="0093276B"/>
    <w:rsid w:val="0094105C"/>
    <w:rsid w:val="009422AD"/>
    <w:rsid w:val="009514DB"/>
    <w:rsid w:val="009528D4"/>
    <w:rsid w:val="00960BAA"/>
    <w:rsid w:val="00973A8B"/>
    <w:rsid w:val="009869D4"/>
    <w:rsid w:val="00986D4E"/>
    <w:rsid w:val="00991575"/>
    <w:rsid w:val="009936E8"/>
    <w:rsid w:val="009A50A3"/>
    <w:rsid w:val="009B5AC1"/>
    <w:rsid w:val="009B77EE"/>
    <w:rsid w:val="009D2474"/>
    <w:rsid w:val="009F787D"/>
    <w:rsid w:val="00A04206"/>
    <w:rsid w:val="00A20B5A"/>
    <w:rsid w:val="00A23C61"/>
    <w:rsid w:val="00A4067E"/>
    <w:rsid w:val="00A545AF"/>
    <w:rsid w:val="00A630B6"/>
    <w:rsid w:val="00A86FBE"/>
    <w:rsid w:val="00AB7B8E"/>
    <w:rsid w:val="00AD0B81"/>
    <w:rsid w:val="00AD4ADE"/>
    <w:rsid w:val="00AD616B"/>
    <w:rsid w:val="00AE3B47"/>
    <w:rsid w:val="00AF2CC4"/>
    <w:rsid w:val="00AF71BE"/>
    <w:rsid w:val="00B03135"/>
    <w:rsid w:val="00B0362B"/>
    <w:rsid w:val="00B05764"/>
    <w:rsid w:val="00B13CBE"/>
    <w:rsid w:val="00B17766"/>
    <w:rsid w:val="00B2318F"/>
    <w:rsid w:val="00B372D8"/>
    <w:rsid w:val="00B45C84"/>
    <w:rsid w:val="00B52F2C"/>
    <w:rsid w:val="00B616D2"/>
    <w:rsid w:val="00B71B0D"/>
    <w:rsid w:val="00B94FF2"/>
    <w:rsid w:val="00B9786B"/>
    <w:rsid w:val="00BB20D3"/>
    <w:rsid w:val="00BC205F"/>
    <w:rsid w:val="00BE0B98"/>
    <w:rsid w:val="00BE5878"/>
    <w:rsid w:val="00BE7044"/>
    <w:rsid w:val="00BF00EF"/>
    <w:rsid w:val="00BF225B"/>
    <w:rsid w:val="00C10362"/>
    <w:rsid w:val="00C205D0"/>
    <w:rsid w:val="00C32B4A"/>
    <w:rsid w:val="00C32DCA"/>
    <w:rsid w:val="00C364A1"/>
    <w:rsid w:val="00C3708D"/>
    <w:rsid w:val="00C37C4B"/>
    <w:rsid w:val="00C434A1"/>
    <w:rsid w:val="00C4772C"/>
    <w:rsid w:val="00C540A3"/>
    <w:rsid w:val="00C57537"/>
    <w:rsid w:val="00C669CA"/>
    <w:rsid w:val="00C77D11"/>
    <w:rsid w:val="00C829AD"/>
    <w:rsid w:val="00CB5DC7"/>
    <w:rsid w:val="00CB63FD"/>
    <w:rsid w:val="00CC4248"/>
    <w:rsid w:val="00CF39D8"/>
    <w:rsid w:val="00CF6174"/>
    <w:rsid w:val="00D04AA9"/>
    <w:rsid w:val="00D135C9"/>
    <w:rsid w:val="00D315E7"/>
    <w:rsid w:val="00D3717A"/>
    <w:rsid w:val="00D437B5"/>
    <w:rsid w:val="00D51E19"/>
    <w:rsid w:val="00D77A26"/>
    <w:rsid w:val="00DA4541"/>
    <w:rsid w:val="00DD283D"/>
    <w:rsid w:val="00DD4939"/>
    <w:rsid w:val="00DE1B3F"/>
    <w:rsid w:val="00E130DF"/>
    <w:rsid w:val="00E22373"/>
    <w:rsid w:val="00E237CE"/>
    <w:rsid w:val="00E37EFE"/>
    <w:rsid w:val="00E40DB9"/>
    <w:rsid w:val="00E40E3D"/>
    <w:rsid w:val="00E438B7"/>
    <w:rsid w:val="00E53343"/>
    <w:rsid w:val="00E548B5"/>
    <w:rsid w:val="00E567C7"/>
    <w:rsid w:val="00E81697"/>
    <w:rsid w:val="00E86131"/>
    <w:rsid w:val="00E86717"/>
    <w:rsid w:val="00E91F61"/>
    <w:rsid w:val="00EB49B5"/>
    <w:rsid w:val="00EB6D72"/>
    <w:rsid w:val="00EC00E7"/>
    <w:rsid w:val="00EC2B4A"/>
    <w:rsid w:val="00EC4889"/>
    <w:rsid w:val="00ED4E73"/>
    <w:rsid w:val="00EE2D99"/>
    <w:rsid w:val="00EE77D0"/>
    <w:rsid w:val="00EF0771"/>
    <w:rsid w:val="00F161FA"/>
    <w:rsid w:val="00F16C49"/>
    <w:rsid w:val="00F22CC5"/>
    <w:rsid w:val="00F25DB3"/>
    <w:rsid w:val="00F569D2"/>
    <w:rsid w:val="00F65E21"/>
    <w:rsid w:val="00F81FC5"/>
    <w:rsid w:val="00F821D5"/>
    <w:rsid w:val="00F93E7F"/>
    <w:rsid w:val="00FA0906"/>
    <w:rsid w:val="00FA45AF"/>
    <w:rsid w:val="00FA7CE8"/>
    <w:rsid w:val="00FB59DE"/>
    <w:rsid w:val="00FB5EA8"/>
    <w:rsid w:val="00FC49CE"/>
    <w:rsid w:val="00FC6236"/>
    <w:rsid w:val="00FD21DF"/>
    <w:rsid w:val="00FD3B6F"/>
    <w:rsid w:val="00FE030E"/>
    <w:rsid w:val="00FE101D"/>
    <w:rsid w:val="00FE31AC"/>
    <w:rsid w:val="00FF0ED9"/>
    <w:rsid w:val="00FF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B358E7"/>
  <w15:chartTrackingRefBased/>
  <w15:docId w15:val="{D8489963-58F3-4AB9-B9FD-5CB61E3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57E9"/>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autoRedefine/>
    <w:uiPriority w:val="9"/>
    <w:unhideWhenUsed/>
    <w:qFormat/>
    <w:rsid w:val="004379AD"/>
    <w:pPr>
      <w:keepNext/>
      <w:keepLines/>
      <w:numPr>
        <w:ilvl w:val="1"/>
        <w:numId w:val="18"/>
      </w:numPr>
      <w:spacing w:before="40" w:after="0" w:line="360" w:lineRule="auto"/>
      <w:jc w:val="both"/>
      <w:outlineLvl w:val="1"/>
    </w:pPr>
    <w:rPr>
      <w:rFonts w:ascii="Arial" w:eastAsiaTheme="majorEastAsia" w:hAnsi="Arial" w:cs="Arial"/>
      <w:b/>
      <w:bCs/>
      <w:color w:val="000000" w:themeColor="text1"/>
      <w:sz w:val="24"/>
      <w:szCs w:val="24"/>
    </w:rPr>
  </w:style>
  <w:style w:type="paragraph" w:styleId="Heading3">
    <w:name w:val="heading 3"/>
    <w:basedOn w:val="Normal"/>
    <w:next w:val="Normal"/>
    <w:link w:val="Heading3Char"/>
    <w:uiPriority w:val="9"/>
    <w:unhideWhenUsed/>
    <w:qFormat/>
    <w:rsid w:val="007357E9"/>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357E9"/>
    <w:pPr>
      <w:keepNext/>
      <w:keepLines/>
      <w:spacing w:before="40" w:after="0"/>
      <w:outlineLvl w:val="3"/>
    </w:pPr>
    <w:rPr>
      <w:rFonts w:eastAsiaTheme="majorEastAsia" w:cstheme="majorBidi"/>
      <w:i/>
      <w:iCs/>
      <w:color w:val="2F5496" w:themeColor="accent1" w:themeShade="BF"/>
    </w:rPr>
  </w:style>
  <w:style w:type="paragraph" w:styleId="Heading5">
    <w:name w:val="heading 5"/>
    <w:basedOn w:val="Normal"/>
    <w:next w:val="BodyText"/>
    <w:link w:val="Heading5Char"/>
    <w:uiPriority w:val="9"/>
    <w:unhideWhenUsed/>
    <w:qFormat/>
    <w:rsid w:val="007357E9"/>
    <w:pPr>
      <w:keepNext/>
      <w:keepLines/>
      <w:spacing w:before="200" w:after="0" w:line="240" w:lineRule="auto"/>
      <w:outlineLvl w:val="4"/>
    </w:pPr>
    <w:rPr>
      <w:rFonts w:eastAsiaTheme="majorEastAsia" w:cstheme="majorBidi"/>
      <w:iCs/>
      <w:color w:val="4472C4" w:themeColor="accent1"/>
      <w:sz w:val="24"/>
      <w:szCs w:val="24"/>
    </w:rPr>
  </w:style>
  <w:style w:type="paragraph" w:styleId="Heading6">
    <w:name w:val="heading 6"/>
    <w:basedOn w:val="Normal"/>
    <w:next w:val="BodyText"/>
    <w:link w:val="Heading6Char"/>
    <w:uiPriority w:val="9"/>
    <w:unhideWhenUsed/>
    <w:qFormat/>
    <w:rsid w:val="001F6509"/>
    <w:pPr>
      <w:keepNext/>
      <w:keepLines/>
      <w:spacing w:before="200" w:after="0" w:line="240" w:lineRule="auto"/>
      <w:outlineLvl w:val="5"/>
    </w:pPr>
    <w:rPr>
      <w:rFonts w:asciiTheme="majorHAnsi" w:eastAsiaTheme="majorEastAsia" w:hAnsiTheme="majorHAnsi" w:cstheme="majorBidi"/>
      <w:color w:val="4472C4" w:themeColor="accent1"/>
      <w:sz w:val="24"/>
      <w:szCs w:val="24"/>
    </w:rPr>
  </w:style>
  <w:style w:type="paragraph" w:styleId="Heading7">
    <w:name w:val="heading 7"/>
    <w:basedOn w:val="Normal"/>
    <w:next w:val="BodyText"/>
    <w:link w:val="Heading7Char"/>
    <w:uiPriority w:val="9"/>
    <w:unhideWhenUsed/>
    <w:qFormat/>
    <w:rsid w:val="001F6509"/>
    <w:pPr>
      <w:keepNext/>
      <w:keepLines/>
      <w:spacing w:before="200" w:after="0" w:line="240" w:lineRule="auto"/>
      <w:outlineLvl w:val="6"/>
    </w:pPr>
    <w:rPr>
      <w:rFonts w:asciiTheme="majorHAnsi" w:eastAsiaTheme="majorEastAsia" w:hAnsiTheme="majorHAnsi" w:cstheme="majorBidi"/>
      <w:color w:val="4472C4" w:themeColor="accent1"/>
      <w:sz w:val="24"/>
      <w:szCs w:val="24"/>
    </w:rPr>
  </w:style>
  <w:style w:type="paragraph" w:styleId="Heading8">
    <w:name w:val="heading 8"/>
    <w:basedOn w:val="Normal"/>
    <w:next w:val="BodyText"/>
    <w:link w:val="Heading8Char"/>
    <w:uiPriority w:val="9"/>
    <w:unhideWhenUsed/>
    <w:qFormat/>
    <w:rsid w:val="001F6509"/>
    <w:pPr>
      <w:keepNext/>
      <w:keepLines/>
      <w:spacing w:before="200" w:after="0" w:line="240" w:lineRule="auto"/>
      <w:outlineLvl w:val="7"/>
    </w:pPr>
    <w:rPr>
      <w:rFonts w:asciiTheme="majorHAnsi" w:eastAsiaTheme="majorEastAsia" w:hAnsiTheme="majorHAnsi" w:cstheme="majorBidi"/>
      <w:color w:val="4472C4" w:themeColor="accent1"/>
      <w:sz w:val="24"/>
      <w:szCs w:val="24"/>
    </w:rPr>
  </w:style>
  <w:style w:type="paragraph" w:styleId="Heading9">
    <w:name w:val="heading 9"/>
    <w:basedOn w:val="Normal"/>
    <w:next w:val="BodyText"/>
    <w:link w:val="Heading9Char"/>
    <w:uiPriority w:val="9"/>
    <w:unhideWhenUsed/>
    <w:qFormat/>
    <w:rsid w:val="001F6509"/>
    <w:pPr>
      <w:keepNext/>
      <w:keepLines/>
      <w:spacing w:before="200" w:after="0" w:line="240" w:lineRule="auto"/>
      <w:outlineLvl w:val="8"/>
    </w:pPr>
    <w:rPr>
      <w:rFonts w:asciiTheme="majorHAnsi" w:eastAsiaTheme="majorEastAsia" w:hAnsiTheme="majorHAnsi" w:cstheme="majorBidi"/>
      <w:color w:val="4472C4"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E9"/>
    <w:rPr>
      <w:rFonts w:eastAsiaTheme="majorEastAsia" w:cstheme="majorBidi"/>
      <w:color w:val="2F5496" w:themeColor="accent1" w:themeShade="BF"/>
      <w:sz w:val="28"/>
      <w:szCs w:val="32"/>
    </w:rPr>
  </w:style>
  <w:style w:type="paragraph" w:styleId="Header">
    <w:name w:val="header"/>
    <w:basedOn w:val="Normal"/>
    <w:link w:val="HeaderChar"/>
    <w:uiPriority w:val="99"/>
    <w:unhideWhenUsed/>
    <w:rsid w:val="00EB6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72"/>
  </w:style>
  <w:style w:type="paragraph" w:styleId="Footer">
    <w:name w:val="footer"/>
    <w:basedOn w:val="Normal"/>
    <w:link w:val="FooterChar"/>
    <w:uiPriority w:val="99"/>
    <w:unhideWhenUsed/>
    <w:rsid w:val="00EB6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D72"/>
  </w:style>
  <w:style w:type="paragraph" w:styleId="NoSpacing">
    <w:name w:val="No Spacing"/>
    <w:link w:val="NoSpacingChar"/>
    <w:uiPriority w:val="1"/>
    <w:qFormat/>
    <w:rsid w:val="00CB5DC7"/>
    <w:pPr>
      <w:spacing w:after="0" w:line="240" w:lineRule="auto"/>
    </w:pPr>
    <w:rPr>
      <w:rFonts w:eastAsiaTheme="minorEastAsia"/>
    </w:rPr>
  </w:style>
  <w:style w:type="character" w:customStyle="1" w:styleId="NoSpacingChar">
    <w:name w:val="No Spacing Char"/>
    <w:basedOn w:val="DefaultParagraphFont"/>
    <w:link w:val="NoSpacing"/>
    <w:uiPriority w:val="1"/>
    <w:rsid w:val="00CB5DC7"/>
    <w:rPr>
      <w:rFonts w:eastAsiaTheme="minorEastAsia"/>
    </w:rPr>
  </w:style>
  <w:style w:type="paragraph" w:styleId="ListParagraph">
    <w:name w:val="List Paragraph"/>
    <w:basedOn w:val="Normal"/>
    <w:uiPriority w:val="34"/>
    <w:qFormat/>
    <w:rsid w:val="006D5D0C"/>
    <w:pPr>
      <w:ind w:left="720"/>
      <w:contextualSpacing/>
    </w:pPr>
  </w:style>
  <w:style w:type="character" w:customStyle="1" w:styleId="Heading2Char">
    <w:name w:val="Heading 2 Char"/>
    <w:basedOn w:val="DefaultParagraphFont"/>
    <w:link w:val="Heading2"/>
    <w:uiPriority w:val="9"/>
    <w:rsid w:val="004379AD"/>
    <w:rPr>
      <w:rFonts w:ascii="Arial" w:eastAsiaTheme="majorEastAsia" w:hAnsi="Arial" w:cs="Arial"/>
      <w:b/>
      <w:bCs/>
      <w:color w:val="000000" w:themeColor="text1"/>
      <w:sz w:val="24"/>
      <w:szCs w:val="24"/>
    </w:rPr>
  </w:style>
  <w:style w:type="character" w:customStyle="1" w:styleId="Heading3Char">
    <w:name w:val="Heading 3 Char"/>
    <w:basedOn w:val="DefaultParagraphFont"/>
    <w:link w:val="Heading3"/>
    <w:uiPriority w:val="9"/>
    <w:rsid w:val="007357E9"/>
    <w:rPr>
      <w:rFonts w:eastAsiaTheme="majorEastAsia" w:cstheme="majorBidi"/>
      <w:color w:val="1F3763" w:themeColor="accent1" w:themeShade="7F"/>
      <w:sz w:val="24"/>
      <w:szCs w:val="24"/>
    </w:rPr>
  </w:style>
  <w:style w:type="character" w:styleId="PlaceholderText">
    <w:name w:val="Placeholder Text"/>
    <w:basedOn w:val="DefaultParagraphFont"/>
    <w:semiHidden/>
    <w:rsid w:val="00686539"/>
    <w:rPr>
      <w:color w:val="808080"/>
    </w:rPr>
  </w:style>
  <w:style w:type="paragraph" w:styleId="Bibliography">
    <w:name w:val="Bibliography"/>
    <w:basedOn w:val="Normal"/>
    <w:next w:val="Normal"/>
    <w:unhideWhenUsed/>
    <w:qFormat/>
    <w:rsid w:val="00D77A26"/>
    <w:pPr>
      <w:spacing w:after="240" w:line="240" w:lineRule="auto"/>
    </w:pPr>
  </w:style>
  <w:style w:type="paragraph" w:styleId="BodyText">
    <w:name w:val="Body Text"/>
    <w:basedOn w:val="Normal"/>
    <w:link w:val="BodyTextChar"/>
    <w:qFormat/>
    <w:rsid w:val="006A13E5"/>
    <w:pPr>
      <w:spacing w:before="180" w:after="180" w:line="240" w:lineRule="auto"/>
    </w:pPr>
    <w:rPr>
      <w:sz w:val="24"/>
      <w:szCs w:val="24"/>
    </w:rPr>
  </w:style>
  <w:style w:type="character" w:customStyle="1" w:styleId="BodyTextChar">
    <w:name w:val="Body Text Char"/>
    <w:basedOn w:val="DefaultParagraphFont"/>
    <w:link w:val="BodyText"/>
    <w:rsid w:val="006A13E5"/>
    <w:rPr>
      <w:sz w:val="24"/>
      <w:szCs w:val="24"/>
    </w:rPr>
  </w:style>
  <w:style w:type="paragraph" w:customStyle="1" w:styleId="FirstParagraph">
    <w:name w:val="First Paragraph"/>
    <w:basedOn w:val="BodyText"/>
    <w:next w:val="BodyText"/>
    <w:qFormat/>
    <w:rsid w:val="006A13E5"/>
  </w:style>
  <w:style w:type="character" w:customStyle="1" w:styleId="Heading4Char">
    <w:name w:val="Heading 4 Char"/>
    <w:basedOn w:val="DefaultParagraphFont"/>
    <w:link w:val="Heading4"/>
    <w:uiPriority w:val="9"/>
    <w:rsid w:val="007357E9"/>
    <w:rPr>
      <w:rFonts w:eastAsiaTheme="majorEastAsia" w:cstheme="majorBidi"/>
      <w:i/>
      <w:iCs/>
      <w:color w:val="2F5496" w:themeColor="accent1" w:themeShade="BF"/>
    </w:rPr>
  </w:style>
  <w:style w:type="paragraph" w:styleId="Title">
    <w:name w:val="Title"/>
    <w:basedOn w:val="Normal"/>
    <w:next w:val="Normal"/>
    <w:link w:val="TitleChar"/>
    <w:qFormat/>
    <w:rsid w:val="00F81F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FC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3A605C"/>
    <w:rPr>
      <w:sz w:val="16"/>
      <w:szCs w:val="16"/>
    </w:rPr>
  </w:style>
  <w:style w:type="paragraph" w:styleId="CommentText">
    <w:name w:val="annotation text"/>
    <w:basedOn w:val="Normal"/>
    <w:link w:val="CommentTextChar"/>
    <w:uiPriority w:val="99"/>
    <w:semiHidden/>
    <w:unhideWhenUsed/>
    <w:rsid w:val="003A605C"/>
    <w:pPr>
      <w:spacing w:line="240" w:lineRule="auto"/>
    </w:pPr>
    <w:rPr>
      <w:sz w:val="20"/>
      <w:szCs w:val="20"/>
    </w:rPr>
  </w:style>
  <w:style w:type="character" w:customStyle="1" w:styleId="CommentTextChar">
    <w:name w:val="Comment Text Char"/>
    <w:basedOn w:val="DefaultParagraphFont"/>
    <w:link w:val="CommentText"/>
    <w:uiPriority w:val="99"/>
    <w:semiHidden/>
    <w:rsid w:val="003A605C"/>
    <w:rPr>
      <w:sz w:val="20"/>
      <w:szCs w:val="20"/>
    </w:rPr>
  </w:style>
  <w:style w:type="paragraph" w:styleId="CommentSubject">
    <w:name w:val="annotation subject"/>
    <w:basedOn w:val="CommentText"/>
    <w:next w:val="CommentText"/>
    <w:link w:val="CommentSubjectChar"/>
    <w:uiPriority w:val="99"/>
    <w:semiHidden/>
    <w:unhideWhenUsed/>
    <w:rsid w:val="003A605C"/>
    <w:rPr>
      <w:b/>
      <w:bCs/>
    </w:rPr>
  </w:style>
  <w:style w:type="character" w:customStyle="1" w:styleId="CommentSubjectChar">
    <w:name w:val="Comment Subject Char"/>
    <w:basedOn w:val="CommentTextChar"/>
    <w:link w:val="CommentSubject"/>
    <w:uiPriority w:val="99"/>
    <w:semiHidden/>
    <w:rsid w:val="003A605C"/>
    <w:rPr>
      <w:b/>
      <w:bCs/>
      <w:sz w:val="20"/>
      <w:szCs w:val="20"/>
    </w:rPr>
  </w:style>
  <w:style w:type="paragraph" w:styleId="BalloonText">
    <w:name w:val="Balloon Text"/>
    <w:basedOn w:val="Normal"/>
    <w:link w:val="BalloonTextChar"/>
    <w:uiPriority w:val="99"/>
    <w:semiHidden/>
    <w:unhideWhenUsed/>
    <w:rsid w:val="008846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6C7"/>
    <w:rPr>
      <w:rFonts w:ascii="Segoe UI" w:hAnsi="Segoe UI" w:cs="Segoe UI"/>
      <w:sz w:val="18"/>
      <w:szCs w:val="18"/>
    </w:rPr>
  </w:style>
  <w:style w:type="character" w:customStyle="1" w:styleId="Heading5Char">
    <w:name w:val="Heading 5 Char"/>
    <w:basedOn w:val="DefaultParagraphFont"/>
    <w:link w:val="Heading5"/>
    <w:uiPriority w:val="9"/>
    <w:rsid w:val="007357E9"/>
    <w:rPr>
      <w:rFonts w:eastAsiaTheme="majorEastAsia" w:cstheme="majorBidi"/>
      <w:iCs/>
      <w:color w:val="4472C4" w:themeColor="accent1"/>
      <w:sz w:val="24"/>
      <w:szCs w:val="24"/>
    </w:rPr>
  </w:style>
  <w:style w:type="character" w:customStyle="1" w:styleId="Heading6Char">
    <w:name w:val="Heading 6 Char"/>
    <w:basedOn w:val="DefaultParagraphFont"/>
    <w:link w:val="Heading6"/>
    <w:uiPriority w:val="9"/>
    <w:rsid w:val="001F6509"/>
    <w:rPr>
      <w:rFonts w:asciiTheme="majorHAnsi" w:eastAsiaTheme="majorEastAsia" w:hAnsiTheme="majorHAnsi" w:cstheme="majorBidi"/>
      <w:color w:val="4472C4" w:themeColor="accent1"/>
      <w:sz w:val="24"/>
      <w:szCs w:val="24"/>
    </w:rPr>
  </w:style>
  <w:style w:type="character" w:customStyle="1" w:styleId="Heading7Char">
    <w:name w:val="Heading 7 Char"/>
    <w:basedOn w:val="DefaultParagraphFont"/>
    <w:link w:val="Heading7"/>
    <w:uiPriority w:val="9"/>
    <w:rsid w:val="001F6509"/>
    <w:rPr>
      <w:rFonts w:asciiTheme="majorHAnsi" w:eastAsiaTheme="majorEastAsia" w:hAnsiTheme="majorHAnsi" w:cstheme="majorBidi"/>
      <w:color w:val="4472C4" w:themeColor="accent1"/>
      <w:sz w:val="24"/>
      <w:szCs w:val="24"/>
    </w:rPr>
  </w:style>
  <w:style w:type="character" w:customStyle="1" w:styleId="Heading8Char">
    <w:name w:val="Heading 8 Char"/>
    <w:basedOn w:val="DefaultParagraphFont"/>
    <w:link w:val="Heading8"/>
    <w:uiPriority w:val="9"/>
    <w:rsid w:val="001F6509"/>
    <w:rPr>
      <w:rFonts w:asciiTheme="majorHAnsi" w:eastAsiaTheme="majorEastAsia" w:hAnsiTheme="majorHAnsi" w:cstheme="majorBidi"/>
      <w:color w:val="4472C4" w:themeColor="accent1"/>
      <w:sz w:val="24"/>
      <w:szCs w:val="24"/>
    </w:rPr>
  </w:style>
  <w:style w:type="character" w:customStyle="1" w:styleId="Heading9Char">
    <w:name w:val="Heading 9 Char"/>
    <w:basedOn w:val="DefaultParagraphFont"/>
    <w:link w:val="Heading9"/>
    <w:uiPriority w:val="9"/>
    <w:rsid w:val="001F6509"/>
    <w:rPr>
      <w:rFonts w:asciiTheme="majorHAnsi" w:eastAsiaTheme="majorEastAsia" w:hAnsiTheme="majorHAnsi" w:cstheme="majorBidi"/>
      <w:color w:val="4472C4" w:themeColor="accent1"/>
      <w:sz w:val="24"/>
      <w:szCs w:val="24"/>
    </w:rPr>
  </w:style>
  <w:style w:type="paragraph" w:customStyle="1" w:styleId="Compact">
    <w:name w:val="Compact"/>
    <w:basedOn w:val="BodyText"/>
    <w:qFormat/>
    <w:rsid w:val="001F6509"/>
    <w:pPr>
      <w:spacing w:before="36" w:after="36"/>
    </w:pPr>
  </w:style>
  <w:style w:type="paragraph" w:styleId="Subtitle">
    <w:name w:val="Subtitle"/>
    <w:basedOn w:val="Title"/>
    <w:next w:val="BodyText"/>
    <w:link w:val="SubtitleChar"/>
    <w:qFormat/>
    <w:rsid w:val="001F6509"/>
    <w:pPr>
      <w:keepNext/>
      <w:keepLines/>
      <w:spacing w:before="240" w:after="240"/>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1F6509"/>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qFormat/>
    <w:rsid w:val="001F6509"/>
    <w:pPr>
      <w:keepNext/>
      <w:keepLines/>
      <w:spacing w:after="200" w:line="240" w:lineRule="auto"/>
      <w:jc w:val="center"/>
    </w:pPr>
    <w:rPr>
      <w:sz w:val="24"/>
      <w:szCs w:val="24"/>
    </w:rPr>
  </w:style>
  <w:style w:type="paragraph" w:styleId="Date">
    <w:name w:val="Date"/>
    <w:next w:val="BodyText"/>
    <w:link w:val="DateChar"/>
    <w:qFormat/>
    <w:rsid w:val="001F6509"/>
    <w:pPr>
      <w:keepNext/>
      <w:keepLines/>
      <w:spacing w:after="200" w:line="240" w:lineRule="auto"/>
      <w:jc w:val="center"/>
    </w:pPr>
    <w:rPr>
      <w:sz w:val="24"/>
      <w:szCs w:val="24"/>
    </w:rPr>
  </w:style>
  <w:style w:type="character" w:customStyle="1" w:styleId="DateChar">
    <w:name w:val="Date Char"/>
    <w:basedOn w:val="DefaultParagraphFont"/>
    <w:link w:val="Date"/>
    <w:rsid w:val="001F6509"/>
    <w:rPr>
      <w:sz w:val="24"/>
      <w:szCs w:val="24"/>
    </w:rPr>
  </w:style>
  <w:style w:type="paragraph" w:customStyle="1" w:styleId="Abstract">
    <w:name w:val="Abstract"/>
    <w:basedOn w:val="Normal"/>
    <w:next w:val="BodyText"/>
    <w:qFormat/>
    <w:rsid w:val="001F6509"/>
    <w:pPr>
      <w:keepNext/>
      <w:keepLines/>
      <w:spacing w:before="300" w:after="300" w:line="240" w:lineRule="auto"/>
    </w:pPr>
    <w:rPr>
      <w:sz w:val="20"/>
      <w:szCs w:val="20"/>
    </w:rPr>
  </w:style>
  <w:style w:type="paragraph" w:styleId="BlockText">
    <w:name w:val="Block Text"/>
    <w:basedOn w:val="BodyText"/>
    <w:next w:val="BodyText"/>
    <w:uiPriority w:val="9"/>
    <w:unhideWhenUsed/>
    <w:qFormat/>
    <w:rsid w:val="001F6509"/>
    <w:pPr>
      <w:spacing w:before="100" w:after="100"/>
      <w:ind w:left="480" w:right="480"/>
    </w:pPr>
  </w:style>
  <w:style w:type="paragraph" w:styleId="FootnoteText">
    <w:name w:val="footnote text"/>
    <w:basedOn w:val="Normal"/>
    <w:link w:val="FootnoteTextChar"/>
    <w:uiPriority w:val="9"/>
    <w:unhideWhenUsed/>
    <w:qFormat/>
    <w:rsid w:val="001F6509"/>
    <w:pPr>
      <w:spacing w:after="200" w:line="240" w:lineRule="auto"/>
    </w:pPr>
    <w:rPr>
      <w:sz w:val="24"/>
      <w:szCs w:val="24"/>
    </w:rPr>
  </w:style>
  <w:style w:type="character" w:customStyle="1" w:styleId="FootnoteTextChar">
    <w:name w:val="Footnote Text Char"/>
    <w:basedOn w:val="DefaultParagraphFont"/>
    <w:link w:val="FootnoteText"/>
    <w:uiPriority w:val="9"/>
    <w:rsid w:val="001F6509"/>
    <w:rPr>
      <w:sz w:val="24"/>
      <w:szCs w:val="24"/>
    </w:rPr>
  </w:style>
  <w:style w:type="table" w:customStyle="1" w:styleId="Table">
    <w:name w:val="Table"/>
    <w:semiHidden/>
    <w:unhideWhenUsed/>
    <w:qFormat/>
    <w:rsid w:val="001F6509"/>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F6509"/>
    <w:pPr>
      <w:keepNext/>
      <w:keepLines/>
      <w:spacing w:after="0" w:line="240" w:lineRule="auto"/>
    </w:pPr>
    <w:rPr>
      <w:b/>
      <w:sz w:val="24"/>
      <w:szCs w:val="24"/>
    </w:rPr>
  </w:style>
  <w:style w:type="paragraph" w:customStyle="1" w:styleId="Definition">
    <w:name w:val="Definition"/>
    <w:basedOn w:val="Normal"/>
    <w:rsid w:val="001F6509"/>
    <w:pPr>
      <w:spacing w:after="200" w:line="240" w:lineRule="auto"/>
    </w:pPr>
    <w:rPr>
      <w:sz w:val="24"/>
      <w:szCs w:val="24"/>
    </w:rPr>
  </w:style>
  <w:style w:type="paragraph" w:styleId="Caption">
    <w:name w:val="caption"/>
    <w:basedOn w:val="Normal"/>
    <w:link w:val="CaptionChar"/>
    <w:rsid w:val="001F6509"/>
    <w:pPr>
      <w:spacing w:after="120" w:line="240" w:lineRule="auto"/>
    </w:pPr>
    <w:rPr>
      <w:i/>
      <w:sz w:val="24"/>
      <w:szCs w:val="24"/>
    </w:rPr>
  </w:style>
  <w:style w:type="paragraph" w:customStyle="1" w:styleId="TableCaption">
    <w:name w:val="Table Caption"/>
    <w:basedOn w:val="Caption"/>
    <w:rsid w:val="001F6509"/>
    <w:pPr>
      <w:keepNext/>
    </w:pPr>
  </w:style>
  <w:style w:type="paragraph" w:customStyle="1" w:styleId="ImageCaption">
    <w:name w:val="Image Caption"/>
    <w:basedOn w:val="Caption"/>
    <w:rsid w:val="001F6509"/>
  </w:style>
  <w:style w:type="paragraph" w:customStyle="1" w:styleId="Figure">
    <w:name w:val="Figure"/>
    <w:basedOn w:val="Normal"/>
    <w:rsid w:val="001F6509"/>
    <w:pPr>
      <w:spacing w:after="200" w:line="240" w:lineRule="auto"/>
    </w:pPr>
    <w:rPr>
      <w:sz w:val="24"/>
      <w:szCs w:val="24"/>
    </w:rPr>
  </w:style>
  <w:style w:type="paragraph" w:customStyle="1" w:styleId="CaptionedFigure">
    <w:name w:val="Captioned Figure"/>
    <w:basedOn w:val="Figure"/>
    <w:rsid w:val="001F6509"/>
    <w:pPr>
      <w:keepNext/>
    </w:pPr>
  </w:style>
  <w:style w:type="character" w:customStyle="1" w:styleId="CaptionChar">
    <w:name w:val="Caption Char"/>
    <w:basedOn w:val="DefaultParagraphFont"/>
    <w:link w:val="Caption"/>
    <w:rsid w:val="001F6509"/>
    <w:rPr>
      <w:i/>
      <w:sz w:val="24"/>
      <w:szCs w:val="24"/>
    </w:rPr>
  </w:style>
  <w:style w:type="character" w:customStyle="1" w:styleId="VerbatimChar">
    <w:name w:val="Verbatim Char"/>
    <w:basedOn w:val="CaptionChar"/>
    <w:link w:val="SourceCode"/>
    <w:rsid w:val="001F6509"/>
    <w:rPr>
      <w:rFonts w:ascii="Consolas" w:hAnsi="Consolas"/>
      <w:i/>
      <w:sz w:val="24"/>
      <w:szCs w:val="24"/>
    </w:rPr>
  </w:style>
  <w:style w:type="character" w:customStyle="1" w:styleId="SectionNumber">
    <w:name w:val="Section Number"/>
    <w:basedOn w:val="CaptionChar"/>
    <w:rsid w:val="001F6509"/>
    <w:rPr>
      <w:i/>
      <w:sz w:val="24"/>
      <w:szCs w:val="24"/>
    </w:rPr>
  </w:style>
  <w:style w:type="character" w:styleId="FootnoteReference">
    <w:name w:val="footnote reference"/>
    <w:basedOn w:val="CaptionChar"/>
    <w:rsid w:val="001F6509"/>
    <w:rPr>
      <w:i/>
      <w:sz w:val="24"/>
      <w:szCs w:val="24"/>
      <w:vertAlign w:val="superscript"/>
    </w:rPr>
  </w:style>
  <w:style w:type="character" w:styleId="Hyperlink">
    <w:name w:val="Hyperlink"/>
    <w:basedOn w:val="CaptionChar"/>
    <w:uiPriority w:val="99"/>
    <w:rsid w:val="001F6509"/>
    <w:rPr>
      <w:i/>
      <w:color w:val="4472C4" w:themeColor="accent1"/>
      <w:sz w:val="24"/>
      <w:szCs w:val="24"/>
    </w:rPr>
  </w:style>
  <w:style w:type="paragraph" w:styleId="TOCHeading">
    <w:name w:val="TOC Heading"/>
    <w:basedOn w:val="Heading1"/>
    <w:next w:val="BodyText"/>
    <w:uiPriority w:val="39"/>
    <w:unhideWhenUsed/>
    <w:qFormat/>
    <w:rsid w:val="001F6509"/>
    <w:pPr>
      <w:outlineLvl w:val="9"/>
    </w:pPr>
    <w:rPr>
      <w:sz w:val="32"/>
    </w:rPr>
  </w:style>
  <w:style w:type="paragraph" w:customStyle="1" w:styleId="SourceCode">
    <w:name w:val="Source Code"/>
    <w:basedOn w:val="Normal"/>
    <w:link w:val="VerbatimChar"/>
    <w:rsid w:val="001F6509"/>
    <w:pPr>
      <w:wordWrap w:val="0"/>
      <w:spacing w:after="200" w:line="240" w:lineRule="auto"/>
    </w:pPr>
    <w:rPr>
      <w:rFonts w:ascii="Consolas" w:hAnsi="Consolas"/>
      <w:i/>
      <w:szCs w:val="24"/>
    </w:rPr>
  </w:style>
  <w:style w:type="character" w:customStyle="1" w:styleId="KeywordTok">
    <w:name w:val="KeywordTok"/>
    <w:basedOn w:val="VerbatimChar"/>
    <w:rsid w:val="001F6509"/>
    <w:rPr>
      <w:rFonts w:ascii="Consolas" w:hAnsi="Consolas"/>
      <w:b/>
      <w:i/>
      <w:color w:val="007020"/>
      <w:sz w:val="24"/>
      <w:szCs w:val="24"/>
    </w:rPr>
  </w:style>
  <w:style w:type="character" w:customStyle="1" w:styleId="DataTypeTok">
    <w:name w:val="DataTypeTok"/>
    <w:basedOn w:val="VerbatimChar"/>
    <w:rsid w:val="001F6509"/>
    <w:rPr>
      <w:rFonts w:ascii="Consolas" w:hAnsi="Consolas"/>
      <w:i/>
      <w:color w:val="902000"/>
      <w:sz w:val="24"/>
      <w:szCs w:val="24"/>
    </w:rPr>
  </w:style>
  <w:style w:type="character" w:customStyle="1" w:styleId="DecValTok">
    <w:name w:val="DecValTok"/>
    <w:basedOn w:val="VerbatimChar"/>
    <w:rsid w:val="001F6509"/>
    <w:rPr>
      <w:rFonts w:ascii="Consolas" w:hAnsi="Consolas"/>
      <w:i/>
      <w:color w:val="40A070"/>
      <w:sz w:val="24"/>
      <w:szCs w:val="24"/>
    </w:rPr>
  </w:style>
  <w:style w:type="character" w:customStyle="1" w:styleId="BaseNTok">
    <w:name w:val="BaseNTok"/>
    <w:basedOn w:val="VerbatimChar"/>
    <w:rsid w:val="001F6509"/>
    <w:rPr>
      <w:rFonts w:ascii="Consolas" w:hAnsi="Consolas"/>
      <w:i/>
      <w:color w:val="40A070"/>
      <w:sz w:val="24"/>
      <w:szCs w:val="24"/>
    </w:rPr>
  </w:style>
  <w:style w:type="character" w:customStyle="1" w:styleId="FloatTok">
    <w:name w:val="FloatTok"/>
    <w:basedOn w:val="VerbatimChar"/>
    <w:rsid w:val="001F6509"/>
    <w:rPr>
      <w:rFonts w:ascii="Consolas" w:hAnsi="Consolas"/>
      <w:i/>
      <w:color w:val="40A070"/>
      <w:sz w:val="24"/>
      <w:szCs w:val="24"/>
    </w:rPr>
  </w:style>
  <w:style w:type="character" w:customStyle="1" w:styleId="ConstantTok">
    <w:name w:val="ConstantTok"/>
    <w:basedOn w:val="VerbatimChar"/>
    <w:rsid w:val="001F6509"/>
    <w:rPr>
      <w:rFonts w:ascii="Consolas" w:hAnsi="Consolas"/>
      <w:i/>
      <w:color w:val="880000"/>
      <w:sz w:val="24"/>
      <w:szCs w:val="24"/>
    </w:rPr>
  </w:style>
  <w:style w:type="character" w:customStyle="1" w:styleId="CharTok">
    <w:name w:val="CharTok"/>
    <w:basedOn w:val="VerbatimChar"/>
    <w:rsid w:val="001F6509"/>
    <w:rPr>
      <w:rFonts w:ascii="Consolas" w:hAnsi="Consolas"/>
      <w:i/>
      <w:color w:val="4070A0"/>
      <w:sz w:val="24"/>
      <w:szCs w:val="24"/>
    </w:rPr>
  </w:style>
  <w:style w:type="character" w:customStyle="1" w:styleId="SpecialCharTok">
    <w:name w:val="SpecialCharTok"/>
    <w:basedOn w:val="VerbatimChar"/>
    <w:rsid w:val="001F6509"/>
    <w:rPr>
      <w:rFonts w:ascii="Consolas" w:hAnsi="Consolas"/>
      <w:i/>
      <w:color w:val="4070A0"/>
      <w:sz w:val="24"/>
      <w:szCs w:val="24"/>
    </w:rPr>
  </w:style>
  <w:style w:type="character" w:customStyle="1" w:styleId="StringTok">
    <w:name w:val="StringTok"/>
    <w:basedOn w:val="VerbatimChar"/>
    <w:rsid w:val="001F6509"/>
    <w:rPr>
      <w:rFonts w:ascii="Consolas" w:hAnsi="Consolas"/>
      <w:i/>
      <w:color w:val="4070A0"/>
      <w:sz w:val="24"/>
      <w:szCs w:val="24"/>
    </w:rPr>
  </w:style>
  <w:style w:type="character" w:customStyle="1" w:styleId="VerbatimStringTok">
    <w:name w:val="VerbatimStringTok"/>
    <w:basedOn w:val="VerbatimChar"/>
    <w:rsid w:val="001F6509"/>
    <w:rPr>
      <w:rFonts w:ascii="Consolas" w:hAnsi="Consolas"/>
      <w:i/>
      <w:color w:val="4070A0"/>
      <w:sz w:val="24"/>
      <w:szCs w:val="24"/>
    </w:rPr>
  </w:style>
  <w:style w:type="character" w:customStyle="1" w:styleId="SpecialStringTok">
    <w:name w:val="SpecialStringTok"/>
    <w:basedOn w:val="VerbatimChar"/>
    <w:rsid w:val="001F6509"/>
    <w:rPr>
      <w:rFonts w:ascii="Consolas" w:hAnsi="Consolas"/>
      <w:i/>
      <w:color w:val="BB6688"/>
      <w:sz w:val="24"/>
      <w:szCs w:val="24"/>
    </w:rPr>
  </w:style>
  <w:style w:type="character" w:customStyle="1" w:styleId="ImportTok">
    <w:name w:val="ImportTok"/>
    <w:basedOn w:val="VerbatimChar"/>
    <w:rsid w:val="001F6509"/>
    <w:rPr>
      <w:rFonts w:ascii="Consolas" w:hAnsi="Consolas"/>
      <w:i/>
      <w:sz w:val="24"/>
      <w:szCs w:val="24"/>
    </w:rPr>
  </w:style>
  <w:style w:type="character" w:customStyle="1" w:styleId="CommentTok">
    <w:name w:val="CommentTok"/>
    <w:basedOn w:val="VerbatimChar"/>
    <w:rsid w:val="001F6509"/>
    <w:rPr>
      <w:rFonts w:ascii="Consolas" w:hAnsi="Consolas"/>
      <w:i w:val="0"/>
      <w:color w:val="60A0B0"/>
      <w:sz w:val="24"/>
      <w:szCs w:val="24"/>
    </w:rPr>
  </w:style>
  <w:style w:type="character" w:customStyle="1" w:styleId="DocumentationTok">
    <w:name w:val="DocumentationTok"/>
    <w:basedOn w:val="VerbatimChar"/>
    <w:rsid w:val="001F6509"/>
    <w:rPr>
      <w:rFonts w:ascii="Consolas" w:hAnsi="Consolas"/>
      <w:i w:val="0"/>
      <w:color w:val="BA2121"/>
      <w:sz w:val="24"/>
      <w:szCs w:val="24"/>
    </w:rPr>
  </w:style>
  <w:style w:type="character" w:customStyle="1" w:styleId="AnnotationTok">
    <w:name w:val="AnnotationTok"/>
    <w:basedOn w:val="VerbatimChar"/>
    <w:rsid w:val="001F6509"/>
    <w:rPr>
      <w:rFonts w:ascii="Consolas" w:hAnsi="Consolas"/>
      <w:b/>
      <w:i w:val="0"/>
      <w:color w:val="60A0B0"/>
      <w:sz w:val="24"/>
      <w:szCs w:val="24"/>
    </w:rPr>
  </w:style>
  <w:style w:type="character" w:customStyle="1" w:styleId="CommentVarTok">
    <w:name w:val="CommentVarTok"/>
    <w:basedOn w:val="VerbatimChar"/>
    <w:rsid w:val="001F6509"/>
    <w:rPr>
      <w:rFonts w:ascii="Consolas" w:hAnsi="Consolas"/>
      <w:b/>
      <w:i w:val="0"/>
      <w:color w:val="60A0B0"/>
      <w:sz w:val="24"/>
      <w:szCs w:val="24"/>
    </w:rPr>
  </w:style>
  <w:style w:type="character" w:customStyle="1" w:styleId="OtherTok">
    <w:name w:val="OtherTok"/>
    <w:basedOn w:val="VerbatimChar"/>
    <w:rsid w:val="001F6509"/>
    <w:rPr>
      <w:rFonts w:ascii="Consolas" w:hAnsi="Consolas"/>
      <w:i/>
      <w:color w:val="007020"/>
      <w:sz w:val="24"/>
      <w:szCs w:val="24"/>
    </w:rPr>
  </w:style>
  <w:style w:type="character" w:customStyle="1" w:styleId="FunctionTok">
    <w:name w:val="FunctionTok"/>
    <w:basedOn w:val="VerbatimChar"/>
    <w:rsid w:val="001F6509"/>
    <w:rPr>
      <w:rFonts w:ascii="Consolas" w:hAnsi="Consolas"/>
      <w:i/>
      <w:color w:val="06287E"/>
      <w:sz w:val="24"/>
      <w:szCs w:val="24"/>
    </w:rPr>
  </w:style>
  <w:style w:type="character" w:customStyle="1" w:styleId="VariableTok">
    <w:name w:val="VariableTok"/>
    <w:basedOn w:val="VerbatimChar"/>
    <w:rsid w:val="001F6509"/>
    <w:rPr>
      <w:rFonts w:ascii="Consolas" w:hAnsi="Consolas"/>
      <w:i/>
      <w:color w:val="19177C"/>
      <w:sz w:val="24"/>
      <w:szCs w:val="24"/>
    </w:rPr>
  </w:style>
  <w:style w:type="character" w:customStyle="1" w:styleId="ControlFlowTok">
    <w:name w:val="ControlFlowTok"/>
    <w:basedOn w:val="VerbatimChar"/>
    <w:rsid w:val="001F6509"/>
    <w:rPr>
      <w:rFonts w:ascii="Consolas" w:hAnsi="Consolas"/>
      <w:b/>
      <w:i/>
      <w:color w:val="007020"/>
      <w:sz w:val="24"/>
      <w:szCs w:val="24"/>
    </w:rPr>
  </w:style>
  <w:style w:type="character" w:customStyle="1" w:styleId="OperatorTok">
    <w:name w:val="OperatorTok"/>
    <w:basedOn w:val="VerbatimChar"/>
    <w:rsid w:val="001F6509"/>
    <w:rPr>
      <w:rFonts w:ascii="Consolas" w:hAnsi="Consolas"/>
      <w:i/>
      <w:color w:val="666666"/>
      <w:sz w:val="24"/>
      <w:szCs w:val="24"/>
    </w:rPr>
  </w:style>
  <w:style w:type="character" w:customStyle="1" w:styleId="BuiltInTok">
    <w:name w:val="BuiltInTok"/>
    <w:basedOn w:val="VerbatimChar"/>
    <w:rsid w:val="001F6509"/>
    <w:rPr>
      <w:rFonts w:ascii="Consolas" w:hAnsi="Consolas"/>
      <w:i/>
      <w:sz w:val="24"/>
      <w:szCs w:val="24"/>
    </w:rPr>
  </w:style>
  <w:style w:type="character" w:customStyle="1" w:styleId="ExtensionTok">
    <w:name w:val="ExtensionTok"/>
    <w:basedOn w:val="VerbatimChar"/>
    <w:rsid w:val="001F6509"/>
    <w:rPr>
      <w:rFonts w:ascii="Consolas" w:hAnsi="Consolas"/>
      <w:i/>
      <w:sz w:val="24"/>
      <w:szCs w:val="24"/>
    </w:rPr>
  </w:style>
  <w:style w:type="character" w:customStyle="1" w:styleId="PreprocessorTok">
    <w:name w:val="PreprocessorTok"/>
    <w:basedOn w:val="VerbatimChar"/>
    <w:rsid w:val="001F6509"/>
    <w:rPr>
      <w:rFonts w:ascii="Consolas" w:hAnsi="Consolas"/>
      <w:i/>
      <w:color w:val="BC7A00"/>
      <w:sz w:val="24"/>
      <w:szCs w:val="24"/>
    </w:rPr>
  </w:style>
  <w:style w:type="character" w:customStyle="1" w:styleId="AttributeTok">
    <w:name w:val="AttributeTok"/>
    <w:basedOn w:val="VerbatimChar"/>
    <w:rsid w:val="001F6509"/>
    <w:rPr>
      <w:rFonts w:ascii="Consolas" w:hAnsi="Consolas"/>
      <w:i/>
      <w:color w:val="7D9029"/>
      <w:sz w:val="24"/>
      <w:szCs w:val="24"/>
    </w:rPr>
  </w:style>
  <w:style w:type="character" w:customStyle="1" w:styleId="RegionMarkerTok">
    <w:name w:val="RegionMarkerTok"/>
    <w:basedOn w:val="VerbatimChar"/>
    <w:rsid w:val="001F6509"/>
    <w:rPr>
      <w:rFonts w:ascii="Consolas" w:hAnsi="Consolas"/>
      <w:i/>
      <w:sz w:val="24"/>
      <w:szCs w:val="24"/>
    </w:rPr>
  </w:style>
  <w:style w:type="character" w:customStyle="1" w:styleId="InformationTok">
    <w:name w:val="InformationTok"/>
    <w:basedOn w:val="VerbatimChar"/>
    <w:rsid w:val="001F6509"/>
    <w:rPr>
      <w:rFonts w:ascii="Consolas" w:hAnsi="Consolas"/>
      <w:b/>
      <w:i w:val="0"/>
      <w:color w:val="60A0B0"/>
      <w:sz w:val="24"/>
      <w:szCs w:val="24"/>
    </w:rPr>
  </w:style>
  <w:style w:type="character" w:customStyle="1" w:styleId="WarningTok">
    <w:name w:val="WarningTok"/>
    <w:basedOn w:val="VerbatimChar"/>
    <w:rsid w:val="001F6509"/>
    <w:rPr>
      <w:rFonts w:ascii="Consolas" w:hAnsi="Consolas"/>
      <w:b/>
      <w:i w:val="0"/>
      <w:color w:val="60A0B0"/>
      <w:sz w:val="24"/>
      <w:szCs w:val="24"/>
    </w:rPr>
  </w:style>
  <w:style w:type="character" w:customStyle="1" w:styleId="AlertTok">
    <w:name w:val="AlertTok"/>
    <w:basedOn w:val="VerbatimChar"/>
    <w:rsid w:val="001F6509"/>
    <w:rPr>
      <w:rFonts w:ascii="Consolas" w:hAnsi="Consolas"/>
      <w:b/>
      <w:i/>
      <w:color w:val="FF0000"/>
      <w:sz w:val="24"/>
      <w:szCs w:val="24"/>
    </w:rPr>
  </w:style>
  <w:style w:type="character" w:customStyle="1" w:styleId="ErrorTok">
    <w:name w:val="ErrorTok"/>
    <w:basedOn w:val="VerbatimChar"/>
    <w:rsid w:val="001F6509"/>
    <w:rPr>
      <w:rFonts w:ascii="Consolas" w:hAnsi="Consolas"/>
      <w:b/>
      <w:i/>
      <w:color w:val="FF0000"/>
      <w:sz w:val="24"/>
      <w:szCs w:val="24"/>
    </w:rPr>
  </w:style>
  <w:style w:type="character" w:customStyle="1" w:styleId="NormalTok">
    <w:name w:val="NormalTok"/>
    <w:basedOn w:val="VerbatimChar"/>
    <w:rsid w:val="001F6509"/>
    <w:rPr>
      <w:rFonts w:ascii="Consolas" w:hAnsi="Consolas"/>
      <w:i/>
      <w:sz w:val="24"/>
      <w:szCs w:val="24"/>
    </w:rPr>
  </w:style>
  <w:style w:type="paragraph" w:styleId="TOC1">
    <w:name w:val="toc 1"/>
    <w:basedOn w:val="Normal"/>
    <w:next w:val="Normal"/>
    <w:autoRedefine/>
    <w:uiPriority w:val="39"/>
    <w:unhideWhenUsed/>
    <w:rsid w:val="008978A3"/>
    <w:pPr>
      <w:spacing w:after="100"/>
    </w:pPr>
  </w:style>
  <w:style w:type="paragraph" w:styleId="TOC2">
    <w:name w:val="toc 2"/>
    <w:basedOn w:val="Normal"/>
    <w:next w:val="Normal"/>
    <w:autoRedefine/>
    <w:uiPriority w:val="39"/>
    <w:unhideWhenUsed/>
    <w:rsid w:val="008978A3"/>
    <w:pPr>
      <w:spacing w:after="100"/>
      <w:ind w:left="220"/>
    </w:pPr>
  </w:style>
  <w:style w:type="paragraph" w:styleId="TOC3">
    <w:name w:val="toc 3"/>
    <w:basedOn w:val="Normal"/>
    <w:next w:val="Normal"/>
    <w:autoRedefine/>
    <w:uiPriority w:val="39"/>
    <w:unhideWhenUsed/>
    <w:rsid w:val="008978A3"/>
    <w:pPr>
      <w:spacing w:after="100"/>
      <w:ind w:left="440"/>
    </w:pPr>
  </w:style>
  <w:style w:type="table" w:styleId="TableGrid">
    <w:name w:val="Table Grid"/>
    <w:basedOn w:val="TableNormal"/>
    <w:rsid w:val="007F5DCA"/>
    <w:pPr>
      <w:suppressAutoHyphens/>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F5DCA"/>
    <w:pPr>
      <w:spacing w:after="0"/>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B3BA5-A887-4477-86F5-B72628045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67</Pages>
  <Words>35969</Words>
  <Characters>205028</Characters>
  <Application>Microsoft Office Word</Application>
  <DocSecurity>0</DocSecurity>
  <Lines>1708</Lines>
  <Paragraphs>481</Paragraphs>
  <ScaleCrop>false</ScaleCrop>
  <HeadingPairs>
    <vt:vector size="2" baseType="variant">
      <vt:variant>
        <vt:lpstr>Title</vt:lpstr>
      </vt:variant>
      <vt:variant>
        <vt:i4>1</vt:i4>
      </vt:variant>
    </vt:vector>
  </HeadingPairs>
  <TitlesOfParts>
    <vt:vector size="1" baseType="lpstr">
      <vt:lpstr>Investigating Inter-relations Among Major Capital Markets Around the World.</vt:lpstr>
    </vt:vector>
  </TitlesOfParts>
  <Company/>
  <LinksUpToDate>false</LinksUpToDate>
  <CharactersWithSpaces>240516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Inter-relations Among Major Capital Markets Around the World.</dc:title>
  <dc:creator>Dell</dc:creator>
  <cp:lastModifiedBy>dell</cp:lastModifiedBy>
  <cp:revision>4</cp:revision>
  <dcterms:created xsi:type="dcterms:W3CDTF">2021-09-15T20:16:00Z</dcterms:created>
  <dcterms:modified xsi:type="dcterms:W3CDTF">2021-09-16T00:56:00Z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id="6xqPIKJV"/&gt;&lt;style id="http://www.zotero.org/styles/harvard-cite-them-right"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