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aconcuadrcula"/>
        <w:tblW w:w="10169" w:type="dxa"/>
        <w:jc w:val="center"/>
        <w:tblLayout w:type="fixed"/>
        <w:tblLook w:val="04A0" w:firstRow="1" w:lastRow="0" w:firstColumn="1" w:lastColumn="0" w:noHBand="0" w:noVBand="1"/>
      </w:tblPr>
      <w:tblGrid>
        <w:gridCol w:w="2405"/>
        <w:gridCol w:w="7764"/>
      </w:tblGrid>
      <w:tr w:rsidR="00E624AA" w:rsidRPr="000D2072" w:rsidTr="00713B57">
        <w:trPr>
          <w:jc w:val="center"/>
        </w:trPr>
        <w:tc>
          <w:tcPr>
            <w:tcW w:w="2405" w:type="dxa"/>
          </w:tcPr>
          <w:p w:rsidR="00E624AA" w:rsidRPr="00E624AA" w:rsidRDefault="00E624AA" w:rsidP="00E624AA">
            <w:pPr>
              <w:rPr>
                <w:rFonts w:asciiTheme="minorHAnsi" w:hAnsiTheme="minorHAnsi" w:cs="Arial"/>
                <w:b/>
                <w:sz w:val="22"/>
                <w:szCs w:val="22"/>
              </w:rPr>
            </w:pPr>
            <w:r w:rsidRPr="00E624AA">
              <w:rPr>
                <w:rFonts w:asciiTheme="minorHAnsi" w:hAnsiTheme="minorHAnsi" w:cs="Arial"/>
                <w:b/>
                <w:sz w:val="22"/>
                <w:szCs w:val="22"/>
              </w:rPr>
              <w:t>Guía de Aprendizaje:</w:t>
            </w:r>
          </w:p>
          <w:p w:rsidR="00E624AA" w:rsidRPr="00E624AA" w:rsidRDefault="005F25C4" w:rsidP="00E624AA">
            <w:pPr>
              <w:rPr>
                <w:rFonts w:asciiTheme="minorHAnsi" w:hAnsiTheme="minorHAnsi" w:cs="Arial"/>
                <w:sz w:val="22"/>
                <w:szCs w:val="22"/>
              </w:rPr>
            </w:pPr>
            <w:r>
              <w:rPr>
                <w:rFonts w:asciiTheme="minorHAnsi" w:hAnsiTheme="minorHAnsi" w:cs="Arial"/>
                <w:sz w:val="22"/>
                <w:szCs w:val="22"/>
              </w:rPr>
              <w:t>GUÍA_01_DIAGNÓSTICO</w:t>
            </w:r>
          </w:p>
        </w:tc>
        <w:tc>
          <w:tcPr>
            <w:tcW w:w="7764" w:type="dxa"/>
          </w:tcPr>
          <w:p w:rsidR="005F25C4" w:rsidRDefault="00E624AA" w:rsidP="00E624AA">
            <w:r w:rsidRPr="00E624AA">
              <w:rPr>
                <w:rFonts w:asciiTheme="minorHAnsi" w:hAnsiTheme="minorHAnsi" w:cs="Arial"/>
                <w:b/>
                <w:sz w:val="22"/>
                <w:szCs w:val="22"/>
              </w:rPr>
              <w:t>Resultado (s) de Aprendizaje:</w:t>
            </w:r>
            <w:r w:rsidR="001F14A0">
              <w:t xml:space="preserve"> </w:t>
            </w:r>
          </w:p>
          <w:p w:rsidR="001F14A0" w:rsidRPr="007B5566" w:rsidRDefault="007B5566" w:rsidP="007B5566">
            <w:pPr>
              <w:pBdr>
                <w:top w:val="nil"/>
                <w:left w:val="nil"/>
                <w:bottom w:val="nil"/>
                <w:right w:val="nil"/>
                <w:between w:val="nil"/>
              </w:pBdr>
              <w:spacing w:line="276" w:lineRule="auto"/>
              <w:contextualSpacing/>
              <w:jc w:val="both"/>
              <w:rPr>
                <w:rFonts w:asciiTheme="minorHAnsi" w:hAnsiTheme="minorHAnsi" w:cstheme="minorHAnsi"/>
                <w:color w:val="000000"/>
              </w:rPr>
            </w:pPr>
            <w:r>
              <w:rPr>
                <w:rFonts w:asciiTheme="minorHAnsi" w:hAnsiTheme="minorHAnsi" w:cstheme="minorHAnsi"/>
                <w:color w:val="000000"/>
              </w:rPr>
              <w:t>RAE</w:t>
            </w:r>
            <w:r w:rsidR="005F25C4" w:rsidRPr="005F25C4">
              <w:rPr>
                <w:rFonts w:asciiTheme="minorHAnsi" w:hAnsiTheme="minorHAnsi" w:cstheme="minorHAnsi"/>
                <w:color w:val="000000"/>
              </w:rPr>
              <w:t xml:space="preserve"> </w:t>
            </w:r>
            <w:r>
              <w:rPr>
                <w:rFonts w:asciiTheme="minorHAnsi" w:hAnsiTheme="minorHAnsi" w:cstheme="minorHAnsi"/>
                <w:color w:val="000000"/>
              </w:rPr>
              <w:t>0</w:t>
            </w:r>
            <w:r w:rsidR="005F25C4" w:rsidRPr="005F25C4">
              <w:rPr>
                <w:rFonts w:asciiTheme="minorHAnsi" w:hAnsiTheme="minorHAnsi" w:cstheme="minorHAnsi"/>
                <w:color w:val="000000"/>
              </w:rPr>
              <w:t>1</w:t>
            </w:r>
            <w:r>
              <w:rPr>
                <w:rFonts w:asciiTheme="minorHAnsi" w:hAnsiTheme="minorHAnsi" w:cstheme="minorHAnsi"/>
                <w:color w:val="000000"/>
              </w:rPr>
              <w:t>:</w:t>
            </w:r>
            <w:r w:rsidR="005F25C4" w:rsidRPr="005F25C4">
              <w:rPr>
                <w:rFonts w:asciiTheme="minorHAnsi" w:hAnsiTheme="minorHAnsi" w:cstheme="minorHAnsi"/>
                <w:color w:val="000000"/>
              </w:rPr>
              <w:t xml:space="preserve"> Identificar las variables situacionales teniendo en cuenta requerimientos de la empresa</w:t>
            </w:r>
          </w:p>
        </w:tc>
      </w:tr>
      <w:tr w:rsidR="005B7B21" w:rsidRPr="000D2072" w:rsidTr="005B7B21">
        <w:trPr>
          <w:jc w:val="center"/>
        </w:trPr>
        <w:tc>
          <w:tcPr>
            <w:tcW w:w="10169" w:type="dxa"/>
            <w:gridSpan w:val="2"/>
          </w:tcPr>
          <w:p w:rsidR="005F25C4" w:rsidRDefault="005B7B21" w:rsidP="00942935">
            <w:pPr>
              <w:rPr>
                <w:rFonts w:asciiTheme="minorHAnsi" w:hAnsiTheme="minorHAnsi" w:cs="Arial"/>
                <w:b/>
                <w:sz w:val="22"/>
                <w:szCs w:val="22"/>
              </w:rPr>
            </w:pPr>
            <w:r w:rsidRPr="00E624AA">
              <w:rPr>
                <w:rFonts w:asciiTheme="minorHAnsi" w:hAnsiTheme="minorHAnsi" w:cs="Arial"/>
                <w:b/>
                <w:sz w:val="22"/>
                <w:szCs w:val="22"/>
              </w:rPr>
              <w:t>Actividad de Aprendizaje:</w:t>
            </w:r>
            <w:r w:rsidR="001F14A0">
              <w:rPr>
                <w:rFonts w:asciiTheme="minorHAnsi" w:hAnsiTheme="minorHAnsi" w:cs="Arial"/>
                <w:b/>
                <w:sz w:val="22"/>
                <w:szCs w:val="22"/>
              </w:rPr>
              <w:t xml:space="preserve"> </w:t>
            </w:r>
          </w:p>
          <w:p w:rsidR="005B7B21" w:rsidRPr="007B5566" w:rsidRDefault="007B5566" w:rsidP="007B5566">
            <w:pPr>
              <w:rPr>
                <w:rFonts w:asciiTheme="minorHAnsi" w:hAnsiTheme="minorHAnsi" w:cs="Arial"/>
                <w:b/>
                <w:sz w:val="22"/>
                <w:szCs w:val="22"/>
              </w:rPr>
            </w:pPr>
            <w:r w:rsidRPr="007B5566">
              <w:rPr>
                <w:rFonts w:asciiTheme="minorHAnsi" w:hAnsiTheme="minorHAnsi" w:cs="Arial"/>
                <w:sz w:val="22"/>
                <w:szCs w:val="22"/>
              </w:rPr>
              <w:t>Actividad de Aprendizaje 01_2: Describir los elementos que conforman el análisis externo e interno de las empresas.</w:t>
            </w:r>
          </w:p>
        </w:tc>
      </w:tr>
    </w:tbl>
    <w:p w:rsidR="005F25C4" w:rsidRDefault="005F25C4" w:rsidP="005F25C4">
      <w:pPr>
        <w:jc w:val="center"/>
        <w:rPr>
          <w:rFonts w:asciiTheme="minorHAnsi" w:hAnsiTheme="minorHAnsi" w:cs="Arial"/>
          <w:sz w:val="22"/>
          <w:szCs w:val="22"/>
          <w:lang w:val="es-CO"/>
        </w:rPr>
      </w:pPr>
    </w:p>
    <w:p w:rsidR="005F25C4" w:rsidRPr="007B5566" w:rsidRDefault="005F25C4" w:rsidP="005F25C4">
      <w:pPr>
        <w:jc w:val="center"/>
        <w:rPr>
          <w:rFonts w:asciiTheme="minorHAnsi" w:hAnsiTheme="minorHAnsi" w:cs="Arial"/>
          <w:b/>
          <w:color w:val="C00000"/>
          <w:sz w:val="28"/>
          <w:szCs w:val="22"/>
          <w:lang w:val="es-CO"/>
        </w:rPr>
      </w:pPr>
      <w:r w:rsidRPr="007B5566">
        <w:rPr>
          <w:rFonts w:asciiTheme="minorHAnsi" w:hAnsiTheme="minorHAnsi" w:cs="Arial"/>
          <w:b/>
          <w:color w:val="C00000"/>
          <w:sz w:val="28"/>
          <w:szCs w:val="22"/>
          <w:lang w:val="es-CO"/>
        </w:rPr>
        <w:t>Precio de la gasolina, en nuevo récord histórico</w:t>
      </w:r>
    </w:p>
    <w:p w:rsidR="007B5566" w:rsidRPr="005F25C4" w:rsidRDefault="007B5566" w:rsidP="005F25C4">
      <w:pPr>
        <w:jc w:val="center"/>
        <w:rPr>
          <w:rFonts w:asciiTheme="minorHAnsi" w:hAnsiTheme="minorHAnsi" w:cs="Arial"/>
          <w:b/>
          <w:sz w:val="22"/>
          <w:szCs w:val="22"/>
          <w:lang w:val="es-CO"/>
        </w:rPr>
      </w:pPr>
    </w:p>
    <w:p w:rsidR="001F14A0" w:rsidRPr="00B33543" w:rsidRDefault="005F25C4" w:rsidP="005F25C4">
      <w:pPr>
        <w:jc w:val="center"/>
        <w:rPr>
          <w:rFonts w:asciiTheme="minorHAnsi" w:hAnsiTheme="minorHAnsi" w:cs="Arial"/>
          <w:sz w:val="22"/>
          <w:szCs w:val="22"/>
          <w:lang w:val="es-CO"/>
        </w:rPr>
      </w:pPr>
      <w:r w:rsidRPr="00B33543">
        <w:rPr>
          <w:rFonts w:asciiTheme="minorHAnsi" w:hAnsiTheme="minorHAnsi" w:cs="Arial"/>
          <w:sz w:val="22"/>
          <w:szCs w:val="22"/>
          <w:lang w:val="es-CO"/>
        </w:rPr>
        <w:t>Alza en todas las variables hizo que valor de referencia subiera más que el tope de la fórmula.</w:t>
      </w:r>
    </w:p>
    <w:p w:rsidR="005F25C4" w:rsidRPr="00B33543" w:rsidRDefault="005F25C4" w:rsidP="005F25C4">
      <w:pPr>
        <w:jc w:val="center"/>
        <w:rPr>
          <w:rFonts w:asciiTheme="minorHAnsi" w:hAnsiTheme="minorHAnsi" w:cs="Arial"/>
          <w:sz w:val="22"/>
          <w:szCs w:val="22"/>
          <w:lang w:val="es-CO"/>
        </w:rPr>
      </w:pPr>
      <w:r w:rsidRPr="00B33543">
        <w:rPr>
          <w:noProof/>
          <w:lang w:val="en-US" w:eastAsia="en-US"/>
        </w:rPr>
        <w:drawing>
          <wp:inline distT="0" distB="0" distL="0" distR="0" wp14:anchorId="12D2E4F1" wp14:editId="3FA59AFD">
            <wp:extent cx="5474525" cy="2737263"/>
            <wp:effectExtent l="0" t="0" r="0" b="6350"/>
            <wp:docPr id="2" name="Imagen 2" descr="Precio de la gasolina en Colomb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ecio de la gasolina en Colombi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1224" cy="2740613"/>
                    </a:xfrm>
                    <a:prstGeom prst="rect">
                      <a:avLst/>
                    </a:prstGeom>
                    <a:noFill/>
                    <a:ln>
                      <a:noFill/>
                    </a:ln>
                  </pic:spPr>
                </pic:pic>
              </a:graphicData>
            </a:graphic>
          </wp:inline>
        </w:drawing>
      </w:r>
    </w:p>
    <w:p w:rsidR="005F25C4" w:rsidRPr="00B33543" w:rsidRDefault="005F25C4" w:rsidP="005F25C4">
      <w:pPr>
        <w:jc w:val="both"/>
        <w:rPr>
          <w:rFonts w:asciiTheme="minorHAnsi" w:hAnsiTheme="minorHAnsi" w:cs="Arial"/>
          <w:sz w:val="22"/>
          <w:szCs w:val="22"/>
          <w:lang w:val="es-CO"/>
        </w:rPr>
      </w:pPr>
      <w:r w:rsidRPr="00B33543">
        <w:rPr>
          <w:rFonts w:asciiTheme="minorHAnsi" w:hAnsiTheme="minorHAnsi" w:cs="Arial"/>
          <w:sz w:val="22"/>
          <w:szCs w:val="22"/>
          <w:lang w:val="es-CO"/>
        </w:rPr>
        <w:t>Contrario a otras ocasiones, esta vez el dólar no ayudó a mitigar el aumento en el precio del galón de los combustibles.</w:t>
      </w:r>
    </w:p>
    <w:p w:rsidR="005F25C4" w:rsidRPr="00B33543" w:rsidRDefault="005F25C4" w:rsidP="005F25C4">
      <w:pPr>
        <w:jc w:val="right"/>
        <w:rPr>
          <w:rFonts w:asciiTheme="minorHAnsi" w:hAnsiTheme="minorHAnsi" w:cs="Arial"/>
          <w:sz w:val="16"/>
          <w:szCs w:val="16"/>
          <w:lang w:val="es-CO"/>
        </w:rPr>
      </w:pPr>
      <w:r w:rsidRPr="00B33543">
        <w:rPr>
          <w:rFonts w:asciiTheme="minorHAnsi" w:hAnsiTheme="minorHAnsi" w:cs="Arial"/>
          <w:sz w:val="16"/>
          <w:szCs w:val="16"/>
          <w:lang w:val="es-CO"/>
        </w:rPr>
        <w:t xml:space="preserve">Foto: </w:t>
      </w:r>
      <w:proofErr w:type="spellStart"/>
      <w:r w:rsidRPr="00B33543">
        <w:rPr>
          <w:rFonts w:asciiTheme="minorHAnsi" w:hAnsiTheme="minorHAnsi" w:cs="Arial"/>
          <w:sz w:val="16"/>
          <w:szCs w:val="16"/>
          <w:lang w:val="es-CO"/>
        </w:rPr>
        <w:t>Jaiver</w:t>
      </w:r>
      <w:proofErr w:type="spellEnd"/>
      <w:r w:rsidRPr="00B33543">
        <w:rPr>
          <w:rFonts w:asciiTheme="minorHAnsi" w:hAnsiTheme="minorHAnsi" w:cs="Arial"/>
          <w:sz w:val="16"/>
          <w:szCs w:val="16"/>
          <w:lang w:val="es-CO"/>
        </w:rPr>
        <w:t xml:space="preserve"> Nieto Álvarez / Archivo EL TIEMPO</w:t>
      </w:r>
    </w:p>
    <w:p w:rsidR="005F25C4" w:rsidRPr="00B33543" w:rsidRDefault="005F25C4" w:rsidP="005F25C4">
      <w:pPr>
        <w:jc w:val="right"/>
        <w:rPr>
          <w:rFonts w:asciiTheme="minorHAnsi" w:hAnsiTheme="minorHAnsi" w:cs="Arial"/>
          <w:sz w:val="16"/>
          <w:szCs w:val="16"/>
          <w:lang w:val="es-CO"/>
        </w:rPr>
      </w:pPr>
      <w:r w:rsidRPr="00B33543">
        <w:rPr>
          <w:rFonts w:asciiTheme="minorHAnsi" w:hAnsiTheme="minorHAnsi" w:cs="Arial"/>
          <w:sz w:val="16"/>
          <w:szCs w:val="16"/>
          <w:lang w:val="es-CO"/>
        </w:rPr>
        <w:t>FUENTE: http://www.eltiempo.com/economia/sectores/precio-de-la-gasolina-en-colombia-con-record-historico-en-junio-del-2018-226088</w:t>
      </w:r>
    </w:p>
    <w:p w:rsidR="005F25C4" w:rsidRPr="00B33543" w:rsidRDefault="005F25C4" w:rsidP="005F25C4">
      <w:pPr>
        <w:jc w:val="right"/>
        <w:textAlignment w:val="baseline"/>
        <w:rPr>
          <w:rFonts w:ascii="inherit" w:hAnsi="inherit"/>
          <w:sz w:val="20"/>
        </w:rPr>
      </w:pPr>
      <w:r w:rsidRPr="00B33543">
        <w:rPr>
          <w:rStyle w:val="fecha"/>
          <w:rFonts w:ascii="open_sansregular" w:hAnsi="open_sansregular"/>
          <w:sz w:val="20"/>
          <w:bdr w:val="none" w:sz="0" w:space="0" w:color="auto" w:frame="1"/>
        </w:rPr>
        <w:t xml:space="preserve">03 de junio 2018 </w:t>
      </w:r>
    </w:p>
    <w:p w:rsidR="005F25C4" w:rsidRPr="00B33543" w:rsidRDefault="005F25C4" w:rsidP="005F25C4">
      <w:pPr>
        <w:ind w:hanging="18913"/>
        <w:jc w:val="both"/>
        <w:textAlignment w:val="baseline"/>
        <w:rPr>
          <w:rFonts w:asciiTheme="minorHAnsi" w:hAnsiTheme="minorHAnsi" w:cstheme="minorHAnsi"/>
        </w:rPr>
      </w:pPr>
      <w:r w:rsidRPr="00B33543">
        <w:rPr>
          <w:rFonts w:ascii="inherit" w:hAnsi="inherit"/>
          <w:noProof/>
          <w:lang w:val="en-US" w:eastAsia="en-US"/>
        </w:rPr>
        <mc:AlternateContent>
          <mc:Choice Requires="wps">
            <w:drawing>
              <wp:inline distT="0" distB="0" distL="0" distR="0" wp14:anchorId="4F37A08B" wp14:editId="2416DD06">
                <wp:extent cx="308610" cy="308610"/>
                <wp:effectExtent l="0" t="0" r="0" b="0"/>
                <wp:docPr id="4" name="Rectángulo 4" descr="data:image/png;base64,iVBORw0KGgoAAAANSUhEUgAAAAIAAAABCAQAAABeK7cBAAAAC0lEQVR42mNkAAIAAAoAAv/lxKUAAAAASUVORK5CYII="/>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2495AA9" id="Rectángulo 4" o:spid="_x0000_s1026" alt="data:image/png;base64,iVBORw0KGgoAAAANSUhEUgAAAAIAAAABCAQAAABeK7cBAAAAC0lEQVR42mNkAAIAAAoAAv/lxKUAAAAASUVORK5CYII="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" filled="f" stroked="f">
                <o:lock v:ext="edit" aspectratio="t"/>
                <w10:anchorlock/>
              </v:rect>
            </w:pict>
          </mc:Fallback>
        </mc:AlternateContent>
      </w:r>
    </w:p>
    <w:p w:rsidR="005F25C4" w:rsidRPr="00B33543" w:rsidRDefault="005F25C4" w:rsidP="005F25C4">
      <w:pPr>
        <w:pStyle w:val="contenido"/>
        <w:spacing w:before="0" w:beforeAutospacing="0" w:after="0" w:afterAutospacing="0"/>
        <w:jc w:val="both"/>
        <w:textAlignment w:val="baseline"/>
        <w:rPr>
          <w:rFonts w:asciiTheme="minorHAnsi" w:hAnsiTheme="minorHAnsi" w:cstheme="minorHAnsi"/>
        </w:rPr>
      </w:pPr>
      <w:r w:rsidRPr="00B33543">
        <w:rPr>
          <w:rFonts w:asciiTheme="minorHAnsi" w:hAnsiTheme="minorHAnsi" w:cstheme="minorHAnsi"/>
        </w:rPr>
        <w:t>Las alzas generalizadas en los precios de referencia internacional que se toman para hacer el cálculo del valor local y el aumento en el dólar llevarán a que los miles de conductores y usuarios de todo el país, muchos de los cuales regresan de viaje del primer fin de semana festivo de junio, se encuentren este martes con un importante reajuste en el precio de la gasolina y el ACPM, en las principales ciudades del país.</w:t>
      </w:r>
    </w:p>
    <w:p w:rsidR="005F25C4" w:rsidRPr="00B33543" w:rsidRDefault="005F25C4" w:rsidP="005F25C4">
      <w:pPr>
        <w:pStyle w:val="contenido"/>
        <w:spacing w:before="0" w:beforeAutospacing="0" w:after="0" w:afterAutospacing="0"/>
        <w:jc w:val="both"/>
        <w:textAlignment w:val="baseline"/>
        <w:rPr>
          <w:rFonts w:asciiTheme="minorHAnsi" w:hAnsiTheme="minorHAnsi" w:cstheme="minorHAnsi"/>
        </w:rPr>
      </w:pPr>
      <w:r w:rsidRPr="00B33543">
        <w:rPr>
          <w:rFonts w:asciiTheme="minorHAnsi" w:hAnsiTheme="minorHAnsi" w:cstheme="minorHAnsi"/>
        </w:rPr>
        <w:t>Esto luego de que el Ministerio de Minas y Energía informara </w:t>
      </w:r>
      <w:r w:rsidRPr="00B33543">
        <w:rPr>
          <w:rFonts w:asciiTheme="minorHAnsi" w:hAnsiTheme="minorHAnsi" w:cstheme="minorHAnsi"/>
          <w:b/>
          <w:bCs/>
          <w:bdr w:val="none" w:sz="0" w:space="0" w:color="auto" w:frame="1"/>
        </w:rPr>
        <w:t>que a partir del 5 de junio aumentará en 165 pesos la referencia para el galón de gasolina corriente para 15 de las principales 18 ciudades del país.</w:t>
      </w:r>
      <w:r w:rsidRPr="00B33543">
        <w:rPr>
          <w:rFonts w:asciiTheme="minorHAnsi" w:hAnsiTheme="minorHAnsi" w:cstheme="minorHAnsi"/>
        </w:rPr>
        <w:br/>
      </w:r>
      <w:r w:rsidRPr="00B33543">
        <w:rPr>
          <w:rFonts w:asciiTheme="minorHAnsi" w:hAnsiTheme="minorHAnsi" w:cstheme="minorHAnsi"/>
        </w:rPr>
        <w:br/>
        <w:t>Así, en el caso de </w:t>
      </w:r>
      <w:r w:rsidRPr="00B33543">
        <w:rPr>
          <w:rFonts w:asciiTheme="minorHAnsi" w:hAnsiTheme="minorHAnsi" w:cstheme="minorHAnsi"/>
          <w:b/>
          <w:bCs/>
          <w:bdr w:val="none" w:sz="0" w:space="0" w:color="auto" w:frame="1"/>
        </w:rPr>
        <w:t>Bogotá, el valor de referencia llega a 9.303 pesos por cada galón, siendo el récord histórico</w:t>
      </w:r>
      <w:r w:rsidRPr="00B33543">
        <w:rPr>
          <w:rFonts w:asciiTheme="minorHAnsi" w:hAnsiTheme="minorHAnsi" w:cstheme="minorHAnsi"/>
        </w:rPr>
        <w:t xml:space="preserve"> (en mayo había marcado un registro de 9.138 pesos), y según las cifras del ministerio, el mayor </w:t>
      </w:r>
      <w:r w:rsidRPr="00B33543">
        <w:rPr>
          <w:rFonts w:asciiTheme="minorHAnsi" w:hAnsiTheme="minorHAnsi" w:cstheme="minorHAnsi"/>
        </w:rPr>
        <w:lastRenderedPageBreak/>
        <w:t>precio de referencia aplicará para las ciudades de Villavicencio y Tunja, cuya referencia de galón de gasolina quedó en 9.403 pesos y 9.437 pesos, respectivamente.</w:t>
      </w:r>
    </w:p>
    <w:p w:rsidR="005F25C4" w:rsidRPr="00B33543" w:rsidRDefault="005F25C4" w:rsidP="005F25C4">
      <w:pPr>
        <w:pStyle w:val="contenido"/>
        <w:spacing w:before="0" w:beforeAutospacing="0" w:after="0" w:afterAutospacing="0"/>
        <w:jc w:val="both"/>
        <w:textAlignment w:val="baseline"/>
        <w:rPr>
          <w:rFonts w:asciiTheme="minorHAnsi" w:hAnsiTheme="minorHAnsi" w:cstheme="minorHAnsi"/>
        </w:rPr>
      </w:pPr>
    </w:p>
    <w:p w:rsidR="005F25C4" w:rsidRPr="00B33543" w:rsidRDefault="0011444D" w:rsidP="005F25C4">
      <w:pPr>
        <w:pStyle w:val="Prrafodelista"/>
        <w:numPr>
          <w:ilvl w:val="0"/>
          <w:numId w:val="14"/>
        </w:numPr>
        <w:jc w:val="both"/>
        <w:textAlignment w:val="baseline"/>
        <w:rPr>
          <w:rFonts w:asciiTheme="minorHAnsi" w:hAnsiTheme="minorHAnsi" w:cstheme="minorHAnsi"/>
        </w:rPr>
      </w:pPr>
      <w:hyperlink r:id="rId9" w:history="1">
        <w:r w:rsidR="005F25C4" w:rsidRPr="00B33543">
          <w:rPr>
            <w:rStyle w:val="Hipervnculo"/>
            <w:rFonts w:asciiTheme="minorHAnsi" w:hAnsiTheme="minorHAnsi" w:cstheme="minorHAnsi"/>
            <w:color w:val="auto"/>
            <w:u w:val="none"/>
            <w:bdr w:val="none" w:sz="0" w:space="0" w:color="auto" w:frame="1"/>
          </w:rPr>
          <w:t>Precio de la gasolina subirá $ 161 a partir del 5 de junio</w:t>
        </w:r>
      </w:hyperlink>
    </w:p>
    <w:p w:rsidR="005F25C4" w:rsidRPr="00B33543" w:rsidRDefault="0011444D" w:rsidP="005F25C4">
      <w:pPr>
        <w:pStyle w:val="Prrafodelista"/>
        <w:numPr>
          <w:ilvl w:val="0"/>
          <w:numId w:val="14"/>
        </w:numPr>
        <w:jc w:val="both"/>
        <w:textAlignment w:val="baseline"/>
        <w:rPr>
          <w:rFonts w:asciiTheme="minorHAnsi" w:hAnsiTheme="minorHAnsi" w:cstheme="minorHAnsi"/>
        </w:rPr>
      </w:pPr>
      <w:hyperlink r:id="rId10" w:history="1">
        <w:r w:rsidR="005F25C4" w:rsidRPr="00B33543">
          <w:rPr>
            <w:rStyle w:val="Hipervnculo"/>
            <w:rFonts w:asciiTheme="minorHAnsi" w:hAnsiTheme="minorHAnsi" w:cstheme="minorHAnsi"/>
            <w:color w:val="auto"/>
            <w:u w:val="none"/>
            <w:bdr w:val="none" w:sz="0" w:space="0" w:color="auto" w:frame="1"/>
          </w:rPr>
          <w:t>De qué depende que suba o no en junio precio de la gasolina en el país</w:t>
        </w:r>
      </w:hyperlink>
    </w:p>
    <w:p w:rsidR="005F25C4" w:rsidRPr="00B33543" w:rsidRDefault="0011444D" w:rsidP="005F25C4">
      <w:pPr>
        <w:pStyle w:val="Prrafodelista"/>
        <w:numPr>
          <w:ilvl w:val="0"/>
          <w:numId w:val="14"/>
        </w:numPr>
        <w:jc w:val="both"/>
        <w:textAlignment w:val="baseline"/>
        <w:rPr>
          <w:rFonts w:asciiTheme="minorHAnsi" w:hAnsiTheme="minorHAnsi" w:cstheme="minorHAnsi"/>
        </w:rPr>
      </w:pPr>
      <w:hyperlink r:id="rId11" w:history="1">
        <w:r w:rsidR="005F25C4" w:rsidRPr="00B33543">
          <w:rPr>
            <w:rStyle w:val="Hipervnculo"/>
            <w:rFonts w:asciiTheme="minorHAnsi" w:hAnsiTheme="minorHAnsi" w:cstheme="minorHAnsi"/>
            <w:color w:val="auto"/>
            <w:u w:val="none"/>
            <w:bdr w:val="none" w:sz="0" w:space="0" w:color="auto" w:frame="1"/>
          </w:rPr>
          <w:t>Doble presión a la gasolina para que sigan récords al alza</w:t>
        </w:r>
      </w:hyperlink>
    </w:p>
    <w:p w:rsidR="005F25C4" w:rsidRPr="00B33543" w:rsidRDefault="0011444D" w:rsidP="005F25C4">
      <w:pPr>
        <w:pStyle w:val="Prrafodelista"/>
        <w:numPr>
          <w:ilvl w:val="0"/>
          <w:numId w:val="14"/>
        </w:numPr>
        <w:jc w:val="both"/>
        <w:textAlignment w:val="baseline"/>
        <w:rPr>
          <w:rFonts w:asciiTheme="minorHAnsi" w:hAnsiTheme="minorHAnsi" w:cstheme="minorHAnsi"/>
        </w:rPr>
      </w:pPr>
      <w:hyperlink r:id="rId12" w:history="1">
        <w:r w:rsidR="005F25C4" w:rsidRPr="00B33543">
          <w:rPr>
            <w:rStyle w:val="Hipervnculo"/>
            <w:rFonts w:asciiTheme="minorHAnsi" w:hAnsiTheme="minorHAnsi" w:cstheme="minorHAnsi"/>
            <w:color w:val="auto"/>
            <w:u w:val="none"/>
            <w:bdr w:val="none" w:sz="0" w:space="0" w:color="auto" w:frame="1"/>
          </w:rPr>
          <w:t>El petróleo alcanzó a pasar barrera de los 80 dólares</w:t>
        </w:r>
      </w:hyperlink>
    </w:p>
    <w:p w:rsidR="005F25C4" w:rsidRPr="00B33543" w:rsidRDefault="005F25C4" w:rsidP="00D7713F">
      <w:pPr>
        <w:pStyle w:val="Prrafodelista"/>
        <w:jc w:val="both"/>
        <w:textAlignment w:val="baseline"/>
        <w:rPr>
          <w:rFonts w:asciiTheme="minorHAnsi" w:hAnsiTheme="minorHAnsi" w:cstheme="minorHAnsi"/>
        </w:rPr>
      </w:pPr>
      <w:bookmarkStart w:id="0" w:name="_GoBack"/>
      <w:bookmarkEnd w:id="0"/>
    </w:p>
    <w:p w:rsidR="007B5566" w:rsidRDefault="005F25C4" w:rsidP="005F25C4">
      <w:pPr>
        <w:pStyle w:val="contenido"/>
        <w:spacing w:before="0" w:beforeAutospacing="0" w:after="0" w:afterAutospacing="0"/>
        <w:jc w:val="both"/>
        <w:textAlignment w:val="baseline"/>
        <w:rPr>
          <w:rFonts w:asciiTheme="minorHAnsi" w:hAnsiTheme="minorHAnsi" w:cstheme="minorHAnsi"/>
          <w:b/>
          <w:bCs/>
          <w:bdr w:val="none" w:sz="0" w:space="0" w:color="auto" w:frame="1"/>
        </w:rPr>
      </w:pPr>
      <w:r w:rsidRPr="00B33543">
        <w:rPr>
          <w:rFonts w:asciiTheme="minorHAnsi" w:hAnsiTheme="minorHAnsi" w:cstheme="minorHAnsi"/>
        </w:rPr>
        <w:t>Por su parte, </w:t>
      </w:r>
      <w:r w:rsidRPr="00B33543">
        <w:rPr>
          <w:rFonts w:asciiTheme="minorHAnsi" w:hAnsiTheme="minorHAnsi" w:cstheme="minorHAnsi"/>
          <w:b/>
          <w:bCs/>
          <w:bdr w:val="none" w:sz="0" w:space="0" w:color="auto" w:frame="1"/>
        </w:rPr>
        <w:t>el galón de ACPM para Bogotá tendrá un aumento, desde el 5 de junio, de 160 pesos, al ubicarse en 8.610 pesos.</w:t>
      </w:r>
    </w:p>
    <w:p w:rsidR="005F25C4" w:rsidRPr="00B33543" w:rsidRDefault="005F25C4" w:rsidP="005F25C4">
      <w:pPr>
        <w:pStyle w:val="contenido"/>
        <w:spacing w:before="0" w:beforeAutospacing="0" w:after="0" w:afterAutospacing="0"/>
        <w:jc w:val="both"/>
        <w:textAlignment w:val="baseline"/>
        <w:rPr>
          <w:rFonts w:asciiTheme="minorHAnsi" w:hAnsiTheme="minorHAnsi" w:cstheme="minorHAnsi"/>
        </w:rPr>
      </w:pPr>
      <w:r w:rsidRPr="00B33543">
        <w:rPr>
          <w:rFonts w:asciiTheme="minorHAnsi" w:hAnsiTheme="minorHAnsi" w:cstheme="minorHAnsi"/>
        </w:rPr>
        <w:br/>
        <w:t>Para el ajuste de junio, con excepción de Armenia, en todas las ciudades el aumento mensual será de 1,8 por ciento, por encima del tope del 1,5 por ciento para el consumidor final, establecido en la fórmula de precios.</w:t>
      </w:r>
    </w:p>
    <w:p w:rsidR="001F14A0" w:rsidRPr="00B33543" w:rsidRDefault="005F25C4" w:rsidP="005F25C4">
      <w:pPr>
        <w:jc w:val="both"/>
        <w:rPr>
          <w:rFonts w:asciiTheme="minorHAnsi" w:hAnsiTheme="minorHAnsi" w:cs="Arial"/>
          <w:sz w:val="22"/>
          <w:szCs w:val="22"/>
          <w:lang w:val="es-CO"/>
        </w:rPr>
      </w:pPr>
      <w:r w:rsidRPr="00B33543">
        <w:rPr>
          <w:rFonts w:asciiTheme="minorHAnsi" w:hAnsiTheme="minorHAnsi" w:cs="Arial"/>
          <w:noProof/>
          <w:sz w:val="22"/>
          <w:szCs w:val="22"/>
          <w:lang w:val="en-US" w:eastAsia="en-US"/>
        </w:rPr>
        <w:drawing>
          <wp:inline distT="0" distB="0" distL="0" distR="0" wp14:anchorId="1C29F192" wp14:editId="10251EF8">
            <wp:extent cx="5902325" cy="2676525"/>
            <wp:effectExtent l="0" t="0" r="3175"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02325" cy="2676525"/>
                    </a:xfrm>
                    <a:prstGeom prst="rect">
                      <a:avLst/>
                    </a:prstGeom>
                    <a:noFill/>
                    <a:ln>
                      <a:noFill/>
                    </a:ln>
                  </pic:spPr>
                </pic:pic>
              </a:graphicData>
            </a:graphic>
          </wp:inline>
        </w:drawing>
      </w:r>
    </w:p>
    <w:p w:rsidR="007B5566" w:rsidRDefault="005F25C4" w:rsidP="005F25C4">
      <w:pPr>
        <w:pStyle w:val="contenido"/>
        <w:spacing w:before="0" w:beforeAutospacing="0" w:after="0" w:afterAutospacing="0"/>
        <w:jc w:val="both"/>
        <w:textAlignment w:val="baseline"/>
        <w:rPr>
          <w:rFonts w:asciiTheme="minorHAnsi" w:hAnsiTheme="minorHAnsi" w:cstheme="minorHAnsi"/>
          <w:sz w:val="22"/>
          <w:szCs w:val="22"/>
        </w:rPr>
      </w:pPr>
      <w:r w:rsidRPr="00B33543">
        <w:rPr>
          <w:rFonts w:asciiTheme="minorHAnsi" w:hAnsiTheme="minorHAnsi" w:cstheme="minorHAnsi"/>
          <w:sz w:val="22"/>
          <w:szCs w:val="22"/>
        </w:rPr>
        <w:t>Así, </w:t>
      </w:r>
      <w:r w:rsidRPr="00B33543">
        <w:rPr>
          <w:rFonts w:asciiTheme="minorHAnsi" w:hAnsiTheme="minorHAnsi" w:cstheme="minorHAnsi"/>
          <w:b/>
          <w:bCs/>
          <w:sz w:val="22"/>
          <w:szCs w:val="22"/>
          <w:bdr w:val="none" w:sz="0" w:space="0" w:color="auto" w:frame="1"/>
        </w:rPr>
        <w:t>este año el galón de gasolina, a junio, habrá subido 414 pesos, para un alza del 4,7 por ciento, por encima de la inflación acumulada, y en el último año el aumento va en 743 pesos por cada galón,</w:t>
      </w:r>
      <w:r w:rsidRPr="00B33543">
        <w:rPr>
          <w:rFonts w:asciiTheme="minorHAnsi" w:hAnsiTheme="minorHAnsi" w:cstheme="minorHAnsi"/>
          <w:sz w:val="22"/>
          <w:szCs w:val="22"/>
        </w:rPr>
        <w:t> mientras que el galón de ACPM registra un alza del 5 por ciento entre enero y junio (413 pesos) y, en el último año, a junio, cada galón habrá subido 805 pesos.</w:t>
      </w:r>
    </w:p>
    <w:p w:rsidR="007B5566" w:rsidRDefault="007B5566" w:rsidP="005F25C4">
      <w:pPr>
        <w:pStyle w:val="contenido"/>
        <w:spacing w:before="0" w:beforeAutospacing="0" w:after="0" w:afterAutospacing="0"/>
        <w:jc w:val="both"/>
        <w:textAlignment w:val="baseline"/>
        <w:rPr>
          <w:rFonts w:asciiTheme="minorHAnsi" w:hAnsiTheme="minorHAnsi" w:cstheme="minorHAnsi"/>
          <w:sz w:val="22"/>
          <w:szCs w:val="22"/>
        </w:rPr>
      </w:pPr>
      <w:r>
        <w:rPr>
          <w:rFonts w:asciiTheme="minorHAnsi" w:hAnsiTheme="minorHAnsi" w:cstheme="minorHAnsi"/>
          <w:sz w:val="22"/>
          <w:szCs w:val="22"/>
        </w:rPr>
        <w:t> </w:t>
      </w:r>
      <w:r w:rsidR="005F25C4" w:rsidRPr="00B33543">
        <w:rPr>
          <w:rFonts w:asciiTheme="minorHAnsi" w:hAnsiTheme="minorHAnsi" w:cstheme="minorHAnsi"/>
          <w:sz w:val="22"/>
          <w:szCs w:val="22"/>
        </w:rPr>
        <w:br/>
        <w:t>Además de los valores registrados entre febrero y junio, un precio por encima de los 9.000 pesos en el galón de gasolina se había visto en abril del 2012, mes en el que el valor de referencia fue de 9.040 pesos. </w:t>
      </w:r>
    </w:p>
    <w:p w:rsidR="005F25C4" w:rsidRPr="00B33543" w:rsidRDefault="005F25C4" w:rsidP="005F25C4">
      <w:pPr>
        <w:pStyle w:val="contenido"/>
        <w:spacing w:before="0" w:beforeAutospacing="0" w:after="0" w:afterAutospacing="0"/>
        <w:jc w:val="both"/>
        <w:textAlignment w:val="baseline"/>
        <w:rPr>
          <w:rFonts w:asciiTheme="minorHAnsi" w:hAnsiTheme="minorHAnsi" w:cstheme="minorHAnsi"/>
          <w:sz w:val="22"/>
          <w:szCs w:val="22"/>
        </w:rPr>
      </w:pPr>
      <w:r w:rsidRPr="00B33543">
        <w:rPr>
          <w:rFonts w:asciiTheme="minorHAnsi" w:hAnsiTheme="minorHAnsi" w:cstheme="minorHAnsi"/>
          <w:sz w:val="22"/>
          <w:szCs w:val="22"/>
        </w:rPr>
        <w:br/>
      </w:r>
      <w:r w:rsidRPr="00B33543">
        <w:rPr>
          <w:rFonts w:asciiTheme="minorHAnsi" w:hAnsiTheme="minorHAnsi" w:cstheme="minorHAnsi"/>
          <w:b/>
          <w:bCs/>
          <w:sz w:val="22"/>
          <w:szCs w:val="22"/>
          <w:bdr w:val="none" w:sz="0" w:space="0" w:color="auto" w:frame="1"/>
        </w:rPr>
        <w:t>El incremento de junio era inevitable, según lo había anticipado EL TIEMPO, por el aumento en el petróleo, en los combustibles de referencia, en el dólar y porque también hubo reajustes en los biocombustibles </w:t>
      </w:r>
      <w:r w:rsidRPr="00B33543">
        <w:rPr>
          <w:rFonts w:asciiTheme="minorHAnsi" w:hAnsiTheme="minorHAnsi" w:cstheme="minorHAnsi"/>
          <w:sz w:val="22"/>
          <w:szCs w:val="22"/>
        </w:rPr>
        <w:t>que se mezclan en el producto.</w:t>
      </w:r>
    </w:p>
    <w:p w:rsidR="005F25C4" w:rsidRPr="00B33543" w:rsidRDefault="0011444D" w:rsidP="005F25C4">
      <w:pPr>
        <w:jc w:val="both"/>
        <w:textAlignment w:val="baseline"/>
        <w:rPr>
          <w:rFonts w:asciiTheme="minorHAnsi" w:hAnsiTheme="minorHAnsi" w:cstheme="minorHAnsi"/>
          <w:sz w:val="22"/>
          <w:szCs w:val="22"/>
        </w:rPr>
      </w:pPr>
      <w:hyperlink r:id="rId14" w:history="1">
        <w:r w:rsidR="005F25C4" w:rsidRPr="00B33543">
          <w:rPr>
            <w:rStyle w:val="Hipervnculo"/>
            <w:rFonts w:asciiTheme="minorHAnsi" w:hAnsiTheme="minorHAnsi" w:cstheme="minorHAnsi"/>
            <w:color w:val="auto"/>
            <w:sz w:val="22"/>
            <w:szCs w:val="22"/>
            <w:bdr w:val="none" w:sz="0" w:space="0" w:color="auto" w:frame="1"/>
          </w:rPr>
          <w:t>¿Cuáles son los países con la gasolina más cara y más barata del mundo?</w:t>
        </w:r>
      </w:hyperlink>
    </w:p>
    <w:p w:rsidR="005F25C4" w:rsidRPr="00B33543" w:rsidRDefault="0011444D" w:rsidP="005F25C4">
      <w:pPr>
        <w:jc w:val="both"/>
        <w:textAlignment w:val="baseline"/>
        <w:rPr>
          <w:rFonts w:asciiTheme="minorHAnsi" w:hAnsiTheme="minorHAnsi" w:cstheme="minorHAnsi"/>
          <w:sz w:val="22"/>
          <w:szCs w:val="22"/>
        </w:rPr>
      </w:pPr>
      <w:hyperlink r:id="rId15" w:history="1">
        <w:r w:rsidR="005F25C4" w:rsidRPr="00B33543">
          <w:rPr>
            <w:rStyle w:val="Hipervnculo"/>
            <w:rFonts w:asciiTheme="minorHAnsi" w:hAnsiTheme="minorHAnsi" w:cstheme="minorHAnsi"/>
            <w:color w:val="auto"/>
            <w:sz w:val="22"/>
            <w:szCs w:val="22"/>
            <w:bdr w:val="none" w:sz="0" w:space="0" w:color="auto" w:frame="1"/>
          </w:rPr>
          <w:t>Precio de la gasolina subirá $ 161 a partir del 5 de junio</w:t>
        </w:r>
      </w:hyperlink>
    </w:p>
    <w:p w:rsidR="005F25C4" w:rsidRPr="00B33543" w:rsidRDefault="0011444D" w:rsidP="005F25C4">
      <w:pPr>
        <w:jc w:val="both"/>
        <w:textAlignment w:val="baseline"/>
        <w:rPr>
          <w:rFonts w:asciiTheme="minorHAnsi" w:hAnsiTheme="minorHAnsi" w:cstheme="minorHAnsi"/>
          <w:sz w:val="22"/>
          <w:szCs w:val="22"/>
        </w:rPr>
      </w:pPr>
      <w:hyperlink r:id="rId16" w:history="1">
        <w:r w:rsidR="005F25C4" w:rsidRPr="00B33543">
          <w:rPr>
            <w:rStyle w:val="Hipervnculo"/>
            <w:rFonts w:asciiTheme="minorHAnsi" w:hAnsiTheme="minorHAnsi" w:cstheme="minorHAnsi"/>
            <w:color w:val="auto"/>
            <w:sz w:val="22"/>
            <w:szCs w:val="22"/>
            <w:bdr w:val="none" w:sz="0" w:space="0" w:color="auto" w:frame="1"/>
          </w:rPr>
          <w:t>¿Por qué la gasolina está en precios récord en el país?</w:t>
        </w:r>
      </w:hyperlink>
    </w:p>
    <w:p w:rsidR="007B5566" w:rsidRDefault="005F25C4" w:rsidP="005F25C4">
      <w:pPr>
        <w:pStyle w:val="contenido"/>
        <w:spacing w:before="0" w:beforeAutospacing="0" w:after="0" w:afterAutospacing="0"/>
        <w:jc w:val="both"/>
        <w:textAlignment w:val="baseline"/>
        <w:rPr>
          <w:rFonts w:asciiTheme="minorHAnsi" w:hAnsiTheme="minorHAnsi" w:cstheme="minorHAnsi"/>
          <w:sz w:val="22"/>
          <w:szCs w:val="22"/>
        </w:rPr>
      </w:pPr>
      <w:r w:rsidRPr="00B33543">
        <w:rPr>
          <w:rFonts w:asciiTheme="minorHAnsi" w:hAnsiTheme="minorHAnsi" w:cstheme="minorHAnsi"/>
          <w:sz w:val="22"/>
          <w:szCs w:val="22"/>
        </w:rPr>
        <w:lastRenderedPageBreak/>
        <w:t>En efecto, según el ministerio, en mayo hubo un aumento frente a abril en los precios de los referentes internacionales de gasolina (UNL 87) del 6,4 por ciento, y en el ACPM el valor de referencia mundial (ULSD) repuntó un 7,4 por ciento.</w:t>
      </w:r>
    </w:p>
    <w:p w:rsidR="005F25C4" w:rsidRPr="00B33543" w:rsidRDefault="005F25C4" w:rsidP="005F25C4">
      <w:pPr>
        <w:pStyle w:val="contenido"/>
        <w:spacing w:before="0" w:beforeAutospacing="0" w:after="0" w:afterAutospacing="0"/>
        <w:jc w:val="both"/>
        <w:textAlignment w:val="baseline"/>
        <w:rPr>
          <w:rFonts w:asciiTheme="minorHAnsi" w:hAnsiTheme="minorHAnsi" w:cstheme="minorHAnsi"/>
          <w:sz w:val="22"/>
          <w:szCs w:val="22"/>
        </w:rPr>
      </w:pPr>
      <w:r w:rsidRPr="00B33543">
        <w:rPr>
          <w:rFonts w:asciiTheme="minorHAnsi" w:hAnsiTheme="minorHAnsi" w:cstheme="minorHAnsi"/>
          <w:sz w:val="22"/>
          <w:szCs w:val="22"/>
        </w:rPr>
        <w:br/>
        <w:t>Por su parte,</w:t>
      </w:r>
      <w:r w:rsidRPr="00B33543">
        <w:rPr>
          <w:rFonts w:asciiTheme="minorHAnsi" w:hAnsiTheme="minorHAnsi" w:cstheme="minorHAnsi"/>
          <w:b/>
          <w:bCs/>
          <w:sz w:val="22"/>
          <w:szCs w:val="22"/>
          <w:bdr w:val="none" w:sz="0" w:space="0" w:color="auto" w:frame="1"/>
        </w:rPr>
        <w:t xml:space="preserve"> en el mercado mundial, el etanol, que se mezcla con la gasolina, subió en mayo 0,3 por ciento y el </w:t>
      </w:r>
      <w:proofErr w:type="spellStart"/>
      <w:r w:rsidRPr="00B33543">
        <w:rPr>
          <w:rFonts w:asciiTheme="minorHAnsi" w:hAnsiTheme="minorHAnsi" w:cstheme="minorHAnsi"/>
          <w:b/>
          <w:bCs/>
          <w:sz w:val="22"/>
          <w:szCs w:val="22"/>
          <w:bdr w:val="none" w:sz="0" w:space="0" w:color="auto" w:frame="1"/>
        </w:rPr>
        <w:t>biodiésel</w:t>
      </w:r>
      <w:proofErr w:type="spellEnd"/>
      <w:r w:rsidRPr="00B33543">
        <w:rPr>
          <w:rFonts w:asciiTheme="minorHAnsi" w:hAnsiTheme="minorHAnsi" w:cstheme="minorHAnsi"/>
          <w:b/>
          <w:bCs/>
          <w:sz w:val="22"/>
          <w:szCs w:val="22"/>
          <w:bdr w:val="none" w:sz="0" w:space="0" w:color="auto" w:frame="1"/>
        </w:rPr>
        <w:t>, 1 por ciento.</w:t>
      </w:r>
      <w:r w:rsidRPr="00B33543">
        <w:rPr>
          <w:rFonts w:asciiTheme="minorHAnsi" w:hAnsiTheme="minorHAnsi" w:cstheme="minorHAnsi"/>
          <w:sz w:val="22"/>
          <w:szCs w:val="22"/>
        </w:rPr>
        <w:t> Además, el petróleo subió 7 por ciento, mientras que la tasa de cambio aumentó 3,3 por ciento.</w:t>
      </w:r>
      <w:r w:rsidRPr="00B33543">
        <w:rPr>
          <w:rFonts w:asciiTheme="minorHAnsi" w:hAnsiTheme="minorHAnsi" w:cstheme="minorHAnsi"/>
          <w:sz w:val="22"/>
          <w:szCs w:val="22"/>
        </w:rPr>
        <w:br/>
      </w:r>
      <w:r w:rsidRPr="00B33543">
        <w:rPr>
          <w:rFonts w:asciiTheme="minorHAnsi" w:hAnsiTheme="minorHAnsi" w:cstheme="minorHAnsi"/>
          <w:sz w:val="22"/>
          <w:szCs w:val="22"/>
        </w:rPr>
        <w:br/>
        <w:t>A esto se sumó, </w:t>
      </w:r>
      <w:r w:rsidRPr="00B33543">
        <w:rPr>
          <w:rFonts w:asciiTheme="minorHAnsi" w:hAnsiTheme="minorHAnsi" w:cstheme="minorHAnsi"/>
          <w:b/>
          <w:bCs/>
          <w:sz w:val="22"/>
          <w:szCs w:val="22"/>
          <w:bdr w:val="none" w:sz="0" w:space="0" w:color="auto" w:frame="1"/>
        </w:rPr>
        <w:t>según Julio César Vera, presidente de la Asociación Colombiana de Ingenieros de Petróleos (</w:t>
      </w:r>
      <w:proofErr w:type="spellStart"/>
      <w:r w:rsidRPr="00B33543">
        <w:rPr>
          <w:rFonts w:asciiTheme="minorHAnsi" w:hAnsiTheme="minorHAnsi" w:cstheme="minorHAnsi"/>
          <w:b/>
          <w:bCs/>
          <w:sz w:val="22"/>
          <w:szCs w:val="22"/>
          <w:bdr w:val="none" w:sz="0" w:space="0" w:color="auto" w:frame="1"/>
        </w:rPr>
        <w:t>Acipet</w:t>
      </w:r>
      <w:proofErr w:type="spellEnd"/>
      <w:r w:rsidRPr="00B33543">
        <w:rPr>
          <w:rFonts w:asciiTheme="minorHAnsi" w:hAnsiTheme="minorHAnsi" w:cstheme="minorHAnsi"/>
          <w:b/>
          <w:bCs/>
          <w:sz w:val="22"/>
          <w:szCs w:val="22"/>
          <w:bdr w:val="none" w:sz="0" w:space="0" w:color="auto" w:frame="1"/>
        </w:rPr>
        <w:t>), el incremento en el margen que se les reconoce a los distribuidores mayoristas</w:t>
      </w:r>
      <w:r w:rsidRPr="00B33543">
        <w:rPr>
          <w:rFonts w:asciiTheme="minorHAnsi" w:hAnsiTheme="minorHAnsi" w:cstheme="minorHAnsi"/>
          <w:sz w:val="22"/>
          <w:szCs w:val="22"/>
        </w:rPr>
        <w:t> (los que llevan los combustibles hasta las estaciones de servicio), pues por regulación este indicador se actualiza cada primero de junio.</w:t>
      </w:r>
      <w:r w:rsidRPr="00B33543">
        <w:rPr>
          <w:rFonts w:asciiTheme="minorHAnsi" w:hAnsiTheme="minorHAnsi" w:cstheme="minorHAnsi"/>
          <w:sz w:val="22"/>
          <w:szCs w:val="22"/>
        </w:rPr>
        <w:br/>
      </w:r>
      <w:r w:rsidRPr="00B33543">
        <w:rPr>
          <w:rFonts w:asciiTheme="minorHAnsi" w:hAnsiTheme="minorHAnsi" w:cstheme="minorHAnsi"/>
          <w:sz w:val="22"/>
          <w:szCs w:val="22"/>
        </w:rPr>
        <w:br/>
        <w:t xml:space="preserve">Y si bien por la dura competencia las estaciones trabajan con precios más bajos para no perder su mercado, los reajustes que hace el Gobierno siempre se trasladan al precio final, según las cifras del </w:t>
      </w:r>
      <w:proofErr w:type="spellStart"/>
      <w:r w:rsidRPr="00B33543">
        <w:rPr>
          <w:rFonts w:asciiTheme="minorHAnsi" w:hAnsiTheme="minorHAnsi" w:cstheme="minorHAnsi"/>
          <w:sz w:val="22"/>
          <w:szCs w:val="22"/>
        </w:rPr>
        <w:t>Dane</w:t>
      </w:r>
      <w:proofErr w:type="spellEnd"/>
      <w:r w:rsidRPr="00B33543">
        <w:rPr>
          <w:rFonts w:asciiTheme="minorHAnsi" w:hAnsiTheme="minorHAnsi" w:cstheme="minorHAnsi"/>
          <w:sz w:val="22"/>
          <w:szCs w:val="22"/>
        </w:rPr>
        <w:t>.</w:t>
      </w:r>
    </w:p>
    <w:p w:rsidR="005F25C4" w:rsidRPr="00B33543" w:rsidRDefault="005F25C4" w:rsidP="005F25C4">
      <w:pPr>
        <w:jc w:val="both"/>
        <w:rPr>
          <w:rFonts w:asciiTheme="minorHAnsi" w:hAnsiTheme="minorHAnsi" w:cstheme="minorHAnsi"/>
          <w:sz w:val="22"/>
          <w:szCs w:val="22"/>
        </w:rPr>
      </w:pPr>
      <w:r w:rsidRPr="00B33543">
        <w:rPr>
          <w:rStyle w:val="articulo-subtitulo"/>
          <w:rFonts w:asciiTheme="minorHAnsi" w:hAnsiTheme="minorHAnsi" w:cstheme="minorHAnsi"/>
          <w:sz w:val="22"/>
          <w:szCs w:val="22"/>
          <w:bdr w:val="none" w:sz="0" w:space="0" w:color="auto" w:frame="1"/>
        </w:rPr>
        <w:t>Usuarios asumen bajas y alzas</w:t>
      </w:r>
    </w:p>
    <w:p w:rsidR="007B5566" w:rsidRDefault="005F25C4" w:rsidP="005F25C4">
      <w:pPr>
        <w:pStyle w:val="contenido"/>
        <w:spacing w:before="0" w:beforeAutospacing="0" w:after="0" w:afterAutospacing="0"/>
        <w:jc w:val="both"/>
        <w:textAlignment w:val="baseline"/>
        <w:rPr>
          <w:rFonts w:asciiTheme="minorHAnsi" w:hAnsiTheme="minorHAnsi" w:cstheme="minorHAnsi"/>
          <w:sz w:val="22"/>
          <w:szCs w:val="22"/>
        </w:rPr>
      </w:pPr>
      <w:r w:rsidRPr="00B33543">
        <w:rPr>
          <w:rFonts w:asciiTheme="minorHAnsi" w:hAnsiTheme="minorHAnsi" w:cstheme="minorHAnsi"/>
          <w:sz w:val="22"/>
          <w:szCs w:val="22"/>
        </w:rPr>
        <w:t>Antes de las recientes alzas de este año, </w:t>
      </w:r>
      <w:r w:rsidRPr="00B33543">
        <w:rPr>
          <w:rFonts w:asciiTheme="minorHAnsi" w:hAnsiTheme="minorHAnsi" w:cstheme="minorHAnsi"/>
          <w:b/>
          <w:bCs/>
          <w:sz w:val="22"/>
          <w:szCs w:val="22"/>
          <w:bdr w:val="none" w:sz="0" w:space="0" w:color="auto" w:frame="1"/>
        </w:rPr>
        <w:t>el galón de gasolina había experimentado una reducción importante a la par de la caída de los precios del petróleo registrada entre el 2014 y el 2015,</w:t>
      </w:r>
      <w:r w:rsidRPr="00B33543">
        <w:rPr>
          <w:rFonts w:asciiTheme="minorHAnsi" w:hAnsiTheme="minorHAnsi" w:cstheme="minorHAnsi"/>
          <w:sz w:val="22"/>
          <w:szCs w:val="22"/>
        </w:rPr>
        <w:t> que llevó al galón de referencia en Bogotá a niveles de 7.612 pesos en marzo del 2016.</w:t>
      </w:r>
    </w:p>
    <w:p w:rsidR="007B5566" w:rsidRDefault="005F25C4" w:rsidP="005F25C4">
      <w:pPr>
        <w:pStyle w:val="contenido"/>
        <w:spacing w:before="0" w:beforeAutospacing="0" w:after="0" w:afterAutospacing="0"/>
        <w:jc w:val="both"/>
        <w:textAlignment w:val="baseline"/>
        <w:rPr>
          <w:rFonts w:asciiTheme="minorHAnsi" w:hAnsiTheme="minorHAnsi" w:cstheme="minorHAnsi"/>
          <w:sz w:val="22"/>
          <w:szCs w:val="22"/>
        </w:rPr>
      </w:pPr>
      <w:r w:rsidRPr="00B33543">
        <w:rPr>
          <w:rFonts w:asciiTheme="minorHAnsi" w:hAnsiTheme="minorHAnsi" w:cstheme="minorHAnsi"/>
          <w:sz w:val="22"/>
          <w:szCs w:val="22"/>
        </w:rPr>
        <w:br/>
      </w:r>
      <w:r w:rsidRPr="00B33543">
        <w:rPr>
          <w:rFonts w:asciiTheme="minorHAnsi" w:hAnsiTheme="minorHAnsi" w:cstheme="minorHAnsi"/>
          <w:b/>
          <w:bCs/>
          <w:sz w:val="22"/>
          <w:szCs w:val="22"/>
          <w:bdr w:val="none" w:sz="0" w:space="0" w:color="auto" w:frame="1"/>
        </w:rPr>
        <w:t xml:space="preserve">Esto debido a </w:t>
      </w:r>
      <w:r w:rsidR="007B5566" w:rsidRPr="00B33543">
        <w:rPr>
          <w:rFonts w:asciiTheme="minorHAnsi" w:hAnsiTheme="minorHAnsi" w:cstheme="minorHAnsi"/>
          <w:b/>
          <w:bCs/>
          <w:sz w:val="22"/>
          <w:szCs w:val="22"/>
          <w:bdr w:val="none" w:sz="0" w:space="0" w:color="auto" w:frame="1"/>
        </w:rPr>
        <w:t>que,</w:t>
      </w:r>
      <w:r w:rsidRPr="00B33543">
        <w:rPr>
          <w:rFonts w:asciiTheme="minorHAnsi" w:hAnsiTheme="minorHAnsi" w:cstheme="minorHAnsi"/>
          <w:b/>
          <w:bCs/>
          <w:sz w:val="22"/>
          <w:szCs w:val="22"/>
          <w:bdr w:val="none" w:sz="0" w:space="0" w:color="auto" w:frame="1"/>
        </w:rPr>
        <w:t xml:space="preserve"> en aplicación de un fallo de la Corte Constitucional, cuando los precios internacionales bajan,</w:t>
      </w:r>
      <w:r w:rsidRPr="00B33543">
        <w:rPr>
          <w:rFonts w:asciiTheme="minorHAnsi" w:hAnsiTheme="minorHAnsi" w:cstheme="minorHAnsi"/>
          <w:sz w:val="22"/>
          <w:szCs w:val="22"/>
        </w:rPr>
        <w:t> esto se debe reflejar de manera plena en el consumidor final, lo que dejó sin financiación el Fondo de Estabilización de Precios de los Combustibles (</w:t>
      </w:r>
      <w:proofErr w:type="spellStart"/>
      <w:r w:rsidRPr="00B33543">
        <w:rPr>
          <w:rFonts w:asciiTheme="minorHAnsi" w:hAnsiTheme="minorHAnsi" w:cstheme="minorHAnsi"/>
          <w:sz w:val="22"/>
          <w:szCs w:val="22"/>
        </w:rPr>
        <w:t>Fepc</w:t>
      </w:r>
      <w:proofErr w:type="spellEnd"/>
      <w:r w:rsidRPr="00B33543">
        <w:rPr>
          <w:rFonts w:asciiTheme="minorHAnsi" w:hAnsiTheme="minorHAnsi" w:cstheme="minorHAnsi"/>
          <w:sz w:val="22"/>
          <w:szCs w:val="22"/>
        </w:rPr>
        <w:t>).</w:t>
      </w:r>
    </w:p>
    <w:p w:rsidR="007B5566" w:rsidRDefault="005F25C4" w:rsidP="005F25C4">
      <w:pPr>
        <w:pStyle w:val="contenido"/>
        <w:spacing w:before="0" w:beforeAutospacing="0" w:after="0" w:afterAutospacing="0"/>
        <w:jc w:val="both"/>
        <w:textAlignment w:val="baseline"/>
        <w:rPr>
          <w:rFonts w:asciiTheme="minorHAnsi" w:hAnsiTheme="minorHAnsi" w:cstheme="minorHAnsi"/>
          <w:sz w:val="22"/>
          <w:szCs w:val="22"/>
        </w:rPr>
      </w:pPr>
      <w:r w:rsidRPr="00B33543">
        <w:rPr>
          <w:rFonts w:asciiTheme="minorHAnsi" w:hAnsiTheme="minorHAnsi" w:cstheme="minorHAnsi"/>
          <w:sz w:val="22"/>
          <w:szCs w:val="22"/>
        </w:rPr>
        <w:br/>
        <w:t xml:space="preserve">Es decir, que luego de recibir los beneficios de la crisis petrolera en sus bolsillos, cuando pagaron un galón más barato, ahora a los consumidores les corresponde asumir el impacto pleno del aumento, pues el </w:t>
      </w:r>
      <w:proofErr w:type="spellStart"/>
      <w:r w:rsidRPr="00B33543">
        <w:rPr>
          <w:rFonts w:asciiTheme="minorHAnsi" w:hAnsiTheme="minorHAnsi" w:cstheme="minorHAnsi"/>
          <w:sz w:val="22"/>
          <w:szCs w:val="22"/>
        </w:rPr>
        <w:t>Fepc</w:t>
      </w:r>
      <w:proofErr w:type="spellEnd"/>
      <w:r w:rsidRPr="00B33543">
        <w:rPr>
          <w:rFonts w:asciiTheme="minorHAnsi" w:hAnsiTheme="minorHAnsi" w:cstheme="minorHAnsi"/>
          <w:sz w:val="22"/>
          <w:szCs w:val="22"/>
        </w:rPr>
        <w:t xml:space="preserve"> ya registra este año un déficit acumulado superior a los 6,5 billones de pesos.</w:t>
      </w:r>
    </w:p>
    <w:p w:rsidR="005F25C4" w:rsidRDefault="005F25C4" w:rsidP="005F25C4">
      <w:pPr>
        <w:pStyle w:val="contenido"/>
        <w:spacing w:before="0" w:beforeAutospacing="0" w:after="0" w:afterAutospacing="0"/>
        <w:jc w:val="both"/>
        <w:textAlignment w:val="baseline"/>
        <w:rPr>
          <w:rFonts w:asciiTheme="minorHAnsi" w:hAnsiTheme="minorHAnsi" w:cstheme="minorHAnsi"/>
          <w:sz w:val="22"/>
          <w:szCs w:val="22"/>
        </w:rPr>
      </w:pPr>
      <w:r w:rsidRPr="00B33543">
        <w:rPr>
          <w:rFonts w:asciiTheme="minorHAnsi" w:hAnsiTheme="minorHAnsi" w:cstheme="minorHAnsi"/>
          <w:sz w:val="22"/>
          <w:szCs w:val="22"/>
        </w:rPr>
        <w:br/>
        <w:t>Según el Ministerio de Hacienda, </w:t>
      </w:r>
      <w:r w:rsidRPr="00B33543">
        <w:rPr>
          <w:rFonts w:asciiTheme="minorHAnsi" w:hAnsiTheme="minorHAnsi" w:cstheme="minorHAnsi"/>
          <w:b/>
          <w:bCs/>
          <w:sz w:val="22"/>
          <w:szCs w:val="22"/>
          <w:bdr w:val="none" w:sz="0" w:space="0" w:color="auto" w:frame="1"/>
        </w:rPr>
        <w:t>desde diciembre del 2011, cuando el saldo en caja de este fondo quedó en cero, hasta diciembre del 2017 ha acumulado una deuda por esa multimillonaria cifra, que incluso ya podría superar los 7 billones de pesos,</w:t>
      </w:r>
      <w:r w:rsidRPr="00B33543">
        <w:rPr>
          <w:rFonts w:asciiTheme="minorHAnsi" w:hAnsiTheme="minorHAnsi" w:cstheme="minorHAnsi"/>
          <w:sz w:val="22"/>
          <w:szCs w:val="22"/>
        </w:rPr>
        <w:t> toda vez que en marzo y abril no hubo aumento en los precios de los combustibles.</w:t>
      </w:r>
    </w:p>
    <w:p w:rsidR="005F25C4" w:rsidRDefault="005F25C4" w:rsidP="005F25C4">
      <w:pPr>
        <w:pStyle w:val="contenido"/>
        <w:spacing w:before="0" w:beforeAutospacing="0" w:after="0" w:afterAutospacing="0"/>
        <w:jc w:val="both"/>
        <w:textAlignment w:val="baseline"/>
        <w:rPr>
          <w:rFonts w:asciiTheme="minorHAnsi" w:hAnsiTheme="minorHAnsi" w:cstheme="minorHAnsi"/>
          <w:color w:val="393939"/>
          <w:sz w:val="22"/>
          <w:szCs w:val="22"/>
        </w:rPr>
      </w:pPr>
    </w:p>
    <w:p w:rsidR="00B33543" w:rsidRDefault="00B33543" w:rsidP="00B33543">
      <w:pPr>
        <w:pStyle w:val="Sinespaciado"/>
        <w:jc w:val="both"/>
        <w:rPr>
          <w:b/>
        </w:rPr>
      </w:pPr>
      <w:r>
        <w:rPr>
          <w:b/>
        </w:rPr>
        <w:t>Actividad de Aprendizaje</w:t>
      </w:r>
      <w:r w:rsidRPr="00750823">
        <w:rPr>
          <w:b/>
        </w:rPr>
        <w:t>:</w:t>
      </w:r>
    </w:p>
    <w:p w:rsidR="00B33543" w:rsidRDefault="00B33543" w:rsidP="00B33543">
      <w:pPr>
        <w:pStyle w:val="Sinespaciado"/>
        <w:jc w:val="both"/>
        <w:rPr>
          <w:b/>
        </w:rPr>
      </w:pPr>
    </w:p>
    <w:p w:rsidR="00B33543" w:rsidRDefault="00B33543" w:rsidP="00B33543">
      <w:pPr>
        <w:pStyle w:val="Sinespaciado"/>
        <w:jc w:val="both"/>
      </w:pPr>
      <w:r w:rsidRPr="0002420F">
        <w:t>1. En grupos de proyecto realizaran la siguiente actividad</w:t>
      </w:r>
      <w:r>
        <w:t>:</w:t>
      </w:r>
    </w:p>
    <w:p w:rsidR="00B33543" w:rsidRDefault="00B33543" w:rsidP="00B33543">
      <w:pPr>
        <w:pStyle w:val="Sinespaciado"/>
        <w:jc w:val="both"/>
      </w:pPr>
    </w:p>
    <w:p w:rsidR="007B5566" w:rsidRPr="005E52B4" w:rsidRDefault="007B5566" w:rsidP="007B5566">
      <w:pPr>
        <w:numPr>
          <w:ilvl w:val="2"/>
          <w:numId w:val="17"/>
        </w:numPr>
        <w:spacing w:after="43" w:line="248" w:lineRule="auto"/>
        <w:ind w:left="707" w:hanging="361"/>
        <w:jc w:val="both"/>
        <w:rPr>
          <w:rFonts w:asciiTheme="minorHAnsi" w:hAnsiTheme="minorHAnsi" w:cstheme="minorHAnsi"/>
        </w:rPr>
      </w:pPr>
      <w:r w:rsidRPr="005E52B4">
        <w:rPr>
          <w:rFonts w:asciiTheme="minorHAnsi" w:hAnsiTheme="minorHAnsi" w:cstheme="minorHAnsi"/>
        </w:rPr>
        <w:t xml:space="preserve">Analizar </w:t>
      </w:r>
      <w:r w:rsidRPr="005E52B4">
        <w:rPr>
          <w:rFonts w:asciiTheme="minorHAnsi" w:eastAsia="Arial" w:hAnsiTheme="minorHAnsi" w:cstheme="minorHAnsi"/>
          <w:color w:val="222222"/>
        </w:rPr>
        <w:t>¿</w:t>
      </w:r>
      <w:r>
        <w:rPr>
          <w:rFonts w:asciiTheme="minorHAnsi" w:hAnsiTheme="minorHAnsi" w:cstheme="minorHAnsi"/>
        </w:rPr>
        <w:t>C</w:t>
      </w:r>
      <w:r w:rsidRPr="005E52B4">
        <w:rPr>
          <w:rFonts w:asciiTheme="minorHAnsi" w:hAnsiTheme="minorHAnsi" w:cstheme="minorHAnsi"/>
        </w:rPr>
        <w:t>ómo afecta a las empresas colombi</w:t>
      </w:r>
      <w:r>
        <w:rPr>
          <w:rFonts w:asciiTheme="minorHAnsi" w:hAnsiTheme="minorHAnsi" w:cstheme="minorHAnsi"/>
        </w:rPr>
        <w:t>a</w:t>
      </w:r>
      <w:r w:rsidRPr="005E52B4">
        <w:rPr>
          <w:rFonts w:asciiTheme="minorHAnsi" w:hAnsiTheme="minorHAnsi" w:cstheme="minorHAnsi"/>
        </w:rPr>
        <w:t xml:space="preserve">nas el incremento de los combustibles? </w:t>
      </w:r>
    </w:p>
    <w:p w:rsidR="007B5566" w:rsidRPr="005E52B4" w:rsidRDefault="007B5566" w:rsidP="007B5566">
      <w:pPr>
        <w:numPr>
          <w:ilvl w:val="2"/>
          <w:numId w:val="17"/>
        </w:numPr>
        <w:spacing w:after="43" w:line="248" w:lineRule="auto"/>
        <w:ind w:left="707" w:hanging="361"/>
        <w:jc w:val="both"/>
        <w:rPr>
          <w:rFonts w:asciiTheme="minorHAnsi" w:hAnsiTheme="minorHAnsi" w:cstheme="minorHAnsi"/>
        </w:rPr>
      </w:pPr>
      <w:r w:rsidRPr="005E52B4">
        <w:rPr>
          <w:rFonts w:asciiTheme="minorHAnsi" w:hAnsiTheme="minorHAnsi" w:cstheme="minorHAnsi"/>
        </w:rPr>
        <w:t>Realiza</w:t>
      </w:r>
      <w:r>
        <w:rPr>
          <w:rFonts w:asciiTheme="minorHAnsi" w:hAnsiTheme="minorHAnsi" w:cstheme="minorHAnsi"/>
        </w:rPr>
        <w:t>r</w:t>
      </w:r>
      <w:r w:rsidRPr="005E52B4">
        <w:rPr>
          <w:rFonts w:asciiTheme="minorHAnsi" w:hAnsiTheme="minorHAnsi" w:cstheme="minorHAnsi"/>
        </w:rPr>
        <w:t xml:space="preserve"> un cuadro comparativo, donde </w:t>
      </w:r>
      <w:r>
        <w:rPr>
          <w:rFonts w:asciiTheme="minorHAnsi" w:hAnsiTheme="minorHAnsi" w:cstheme="minorHAnsi"/>
        </w:rPr>
        <w:t xml:space="preserve">se </w:t>
      </w:r>
      <w:r w:rsidRPr="005E52B4">
        <w:rPr>
          <w:rFonts w:asciiTheme="minorHAnsi" w:hAnsiTheme="minorHAnsi" w:cstheme="minorHAnsi"/>
        </w:rPr>
        <w:t>analice</w:t>
      </w:r>
      <w:r>
        <w:rPr>
          <w:rFonts w:asciiTheme="minorHAnsi" w:hAnsiTheme="minorHAnsi" w:cstheme="minorHAnsi"/>
        </w:rPr>
        <w:t>n</w:t>
      </w:r>
      <w:r w:rsidRPr="005E52B4">
        <w:rPr>
          <w:rFonts w:asciiTheme="minorHAnsi" w:hAnsiTheme="minorHAnsi" w:cstheme="minorHAnsi"/>
        </w:rPr>
        <w:t xml:space="preserve"> las variables externas e internas que influyen para el incremento de los combustibles. </w:t>
      </w:r>
    </w:p>
    <w:p w:rsidR="007B5566" w:rsidRDefault="007B5566" w:rsidP="007B5566">
      <w:pPr>
        <w:numPr>
          <w:ilvl w:val="2"/>
          <w:numId w:val="17"/>
        </w:numPr>
        <w:spacing w:after="43" w:line="248" w:lineRule="auto"/>
        <w:ind w:left="707" w:hanging="361"/>
        <w:jc w:val="both"/>
        <w:rPr>
          <w:rFonts w:asciiTheme="minorHAnsi" w:hAnsiTheme="minorHAnsi" w:cstheme="minorHAnsi"/>
        </w:rPr>
      </w:pPr>
      <w:r w:rsidRPr="005E52B4">
        <w:rPr>
          <w:rFonts w:asciiTheme="minorHAnsi" w:hAnsiTheme="minorHAnsi" w:cstheme="minorHAnsi"/>
        </w:rPr>
        <w:t xml:space="preserve">Determinen si ustedes se sienten afectados por el incremento de los combustibles. </w:t>
      </w:r>
    </w:p>
    <w:p w:rsidR="004C5279" w:rsidRDefault="004C5279" w:rsidP="005F25C4">
      <w:pPr>
        <w:pStyle w:val="Sinespaciado"/>
        <w:jc w:val="both"/>
      </w:pPr>
    </w:p>
    <w:p w:rsidR="007B5566" w:rsidRPr="007B5566" w:rsidRDefault="007B5566" w:rsidP="007B5566">
      <w:pPr>
        <w:pStyle w:val="Sinespaciado"/>
        <w:jc w:val="both"/>
        <w:rPr>
          <w:lang w:val="es-CO"/>
        </w:rPr>
      </w:pPr>
      <w:r w:rsidRPr="007B5566">
        <w:rPr>
          <w:lang w:val="es-CO"/>
        </w:rPr>
        <w:t>Finalmente, deben nombrar el archivo de Word como “</w:t>
      </w:r>
      <w:r w:rsidRPr="007B5566">
        <w:rPr>
          <w:b/>
          <w:lang w:val="es-CO"/>
        </w:rPr>
        <w:t>01_2_ACTIVIDAD_Análisis_del_entorno</w:t>
      </w:r>
      <w:r w:rsidRPr="007B5566">
        <w:rPr>
          <w:lang w:val="es-CO"/>
        </w:rPr>
        <w:t>” en la plataforma Blackboard y en su portafolio del aprendiz.</w:t>
      </w:r>
    </w:p>
    <w:sectPr w:rsidR="007B5566" w:rsidRPr="007B5566" w:rsidSect="00FE65FA">
      <w:headerReference w:type="default" r:id="rId17"/>
      <w:pgSz w:w="12240" w:h="15840"/>
      <w:pgMar w:top="1440" w:right="1080" w:bottom="1276" w:left="1080" w:header="709" w:footer="709" w:gutter="0"/>
      <w:pgBorders w:offsetFrom="page">
        <w:top w:val="single" w:sz="18" w:space="24" w:color="943634" w:themeColor="accent2" w:themeShade="BF"/>
        <w:left w:val="single" w:sz="18" w:space="24" w:color="943634" w:themeColor="accent2" w:themeShade="BF"/>
        <w:bottom w:val="single" w:sz="18" w:space="24" w:color="943634" w:themeColor="accent2" w:themeShade="BF"/>
        <w:right w:val="single" w:sz="18" w:space="24" w:color="943634" w:themeColor="accent2" w:themeShade="BF"/>
      </w:pgBorders>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1444D" w:rsidRDefault="0011444D" w:rsidP="00CA6D38">
      <w:r>
        <w:separator/>
      </w:r>
    </w:p>
  </w:endnote>
  <w:endnote w:type="continuationSeparator" w:id="0">
    <w:p w:rsidR="0011444D" w:rsidRDefault="0011444D" w:rsidP="00CA6D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Noto Sans Symbols">
    <w:altName w:val="Calibri"/>
    <w:charset w:val="00"/>
    <w:family w:val="auto"/>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open_sansregular">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1444D" w:rsidRDefault="0011444D" w:rsidP="00CA6D38">
      <w:r>
        <w:separator/>
      </w:r>
    </w:p>
  </w:footnote>
  <w:footnote w:type="continuationSeparator" w:id="0">
    <w:p w:rsidR="0011444D" w:rsidRDefault="0011444D" w:rsidP="00CA6D38">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20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560"/>
      <w:gridCol w:w="8646"/>
    </w:tblGrid>
    <w:tr w:rsidR="00070DF9" w:rsidTr="005B7B21">
      <w:trPr>
        <w:trHeight w:val="1266"/>
      </w:trPr>
      <w:tc>
        <w:tcPr>
          <w:tcW w:w="1560" w:type="dxa"/>
        </w:tcPr>
        <w:p w:rsidR="00070DF9" w:rsidRDefault="0011444D" w:rsidP="00070DF9">
          <w:pPr>
            <w:pStyle w:val="Encabezado"/>
            <w:rPr>
              <w:lang w:val="es-MX"/>
            </w:rPr>
          </w:pPr>
          <w:r>
            <w:rPr>
              <w:noProof/>
              <w:lang w:val="es-ES"/>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style="position:absolute;margin-left:15.75pt;margin-top:10.95pt;width:40.55pt;height:39.05pt;z-index:251659264" fillcolor="#0c9">
                <v:imagedata r:id="rId1" o:title=""/>
                <w10:wrap type="topAndBottom"/>
              </v:shape>
              <o:OLEObject Type="Embed" ProgID="Word.Picture.8" ShapeID="_x0000_s2049" DrawAspect="Content" ObjectID="_1602325916" r:id="rId2"/>
            </w:object>
          </w:r>
        </w:p>
      </w:tc>
      <w:tc>
        <w:tcPr>
          <w:tcW w:w="8646" w:type="dxa"/>
        </w:tcPr>
        <w:p w:rsidR="00070DF9" w:rsidRDefault="00070DF9" w:rsidP="00070DF9">
          <w:pPr>
            <w:pStyle w:val="Encabezado"/>
            <w:jc w:val="center"/>
            <w:rPr>
              <w:lang w:val="es-MX"/>
            </w:rPr>
          </w:pPr>
        </w:p>
        <w:p w:rsidR="00070DF9" w:rsidRPr="007B5566" w:rsidRDefault="00070DF9" w:rsidP="00070DF9">
          <w:pPr>
            <w:pStyle w:val="Encabezado"/>
            <w:jc w:val="center"/>
            <w:rPr>
              <w:b/>
              <w:lang w:val="es-MX"/>
            </w:rPr>
          </w:pPr>
          <w:r w:rsidRPr="007B5566">
            <w:rPr>
              <w:b/>
              <w:lang w:val="es-MX"/>
            </w:rPr>
            <w:t xml:space="preserve">Servicio Nacional de Aprendizaje </w:t>
          </w:r>
        </w:p>
        <w:p w:rsidR="001F14A0" w:rsidRPr="007B5566" w:rsidRDefault="007B5566" w:rsidP="001F14A0">
          <w:pPr>
            <w:pStyle w:val="Encabezado"/>
            <w:jc w:val="center"/>
            <w:rPr>
              <w:b/>
              <w:bCs/>
              <w:sz w:val="22"/>
              <w:lang w:val="es-MX"/>
            </w:rPr>
          </w:pPr>
          <w:r w:rsidRPr="007B5566">
            <w:rPr>
              <w:b/>
              <w:bCs/>
              <w:sz w:val="22"/>
              <w:lang w:val="es-MX"/>
            </w:rPr>
            <w:t>Centro de Gestión de Mercados, Logística y TI</w:t>
          </w:r>
        </w:p>
        <w:p w:rsidR="001F14A0" w:rsidRPr="007B5566" w:rsidRDefault="007B5566" w:rsidP="001F14A0">
          <w:pPr>
            <w:pStyle w:val="Default"/>
            <w:jc w:val="center"/>
            <w:rPr>
              <w:b/>
              <w:lang w:val="es-MX"/>
            </w:rPr>
          </w:pPr>
          <w:r w:rsidRPr="007B5566">
            <w:rPr>
              <w:b/>
              <w:lang w:val="es-MX"/>
            </w:rPr>
            <w:t>01_2_LECTURA_Análisis_del_</w:t>
          </w:r>
          <w:r w:rsidR="00B41539" w:rsidRPr="007B5566">
            <w:rPr>
              <w:b/>
              <w:lang w:val="es-MX"/>
            </w:rPr>
            <w:t>entorno</w:t>
          </w:r>
        </w:p>
        <w:p w:rsidR="00FE65FA" w:rsidRPr="00FE65FA" w:rsidRDefault="00FE65FA" w:rsidP="00F661E4">
          <w:pPr>
            <w:pStyle w:val="Encabezado"/>
            <w:jc w:val="center"/>
            <w:rPr>
              <w:b/>
            </w:rPr>
          </w:pPr>
        </w:p>
      </w:tc>
    </w:tr>
  </w:tbl>
  <w:p w:rsidR="00CA6D38" w:rsidRPr="00CA6D38" w:rsidRDefault="00CA6D38">
    <w:pPr>
      <w:pStyle w:val="Encabezado"/>
      <w:rPr>
        <w:lang w:val="es-ES"/>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4F6F56"/>
    <w:multiLevelType w:val="multilevel"/>
    <w:tmpl w:val="0C405A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0A12DB"/>
    <w:multiLevelType w:val="hybridMultilevel"/>
    <w:tmpl w:val="28DA8000"/>
    <w:lvl w:ilvl="0" w:tplc="240A0019">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184E0CA5"/>
    <w:multiLevelType w:val="hybridMultilevel"/>
    <w:tmpl w:val="6F28C7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8B32DDC"/>
    <w:multiLevelType w:val="multilevel"/>
    <w:tmpl w:val="1D92F5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B0A0CC8"/>
    <w:multiLevelType w:val="hybridMultilevel"/>
    <w:tmpl w:val="2E1C59B2"/>
    <w:lvl w:ilvl="0" w:tplc="80AA6D6C">
      <w:start w:val="1"/>
      <w:numFmt w:val="decimal"/>
      <w:lvlText w:val="%1"/>
      <w:lvlJc w:val="left"/>
      <w:pPr>
        <w:ind w:left="360"/>
      </w:pPr>
      <w:rPr>
        <w:rFonts w:ascii="Calibri" w:eastAsia="Calibri" w:hAnsi="Calibri" w:cs="Calibri"/>
        <w:b w:val="0"/>
        <w:i w:val="0"/>
        <w:strike w:val="0"/>
        <w:dstrike w:val="0"/>
        <w:color w:val="000000"/>
        <w:sz w:val="23"/>
        <w:u w:val="none" w:color="000000"/>
        <w:bdr w:val="none" w:sz="0" w:space="0" w:color="auto"/>
        <w:shd w:val="clear" w:color="auto" w:fill="auto"/>
        <w:vertAlign w:val="baseline"/>
      </w:rPr>
    </w:lvl>
    <w:lvl w:ilvl="1" w:tplc="652E152C">
      <w:start w:val="1"/>
      <w:numFmt w:val="lowerLetter"/>
      <w:lvlText w:val="%2"/>
      <w:lvlJc w:val="left"/>
      <w:pPr>
        <w:ind w:left="540"/>
      </w:pPr>
      <w:rPr>
        <w:rFonts w:ascii="Calibri" w:eastAsia="Calibri" w:hAnsi="Calibri" w:cs="Calibri"/>
        <w:b w:val="0"/>
        <w:i w:val="0"/>
        <w:strike w:val="0"/>
        <w:dstrike w:val="0"/>
        <w:color w:val="000000"/>
        <w:sz w:val="23"/>
        <w:u w:val="none" w:color="000000"/>
        <w:bdr w:val="none" w:sz="0" w:space="0" w:color="auto"/>
        <w:shd w:val="clear" w:color="auto" w:fill="auto"/>
        <w:vertAlign w:val="baseline"/>
      </w:rPr>
    </w:lvl>
    <w:lvl w:ilvl="2" w:tplc="75A0E0C2">
      <w:start w:val="1"/>
      <w:numFmt w:val="lowerLetter"/>
      <w:lvlRestart w:val="0"/>
      <w:lvlText w:val="%3."/>
      <w:lvlJc w:val="left"/>
      <w:pPr>
        <w:ind w:left="706"/>
      </w:pPr>
      <w:rPr>
        <w:rFonts w:ascii="Calibri" w:eastAsia="Calibri" w:hAnsi="Calibri" w:cs="Calibri"/>
        <w:b w:val="0"/>
        <w:i w:val="0"/>
        <w:strike w:val="0"/>
        <w:dstrike w:val="0"/>
        <w:color w:val="000000"/>
        <w:sz w:val="23"/>
        <w:u w:val="none" w:color="000000"/>
        <w:bdr w:val="none" w:sz="0" w:space="0" w:color="auto"/>
        <w:shd w:val="clear" w:color="auto" w:fill="auto"/>
        <w:vertAlign w:val="baseline"/>
      </w:rPr>
    </w:lvl>
    <w:lvl w:ilvl="3" w:tplc="2FA2BF74">
      <w:start w:val="1"/>
      <w:numFmt w:val="decimal"/>
      <w:lvlText w:val="%4"/>
      <w:lvlJc w:val="left"/>
      <w:pPr>
        <w:ind w:left="1426"/>
      </w:pPr>
      <w:rPr>
        <w:rFonts w:ascii="Calibri" w:eastAsia="Calibri" w:hAnsi="Calibri" w:cs="Calibri"/>
        <w:b w:val="0"/>
        <w:i w:val="0"/>
        <w:strike w:val="0"/>
        <w:dstrike w:val="0"/>
        <w:color w:val="000000"/>
        <w:sz w:val="23"/>
        <w:u w:val="none" w:color="000000"/>
        <w:bdr w:val="none" w:sz="0" w:space="0" w:color="auto"/>
        <w:shd w:val="clear" w:color="auto" w:fill="auto"/>
        <w:vertAlign w:val="baseline"/>
      </w:rPr>
    </w:lvl>
    <w:lvl w:ilvl="4" w:tplc="3F6EBD84">
      <w:start w:val="1"/>
      <w:numFmt w:val="lowerLetter"/>
      <w:lvlText w:val="%5"/>
      <w:lvlJc w:val="left"/>
      <w:pPr>
        <w:ind w:left="2146"/>
      </w:pPr>
      <w:rPr>
        <w:rFonts w:ascii="Calibri" w:eastAsia="Calibri" w:hAnsi="Calibri" w:cs="Calibri"/>
        <w:b w:val="0"/>
        <w:i w:val="0"/>
        <w:strike w:val="0"/>
        <w:dstrike w:val="0"/>
        <w:color w:val="000000"/>
        <w:sz w:val="23"/>
        <w:u w:val="none" w:color="000000"/>
        <w:bdr w:val="none" w:sz="0" w:space="0" w:color="auto"/>
        <w:shd w:val="clear" w:color="auto" w:fill="auto"/>
        <w:vertAlign w:val="baseline"/>
      </w:rPr>
    </w:lvl>
    <w:lvl w:ilvl="5" w:tplc="0DE8CDE0">
      <w:start w:val="1"/>
      <w:numFmt w:val="lowerRoman"/>
      <w:lvlText w:val="%6"/>
      <w:lvlJc w:val="left"/>
      <w:pPr>
        <w:ind w:left="2866"/>
      </w:pPr>
      <w:rPr>
        <w:rFonts w:ascii="Calibri" w:eastAsia="Calibri" w:hAnsi="Calibri" w:cs="Calibri"/>
        <w:b w:val="0"/>
        <w:i w:val="0"/>
        <w:strike w:val="0"/>
        <w:dstrike w:val="0"/>
        <w:color w:val="000000"/>
        <w:sz w:val="23"/>
        <w:u w:val="none" w:color="000000"/>
        <w:bdr w:val="none" w:sz="0" w:space="0" w:color="auto"/>
        <w:shd w:val="clear" w:color="auto" w:fill="auto"/>
        <w:vertAlign w:val="baseline"/>
      </w:rPr>
    </w:lvl>
    <w:lvl w:ilvl="6" w:tplc="99BC314E">
      <w:start w:val="1"/>
      <w:numFmt w:val="decimal"/>
      <w:lvlText w:val="%7"/>
      <w:lvlJc w:val="left"/>
      <w:pPr>
        <w:ind w:left="3586"/>
      </w:pPr>
      <w:rPr>
        <w:rFonts w:ascii="Calibri" w:eastAsia="Calibri" w:hAnsi="Calibri" w:cs="Calibri"/>
        <w:b w:val="0"/>
        <w:i w:val="0"/>
        <w:strike w:val="0"/>
        <w:dstrike w:val="0"/>
        <w:color w:val="000000"/>
        <w:sz w:val="23"/>
        <w:u w:val="none" w:color="000000"/>
        <w:bdr w:val="none" w:sz="0" w:space="0" w:color="auto"/>
        <w:shd w:val="clear" w:color="auto" w:fill="auto"/>
        <w:vertAlign w:val="baseline"/>
      </w:rPr>
    </w:lvl>
    <w:lvl w:ilvl="7" w:tplc="D516585C">
      <w:start w:val="1"/>
      <w:numFmt w:val="lowerLetter"/>
      <w:lvlText w:val="%8"/>
      <w:lvlJc w:val="left"/>
      <w:pPr>
        <w:ind w:left="4306"/>
      </w:pPr>
      <w:rPr>
        <w:rFonts w:ascii="Calibri" w:eastAsia="Calibri" w:hAnsi="Calibri" w:cs="Calibri"/>
        <w:b w:val="0"/>
        <w:i w:val="0"/>
        <w:strike w:val="0"/>
        <w:dstrike w:val="0"/>
        <w:color w:val="000000"/>
        <w:sz w:val="23"/>
        <w:u w:val="none" w:color="000000"/>
        <w:bdr w:val="none" w:sz="0" w:space="0" w:color="auto"/>
        <w:shd w:val="clear" w:color="auto" w:fill="auto"/>
        <w:vertAlign w:val="baseline"/>
      </w:rPr>
    </w:lvl>
    <w:lvl w:ilvl="8" w:tplc="1CF69264">
      <w:start w:val="1"/>
      <w:numFmt w:val="lowerRoman"/>
      <w:lvlText w:val="%9"/>
      <w:lvlJc w:val="left"/>
      <w:pPr>
        <w:ind w:left="5026"/>
      </w:pPr>
      <w:rPr>
        <w:rFonts w:ascii="Calibri" w:eastAsia="Calibri" w:hAnsi="Calibri" w:cs="Calibri"/>
        <w:b w:val="0"/>
        <w:i w:val="0"/>
        <w:strike w:val="0"/>
        <w:dstrike w:val="0"/>
        <w:color w:val="000000"/>
        <w:sz w:val="23"/>
        <w:u w:val="none" w:color="000000"/>
        <w:bdr w:val="none" w:sz="0" w:space="0" w:color="auto"/>
        <w:shd w:val="clear" w:color="auto" w:fill="auto"/>
        <w:vertAlign w:val="baseline"/>
      </w:rPr>
    </w:lvl>
  </w:abstractNum>
  <w:abstractNum w:abstractNumId="5" w15:restartNumberingAfterBreak="0">
    <w:nsid w:val="1E376AE6"/>
    <w:multiLevelType w:val="hybridMultilevel"/>
    <w:tmpl w:val="AC526DE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2280352D"/>
    <w:multiLevelType w:val="hybridMultilevel"/>
    <w:tmpl w:val="9F0E4E2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22B2412F"/>
    <w:multiLevelType w:val="hybridMultilevel"/>
    <w:tmpl w:val="F8DEEC3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2E5D5B0E"/>
    <w:multiLevelType w:val="hybridMultilevel"/>
    <w:tmpl w:val="F8988188"/>
    <w:lvl w:ilvl="0" w:tplc="240A0019">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3D2A23F1"/>
    <w:multiLevelType w:val="multilevel"/>
    <w:tmpl w:val="25A449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7440806"/>
    <w:multiLevelType w:val="hybridMultilevel"/>
    <w:tmpl w:val="06AEA8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5E164F92"/>
    <w:multiLevelType w:val="hybridMultilevel"/>
    <w:tmpl w:val="4C327410"/>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2" w15:restartNumberingAfterBreak="0">
    <w:nsid w:val="5ED262F0"/>
    <w:multiLevelType w:val="hybridMultilevel"/>
    <w:tmpl w:val="A1E4448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64DD3F56"/>
    <w:multiLevelType w:val="hybridMultilevel"/>
    <w:tmpl w:val="DAB0330C"/>
    <w:lvl w:ilvl="0" w:tplc="CC1490C4">
      <w:start w:val="1"/>
      <w:numFmt w:val="decimal"/>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69426616"/>
    <w:multiLevelType w:val="multilevel"/>
    <w:tmpl w:val="A198C634"/>
    <w:lvl w:ilvl="0">
      <w:start w:val="1"/>
      <w:numFmt w:val="decimal"/>
      <w:lvlText w:val="%1."/>
      <w:lvlJc w:val="left"/>
      <w:pPr>
        <w:tabs>
          <w:tab w:val="num" w:pos="720"/>
        </w:tabs>
        <w:ind w:left="720" w:hanging="360"/>
      </w:pPr>
      <w:rPr>
        <w:b/>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E242312"/>
    <w:multiLevelType w:val="hybridMultilevel"/>
    <w:tmpl w:val="CF822D0E"/>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6" w15:restartNumberingAfterBreak="0">
    <w:nsid w:val="6E410C28"/>
    <w:multiLevelType w:val="multilevel"/>
    <w:tmpl w:val="3A12450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0"/>
  </w:num>
  <w:num w:numId="2">
    <w:abstractNumId w:val="7"/>
  </w:num>
  <w:num w:numId="3">
    <w:abstractNumId w:val="11"/>
  </w:num>
  <w:num w:numId="4">
    <w:abstractNumId w:val="15"/>
  </w:num>
  <w:num w:numId="5">
    <w:abstractNumId w:val="2"/>
  </w:num>
  <w:num w:numId="6">
    <w:abstractNumId w:val="12"/>
  </w:num>
  <w:num w:numId="7">
    <w:abstractNumId w:val="6"/>
  </w:num>
  <w:num w:numId="8">
    <w:abstractNumId w:val="14"/>
  </w:num>
  <w:num w:numId="9">
    <w:abstractNumId w:val="13"/>
  </w:num>
  <w:num w:numId="10">
    <w:abstractNumId w:val="9"/>
  </w:num>
  <w:num w:numId="11">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12">
    <w:abstractNumId w:val="3"/>
    <w:lvlOverride w:ilvl="0">
      <w:lvl w:ilvl="0">
        <w:numFmt w:val="bullet"/>
        <w:lvlText w:val=""/>
        <w:lvlJc w:val="left"/>
        <w:pPr>
          <w:tabs>
            <w:tab w:val="num" w:pos="720"/>
          </w:tabs>
          <w:ind w:left="720" w:hanging="360"/>
        </w:pPr>
        <w:rPr>
          <w:rFonts w:ascii="Wingdings" w:hAnsi="Wingdings" w:hint="default"/>
          <w:sz w:val="20"/>
        </w:rPr>
      </w:lvl>
    </w:lvlOverride>
  </w:num>
  <w:num w:numId="13">
    <w:abstractNumId w:val="16"/>
  </w:num>
  <w:num w:numId="14">
    <w:abstractNumId w:val="5"/>
  </w:num>
  <w:num w:numId="15">
    <w:abstractNumId w:val="8"/>
  </w:num>
  <w:num w:numId="16">
    <w:abstractNumId w:val="1"/>
  </w:num>
  <w:num w:numId="17">
    <w:abstractNumId w:val="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57D9"/>
    <w:rsid w:val="000054C0"/>
    <w:rsid w:val="000239F2"/>
    <w:rsid w:val="000441C2"/>
    <w:rsid w:val="00045248"/>
    <w:rsid w:val="00050F26"/>
    <w:rsid w:val="00064BC0"/>
    <w:rsid w:val="0006576D"/>
    <w:rsid w:val="000657D9"/>
    <w:rsid w:val="00070DF9"/>
    <w:rsid w:val="0008177C"/>
    <w:rsid w:val="00081975"/>
    <w:rsid w:val="000A3322"/>
    <w:rsid w:val="000A34DE"/>
    <w:rsid w:val="000A570F"/>
    <w:rsid w:val="000B2E91"/>
    <w:rsid w:val="000B4F4F"/>
    <w:rsid w:val="000C1BEB"/>
    <w:rsid w:val="000D2072"/>
    <w:rsid w:val="000D2E11"/>
    <w:rsid w:val="000D3BF0"/>
    <w:rsid w:val="000D68B7"/>
    <w:rsid w:val="000F2EDD"/>
    <w:rsid w:val="000F4CAD"/>
    <w:rsid w:val="0010396D"/>
    <w:rsid w:val="00104BE1"/>
    <w:rsid w:val="0011444D"/>
    <w:rsid w:val="0012437F"/>
    <w:rsid w:val="00132DFB"/>
    <w:rsid w:val="001478F3"/>
    <w:rsid w:val="00150ED3"/>
    <w:rsid w:val="0019072E"/>
    <w:rsid w:val="0019307C"/>
    <w:rsid w:val="001963A9"/>
    <w:rsid w:val="001B63DD"/>
    <w:rsid w:val="001B6D03"/>
    <w:rsid w:val="001C03E9"/>
    <w:rsid w:val="001C2E87"/>
    <w:rsid w:val="001C7FB3"/>
    <w:rsid w:val="001D6997"/>
    <w:rsid w:val="001E64FE"/>
    <w:rsid w:val="001F14A0"/>
    <w:rsid w:val="002064BC"/>
    <w:rsid w:val="00223CD0"/>
    <w:rsid w:val="00230B6B"/>
    <w:rsid w:val="0023290F"/>
    <w:rsid w:val="00255E46"/>
    <w:rsid w:val="002602A2"/>
    <w:rsid w:val="00271620"/>
    <w:rsid w:val="00277469"/>
    <w:rsid w:val="00280022"/>
    <w:rsid w:val="002A24C0"/>
    <w:rsid w:val="002B1827"/>
    <w:rsid w:val="002C3AE7"/>
    <w:rsid w:val="002D6149"/>
    <w:rsid w:val="002D7EF6"/>
    <w:rsid w:val="002E6E7A"/>
    <w:rsid w:val="00314C93"/>
    <w:rsid w:val="00322733"/>
    <w:rsid w:val="003254EE"/>
    <w:rsid w:val="00333A29"/>
    <w:rsid w:val="00337D9E"/>
    <w:rsid w:val="003421F4"/>
    <w:rsid w:val="0035128D"/>
    <w:rsid w:val="00361FF7"/>
    <w:rsid w:val="003623D5"/>
    <w:rsid w:val="00364FCA"/>
    <w:rsid w:val="00365868"/>
    <w:rsid w:val="00374494"/>
    <w:rsid w:val="00374DB5"/>
    <w:rsid w:val="00375870"/>
    <w:rsid w:val="003816D6"/>
    <w:rsid w:val="00386438"/>
    <w:rsid w:val="003872EA"/>
    <w:rsid w:val="003909E2"/>
    <w:rsid w:val="00391B96"/>
    <w:rsid w:val="00397E3B"/>
    <w:rsid w:val="003B0B1D"/>
    <w:rsid w:val="003B14DF"/>
    <w:rsid w:val="003B3D1A"/>
    <w:rsid w:val="003B6C35"/>
    <w:rsid w:val="003B6CBB"/>
    <w:rsid w:val="003C4447"/>
    <w:rsid w:val="003F6D5E"/>
    <w:rsid w:val="00403B9B"/>
    <w:rsid w:val="00434F67"/>
    <w:rsid w:val="004366FD"/>
    <w:rsid w:val="00457CFA"/>
    <w:rsid w:val="00461155"/>
    <w:rsid w:val="00465C8C"/>
    <w:rsid w:val="00470328"/>
    <w:rsid w:val="00477277"/>
    <w:rsid w:val="004803A9"/>
    <w:rsid w:val="00494C5C"/>
    <w:rsid w:val="004A3AA9"/>
    <w:rsid w:val="004B5A55"/>
    <w:rsid w:val="004C5279"/>
    <w:rsid w:val="004C54C0"/>
    <w:rsid w:val="004C7E4E"/>
    <w:rsid w:val="004D205B"/>
    <w:rsid w:val="004D619F"/>
    <w:rsid w:val="004E2C94"/>
    <w:rsid w:val="004E7135"/>
    <w:rsid w:val="004F123E"/>
    <w:rsid w:val="004F5209"/>
    <w:rsid w:val="00504C95"/>
    <w:rsid w:val="00505416"/>
    <w:rsid w:val="00526A9A"/>
    <w:rsid w:val="00533A85"/>
    <w:rsid w:val="0053678B"/>
    <w:rsid w:val="00547CF1"/>
    <w:rsid w:val="00561BD7"/>
    <w:rsid w:val="005626F3"/>
    <w:rsid w:val="005627C1"/>
    <w:rsid w:val="005639B3"/>
    <w:rsid w:val="00564D8B"/>
    <w:rsid w:val="0057160F"/>
    <w:rsid w:val="00586711"/>
    <w:rsid w:val="00595D7D"/>
    <w:rsid w:val="005A6BFD"/>
    <w:rsid w:val="005B7690"/>
    <w:rsid w:val="005B7B21"/>
    <w:rsid w:val="005C4841"/>
    <w:rsid w:val="005D486C"/>
    <w:rsid w:val="005E07A1"/>
    <w:rsid w:val="005E3630"/>
    <w:rsid w:val="005F25C4"/>
    <w:rsid w:val="00606002"/>
    <w:rsid w:val="00625318"/>
    <w:rsid w:val="00641241"/>
    <w:rsid w:val="00641B6C"/>
    <w:rsid w:val="00662860"/>
    <w:rsid w:val="00662C75"/>
    <w:rsid w:val="006650CB"/>
    <w:rsid w:val="00680014"/>
    <w:rsid w:val="00684CC6"/>
    <w:rsid w:val="006958F7"/>
    <w:rsid w:val="006C3DE2"/>
    <w:rsid w:val="006D3E7F"/>
    <w:rsid w:val="006D713A"/>
    <w:rsid w:val="006D7CC0"/>
    <w:rsid w:val="006E3520"/>
    <w:rsid w:val="006E668B"/>
    <w:rsid w:val="00703AF1"/>
    <w:rsid w:val="00711CE6"/>
    <w:rsid w:val="007124E5"/>
    <w:rsid w:val="00713B57"/>
    <w:rsid w:val="0072177F"/>
    <w:rsid w:val="0073265D"/>
    <w:rsid w:val="00742F0E"/>
    <w:rsid w:val="007442D4"/>
    <w:rsid w:val="00744EEA"/>
    <w:rsid w:val="00750B34"/>
    <w:rsid w:val="00756249"/>
    <w:rsid w:val="00756C54"/>
    <w:rsid w:val="0076163C"/>
    <w:rsid w:val="00764F14"/>
    <w:rsid w:val="00771427"/>
    <w:rsid w:val="00773ECE"/>
    <w:rsid w:val="00783203"/>
    <w:rsid w:val="00786E95"/>
    <w:rsid w:val="0079109C"/>
    <w:rsid w:val="007B5566"/>
    <w:rsid w:val="007B76C0"/>
    <w:rsid w:val="007C48A9"/>
    <w:rsid w:val="007F1304"/>
    <w:rsid w:val="007F7A48"/>
    <w:rsid w:val="008253D8"/>
    <w:rsid w:val="00825B22"/>
    <w:rsid w:val="00831C99"/>
    <w:rsid w:val="0084021D"/>
    <w:rsid w:val="0084122A"/>
    <w:rsid w:val="00841C8E"/>
    <w:rsid w:val="008759B3"/>
    <w:rsid w:val="00875A9A"/>
    <w:rsid w:val="00876EE3"/>
    <w:rsid w:val="00881B90"/>
    <w:rsid w:val="008B4674"/>
    <w:rsid w:val="008C49EE"/>
    <w:rsid w:val="008D14FA"/>
    <w:rsid w:val="008F0791"/>
    <w:rsid w:val="008F733D"/>
    <w:rsid w:val="008F7F8A"/>
    <w:rsid w:val="0091272F"/>
    <w:rsid w:val="00917056"/>
    <w:rsid w:val="00917558"/>
    <w:rsid w:val="00922A02"/>
    <w:rsid w:val="00937C69"/>
    <w:rsid w:val="00942935"/>
    <w:rsid w:val="009A2968"/>
    <w:rsid w:val="009A2C51"/>
    <w:rsid w:val="009C67C9"/>
    <w:rsid w:val="009E0AF7"/>
    <w:rsid w:val="009E443B"/>
    <w:rsid w:val="009F0B23"/>
    <w:rsid w:val="00A11048"/>
    <w:rsid w:val="00A1190E"/>
    <w:rsid w:val="00A268F8"/>
    <w:rsid w:val="00A26AF2"/>
    <w:rsid w:val="00A309B9"/>
    <w:rsid w:val="00A5564B"/>
    <w:rsid w:val="00A71242"/>
    <w:rsid w:val="00A71C0A"/>
    <w:rsid w:val="00A737C0"/>
    <w:rsid w:val="00A74038"/>
    <w:rsid w:val="00AA0D9F"/>
    <w:rsid w:val="00AA141F"/>
    <w:rsid w:val="00AE342A"/>
    <w:rsid w:val="00AF1406"/>
    <w:rsid w:val="00AF3594"/>
    <w:rsid w:val="00B02094"/>
    <w:rsid w:val="00B058B7"/>
    <w:rsid w:val="00B06A25"/>
    <w:rsid w:val="00B31B05"/>
    <w:rsid w:val="00B33543"/>
    <w:rsid w:val="00B408B3"/>
    <w:rsid w:val="00B41539"/>
    <w:rsid w:val="00B47A93"/>
    <w:rsid w:val="00B56727"/>
    <w:rsid w:val="00B63FC6"/>
    <w:rsid w:val="00B7414E"/>
    <w:rsid w:val="00B9012C"/>
    <w:rsid w:val="00B928DF"/>
    <w:rsid w:val="00B969B0"/>
    <w:rsid w:val="00BD0D30"/>
    <w:rsid w:val="00BD7BCB"/>
    <w:rsid w:val="00C004A5"/>
    <w:rsid w:val="00C036C4"/>
    <w:rsid w:val="00C269E8"/>
    <w:rsid w:val="00C27D6E"/>
    <w:rsid w:val="00C30B7F"/>
    <w:rsid w:val="00C436C6"/>
    <w:rsid w:val="00C44367"/>
    <w:rsid w:val="00C46434"/>
    <w:rsid w:val="00C56D73"/>
    <w:rsid w:val="00C672B1"/>
    <w:rsid w:val="00C7131A"/>
    <w:rsid w:val="00C775F2"/>
    <w:rsid w:val="00CA33D3"/>
    <w:rsid w:val="00CA6D38"/>
    <w:rsid w:val="00CA76AB"/>
    <w:rsid w:val="00CB3D0D"/>
    <w:rsid w:val="00CD2499"/>
    <w:rsid w:val="00CF7863"/>
    <w:rsid w:val="00D021FA"/>
    <w:rsid w:val="00D13383"/>
    <w:rsid w:val="00D34377"/>
    <w:rsid w:val="00D45164"/>
    <w:rsid w:val="00D6020F"/>
    <w:rsid w:val="00D64752"/>
    <w:rsid w:val="00D70FE1"/>
    <w:rsid w:val="00D7713F"/>
    <w:rsid w:val="00D80F58"/>
    <w:rsid w:val="00D87B18"/>
    <w:rsid w:val="00D94D0C"/>
    <w:rsid w:val="00DA0BE8"/>
    <w:rsid w:val="00DA344F"/>
    <w:rsid w:val="00DC2321"/>
    <w:rsid w:val="00DE028C"/>
    <w:rsid w:val="00DE1246"/>
    <w:rsid w:val="00E11D1F"/>
    <w:rsid w:val="00E1415B"/>
    <w:rsid w:val="00E30221"/>
    <w:rsid w:val="00E42D4D"/>
    <w:rsid w:val="00E55807"/>
    <w:rsid w:val="00E624AA"/>
    <w:rsid w:val="00E772F5"/>
    <w:rsid w:val="00E905E1"/>
    <w:rsid w:val="00E94F1B"/>
    <w:rsid w:val="00EA7F8E"/>
    <w:rsid w:val="00EB3C76"/>
    <w:rsid w:val="00EB7F37"/>
    <w:rsid w:val="00EC7ABD"/>
    <w:rsid w:val="00ED7057"/>
    <w:rsid w:val="00F14EF5"/>
    <w:rsid w:val="00F3307E"/>
    <w:rsid w:val="00F417DF"/>
    <w:rsid w:val="00F55468"/>
    <w:rsid w:val="00F60142"/>
    <w:rsid w:val="00F602CF"/>
    <w:rsid w:val="00F65C0E"/>
    <w:rsid w:val="00F661E4"/>
    <w:rsid w:val="00F72B91"/>
    <w:rsid w:val="00F7757B"/>
    <w:rsid w:val="00F839CC"/>
    <w:rsid w:val="00F85079"/>
    <w:rsid w:val="00F8561F"/>
    <w:rsid w:val="00F94498"/>
    <w:rsid w:val="00FB4687"/>
    <w:rsid w:val="00FB6766"/>
    <w:rsid w:val="00FC0956"/>
    <w:rsid w:val="00FD05BC"/>
    <w:rsid w:val="00FD45E5"/>
    <w:rsid w:val="00FE0006"/>
    <w:rsid w:val="00FE65FA"/>
    <w:rsid w:val="00FF245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2A10A35"/>
  <w15:docId w15:val="{ADA22F6C-409E-416E-9AEA-1D7D454A0D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20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57D9"/>
    <w:pPr>
      <w:spacing w:after="0"/>
      <w:jc w:val="left"/>
    </w:pPr>
    <w:rPr>
      <w:rFonts w:ascii="Times New Roman" w:eastAsia="Times New Roman" w:hAnsi="Times New Roman" w:cs="Times New Roman"/>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0657D9"/>
    <w:rPr>
      <w:rFonts w:ascii="Tahoma" w:hAnsi="Tahoma" w:cs="Tahoma"/>
      <w:sz w:val="16"/>
      <w:szCs w:val="16"/>
    </w:rPr>
  </w:style>
  <w:style w:type="character" w:customStyle="1" w:styleId="TextodegloboCar">
    <w:name w:val="Texto de globo Car"/>
    <w:basedOn w:val="Fuentedeprrafopredeter"/>
    <w:link w:val="Textodeglobo"/>
    <w:uiPriority w:val="99"/>
    <w:semiHidden/>
    <w:rsid w:val="000657D9"/>
    <w:rPr>
      <w:rFonts w:ascii="Tahoma" w:eastAsia="Times New Roman" w:hAnsi="Tahoma" w:cs="Tahoma"/>
      <w:sz w:val="16"/>
      <w:szCs w:val="16"/>
      <w:lang w:val="es-ES" w:eastAsia="es-ES"/>
    </w:rPr>
  </w:style>
  <w:style w:type="paragraph" w:styleId="Prrafodelista">
    <w:name w:val="List Paragraph"/>
    <w:basedOn w:val="Normal"/>
    <w:uiPriority w:val="34"/>
    <w:qFormat/>
    <w:rsid w:val="001C03E9"/>
    <w:pPr>
      <w:ind w:left="720"/>
      <w:contextualSpacing/>
    </w:pPr>
  </w:style>
  <w:style w:type="paragraph" w:customStyle="1" w:styleId="Default">
    <w:name w:val="Default"/>
    <w:rsid w:val="001C03E9"/>
    <w:pPr>
      <w:autoSpaceDE w:val="0"/>
      <w:autoSpaceDN w:val="0"/>
      <w:adjustRightInd w:val="0"/>
      <w:spacing w:after="0"/>
      <w:jc w:val="left"/>
    </w:pPr>
    <w:rPr>
      <w:rFonts w:ascii="Arial" w:hAnsi="Arial" w:cs="Arial"/>
      <w:color w:val="000000"/>
      <w:sz w:val="24"/>
      <w:szCs w:val="24"/>
    </w:rPr>
  </w:style>
  <w:style w:type="table" w:styleId="Tablaconcuadrcula">
    <w:name w:val="Table Grid"/>
    <w:basedOn w:val="Tablanormal"/>
    <w:uiPriority w:val="59"/>
    <w:rsid w:val="00DA344F"/>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Encabezado">
    <w:name w:val="header"/>
    <w:basedOn w:val="Default"/>
    <w:next w:val="Default"/>
    <w:link w:val="EncabezadoCar"/>
    <w:rsid w:val="00B7414E"/>
    <w:rPr>
      <w:color w:val="auto"/>
    </w:rPr>
  </w:style>
  <w:style w:type="character" w:customStyle="1" w:styleId="EncabezadoCar">
    <w:name w:val="Encabezado Car"/>
    <w:basedOn w:val="Fuentedeprrafopredeter"/>
    <w:link w:val="Encabezado"/>
    <w:uiPriority w:val="99"/>
    <w:rsid w:val="00B7414E"/>
    <w:rPr>
      <w:rFonts w:ascii="Arial" w:hAnsi="Arial" w:cs="Arial"/>
      <w:sz w:val="24"/>
      <w:szCs w:val="24"/>
    </w:rPr>
  </w:style>
  <w:style w:type="paragraph" w:styleId="Piedepgina">
    <w:name w:val="footer"/>
    <w:basedOn w:val="Normal"/>
    <w:link w:val="PiedepginaCar"/>
    <w:uiPriority w:val="99"/>
    <w:unhideWhenUsed/>
    <w:rsid w:val="00CA6D38"/>
    <w:pPr>
      <w:tabs>
        <w:tab w:val="center" w:pos="4419"/>
        <w:tab w:val="right" w:pos="8838"/>
      </w:tabs>
    </w:pPr>
  </w:style>
  <w:style w:type="character" w:customStyle="1" w:styleId="PiedepginaCar">
    <w:name w:val="Pie de página Car"/>
    <w:basedOn w:val="Fuentedeprrafopredeter"/>
    <w:link w:val="Piedepgina"/>
    <w:uiPriority w:val="99"/>
    <w:rsid w:val="00CA6D38"/>
    <w:rPr>
      <w:rFonts w:ascii="Times New Roman" w:eastAsia="Times New Roman" w:hAnsi="Times New Roman" w:cs="Times New Roman"/>
      <w:sz w:val="24"/>
      <w:szCs w:val="24"/>
      <w:lang w:val="es-ES" w:eastAsia="es-ES"/>
    </w:rPr>
  </w:style>
  <w:style w:type="character" w:customStyle="1" w:styleId="apple-converted-space">
    <w:name w:val="apple-converted-space"/>
    <w:basedOn w:val="Fuentedeprrafopredeter"/>
    <w:rsid w:val="005626F3"/>
  </w:style>
  <w:style w:type="character" w:styleId="Hipervnculo">
    <w:name w:val="Hyperlink"/>
    <w:basedOn w:val="Fuentedeprrafopredeter"/>
    <w:uiPriority w:val="99"/>
    <w:unhideWhenUsed/>
    <w:rsid w:val="00B928DF"/>
    <w:rPr>
      <w:color w:val="0000FF" w:themeColor="hyperlink"/>
      <w:u w:val="single"/>
    </w:rPr>
  </w:style>
  <w:style w:type="paragraph" w:styleId="Sinespaciado">
    <w:name w:val="No Spacing"/>
    <w:uiPriority w:val="1"/>
    <w:qFormat/>
    <w:rsid w:val="00C44367"/>
    <w:pPr>
      <w:spacing w:after="0"/>
      <w:jc w:val="left"/>
    </w:pPr>
    <w:rPr>
      <w:rFonts w:ascii="Calibri" w:eastAsia="Calibri" w:hAnsi="Calibri" w:cs="Times New Roman"/>
      <w:lang w:val="es-ES"/>
    </w:rPr>
  </w:style>
  <w:style w:type="character" w:styleId="Textoennegrita">
    <w:name w:val="Strong"/>
    <w:basedOn w:val="Fuentedeprrafopredeter"/>
    <w:uiPriority w:val="22"/>
    <w:qFormat/>
    <w:rsid w:val="001F14A0"/>
    <w:rPr>
      <w:b/>
      <w:bCs/>
    </w:rPr>
  </w:style>
  <w:style w:type="character" w:customStyle="1" w:styleId="autor">
    <w:name w:val="autor"/>
    <w:basedOn w:val="Fuentedeprrafopredeter"/>
    <w:rsid w:val="005F25C4"/>
  </w:style>
  <w:style w:type="character" w:customStyle="1" w:styleId="nombre">
    <w:name w:val="nombre"/>
    <w:basedOn w:val="Fuentedeprrafopredeter"/>
    <w:rsid w:val="005F25C4"/>
  </w:style>
  <w:style w:type="character" w:customStyle="1" w:styleId="fecha">
    <w:name w:val="fecha"/>
    <w:basedOn w:val="Fuentedeprrafopredeter"/>
    <w:rsid w:val="005F25C4"/>
  </w:style>
  <w:style w:type="paragraph" w:customStyle="1" w:styleId="contenido">
    <w:name w:val="contenido"/>
    <w:basedOn w:val="Normal"/>
    <w:rsid w:val="005F25C4"/>
    <w:pPr>
      <w:spacing w:before="100" w:beforeAutospacing="1" w:after="100" w:afterAutospacing="1"/>
    </w:pPr>
    <w:rPr>
      <w:lang w:val="es-CO" w:eastAsia="es-CO"/>
    </w:rPr>
  </w:style>
  <w:style w:type="character" w:customStyle="1" w:styleId="articulo-subtitulo">
    <w:name w:val="articulo-subtitulo"/>
    <w:basedOn w:val="Fuentedeprrafopredeter"/>
    <w:rsid w:val="005F25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4950428">
      <w:bodyDiv w:val="1"/>
      <w:marLeft w:val="0"/>
      <w:marRight w:val="0"/>
      <w:marTop w:val="0"/>
      <w:marBottom w:val="0"/>
      <w:divBdr>
        <w:top w:val="none" w:sz="0" w:space="0" w:color="auto"/>
        <w:left w:val="none" w:sz="0" w:space="0" w:color="auto"/>
        <w:bottom w:val="none" w:sz="0" w:space="0" w:color="auto"/>
        <w:right w:val="none" w:sz="0" w:space="0" w:color="auto"/>
      </w:divBdr>
    </w:div>
    <w:div w:id="160052041">
      <w:bodyDiv w:val="1"/>
      <w:marLeft w:val="0"/>
      <w:marRight w:val="0"/>
      <w:marTop w:val="0"/>
      <w:marBottom w:val="0"/>
      <w:divBdr>
        <w:top w:val="none" w:sz="0" w:space="0" w:color="auto"/>
        <w:left w:val="none" w:sz="0" w:space="0" w:color="auto"/>
        <w:bottom w:val="none" w:sz="0" w:space="0" w:color="auto"/>
        <w:right w:val="none" w:sz="0" w:space="0" w:color="auto"/>
      </w:divBdr>
      <w:divsChild>
        <w:div w:id="796098364">
          <w:marLeft w:val="0"/>
          <w:marRight w:val="0"/>
          <w:marTop w:val="0"/>
          <w:marBottom w:val="0"/>
          <w:divBdr>
            <w:top w:val="none" w:sz="0" w:space="0" w:color="auto"/>
            <w:left w:val="none" w:sz="0" w:space="0" w:color="auto"/>
            <w:bottom w:val="none" w:sz="0" w:space="0" w:color="auto"/>
            <w:right w:val="none" w:sz="0" w:space="0" w:color="auto"/>
          </w:divBdr>
          <w:divsChild>
            <w:div w:id="880560190">
              <w:marLeft w:val="0"/>
              <w:marRight w:val="0"/>
              <w:marTop w:val="0"/>
              <w:marBottom w:val="0"/>
              <w:divBdr>
                <w:top w:val="none" w:sz="0" w:space="0" w:color="auto"/>
                <w:left w:val="none" w:sz="0" w:space="0" w:color="auto"/>
                <w:bottom w:val="none" w:sz="0" w:space="0" w:color="auto"/>
                <w:right w:val="none" w:sz="0" w:space="0" w:color="auto"/>
              </w:divBdr>
            </w:div>
            <w:div w:id="138347495">
              <w:marLeft w:val="0"/>
              <w:marRight w:val="0"/>
              <w:marTop w:val="0"/>
              <w:marBottom w:val="0"/>
              <w:divBdr>
                <w:top w:val="none" w:sz="0" w:space="0" w:color="auto"/>
                <w:left w:val="none" w:sz="0" w:space="0" w:color="auto"/>
                <w:bottom w:val="none" w:sz="0" w:space="0" w:color="auto"/>
                <w:right w:val="none" w:sz="0" w:space="0" w:color="auto"/>
              </w:divBdr>
            </w:div>
          </w:divsChild>
        </w:div>
        <w:div w:id="113406527">
          <w:marLeft w:val="0"/>
          <w:marRight w:val="0"/>
          <w:marTop w:val="0"/>
          <w:marBottom w:val="0"/>
          <w:divBdr>
            <w:top w:val="none" w:sz="0" w:space="0" w:color="auto"/>
            <w:left w:val="none" w:sz="0" w:space="0" w:color="auto"/>
            <w:bottom w:val="none" w:sz="0" w:space="0" w:color="auto"/>
            <w:right w:val="none" w:sz="0" w:space="0" w:color="auto"/>
          </w:divBdr>
          <w:divsChild>
            <w:div w:id="64881052">
              <w:marLeft w:val="0"/>
              <w:marRight w:val="0"/>
              <w:marTop w:val="0"/>
              <w:marBottom w:val="0"/>
              <w:divBdr>
                <w:top w:val="none" w:sz="0" w:space="0" w:color="auto"/>
                <w:left w:val="none" w:sz="0" w:space="0" w:color="auto"/>
                <w:bottom w:val="none" w:sz="0" w:space="0" w:color="auto"/>
                <w:right w:val="none" w:sz="0" w:space="0" w:color="auto"/>
              </w:divBdr>
              <w:divsChild>
                <w:div w:id="1204054914">
                  <w:marLeft w:val="0"/>
                  <w:marRight w:val="0"/>
                  <w:marTop w:val="0"/>
                  <w:marBottom w:val="0"/>
                  <w:divBdr>
                    <w:top w:val="none" w:sz="0" w:space="0" w:color="auto"/>
                    <w:left w:val="none" w:sz="0" w:space="0" w:color="auto"/>
                    <w:bottom w:val="none" w:sz="0" w:space="0" w:color="auto"/>
                    <w:right w:val="none" w:sz="0" w:space="0" w:color="auto"/>
                  </w:divBdr>
                </w:div>
              </w:divsChild>
            </w:div>
            <w:div w:id="1845167051">
              <w:marLeft w:val="0"/>
              <w:marRight w:val="0"/>
              <w:marTop w:val="600"/>
              <w:marBottom w:val="600"/>
              <w:divBdr>
                <w:top w:val="none" w:sz="0" w:space="0" w:color="auto"/>
                <w:left w:val="none" w:sz="0" w:space="0" w:color="auto"/>
                <w:bottom w:val="none" w:sz="0" w:space="0" w:color="auto"/>
                <w:right w:val="none" w:sz="0" w:space="0" w:color="auto"/>
              </w:divBdr>
              <w:divsChild>
                <w:div w:id="255552816">
                  <w:marLeft w:val="0"/>
                  <w:marRight w:val="0"/>
                  <w:marTop w:val="0"/>
                  <w:marBottom w:val="0"/>
                  <w:divBdr>
                    <w:top w:val="none" w:sz="0" w:space="0" w:color="auto"/>
                    <w:left w:val="none" w:sz="0" w:space="0" w:color="auto"/>
                    <w:bottom w:val="none" w:sz="0" w:space="0" w:color="auto"/>
                    <w:right w:val="none" w:sz="0" w:space="0" w:color="auto"/>
                  </w:divBdr>
                  <w:divsChild>
                    <w:div w:id="944771414">
                      <w:marLeft w:val="0"/>
                      <w:marRight w:val="0"/>
                      <w:marTop w:val="0"/>
                      <w:marBottom w:val="0"/>
                      <w:divBdr>
                        <w:top w:val="none" w:sz="0" w:space="0" w:color="auto"/>
                        <w:left w:val="none" w:sz="0" w:space="0" w:color="auto"/>
                        <w:bottom w:val="none" w:sz="0" w:space="0" w:color="auto"/>
                        <w:right w:val="none" w:sz="0" w:space="0" w:color="auto"/>
                      </w:divBdr>
                    </w:div>
                    <w:div w:id="614557496">
                      <w:marLeft w:val="0"/>
                      <w:marRight w:val="0"/>
                      <w:marTop w:val="0"/>
                      <w:marBottom w:val="0"/>
                      <w:divBdr>
                        <w:top w:val="none" w:sz="0" w:space="0" w:color="auto"/>
                        <w:left w:val="none" w:sz="0" w:space="0" w:color="auto"/>
                        <w:bottom w:val="none" w:sz="0" w:space="0" w:color="auto"/>
                        <w:right w:val="none" w:sz="0" w:space="0" w:color="auto"/>
                      </w:divBdr>
                    </w:div>
                    <w:div w:id="1685550345">
                      <w:marLeft w:val="0"/>
                      <w:marRight w:val="0"/>
                      <w:marTop w:val="0"/>
                      <w:marBottom w:val="0"/>
                      <w:divBdr>
                        <w:top w:val="none" w:sz="0" w:space="0" w:color="auto"/>
                        <w:left w:val="none" w:sz="0" w:space="0" w:color="auto"/>
                        <w:bottom w:val="none" w:sz="0" w:space="0" w:color="auto"/>
                        <w:right w:val="none" w:sz="0" w:space="0" w:color="auto"/>
                      </w:divBdr>
                    </w:div>
                    <w:div w:id="1955556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007161">
      <w:bodyDiv w:val="1"/>
      <w:marLeft w:val="0"/>
      <w:marRight w:val="0"/>
      <w:marTop w:val="0"/>
      <w:marBottom w:val="0"/>
      <w:divBdr>
        <w:top w:val="none" w:sz="0" w:space="0" w:color="auto"/>
        <w:left w:val="none" w:sz="0" w:space="0" w:color="auto"/>
        <w:bottom w:val="none" w:sz="0" w:space="0" w:color="auto"/>
        <w:right w:val="none" w:sz="0" w:space="0" w:color="auto"/>
      </w:divBdr>
      <w:divsChild>
        <w:div w:id="726034396">
          <w:marLeft w:val="0"/>
          <w:marRight w:val="0"/>
          <w:marTop w:val="0"/>
          <w:marBottom w:val="0"/>
          <w:divBdr>
            <w:top w:val="none" w:sz="0" w:space="0" w:color="auto"/>
            <w:left w:val="none" w:sz="0" w:space="0" w:color="auto"/>
            <w:bottom w:val="none" w:sz="0" w:space="0" w:color="auto"/>
            <w:right w:val="none" w:sz="0" w:space="0" w:color="auto"/>
          </w:divBdr>
        </w:div>
        <w:div w:id="121462057">
          <w:marLeft w:val="300"/>
          <w:marRight w:val="0"/>
          <w:marTop w:val="0"/>
          <w:marBottom w:val="525"/>
          <w:divBdr>
            <w:top w:val="none" w:sz="0" w:space="0" w:color="auto"/>
            <w:left w:val="none" w:sz="0" w:space="0" w:color="auto"/>
            <w:bottom w:val="none" w:sz="0" w:space="0" w:color="auto"/>
            <w:right w:val="none" w:sz="0" w:space="0" w:color="auto"/>
          </w:divBdr>
        </w:div>
      </w:divsChild>
    </w:div>
    <w:div w:id="222526409">
      <w:bodyDiv w:val="1"/>
      <w:marLeft w:val="0"/>
      <w:marRight w:val="0"/>
      <w:marTop w:val="0"/>
      <w:marBottom w:val="0"/>
      <w:divBdr>
        <w:top w:val="none" w:sz="0" w:space="0" w:color="auto"/>
        <w:left w:val="none" w:sz="0" w:space="0" w:color="auto"/>
        <w:bottom w:val="none" w:sz="0" w:space="0" w:color="auto"/>
        <w:right w:val="none" w:sz="0" w:space="0" w:color="auto"/>
      </w:divBdr>
    </w:div>
    <w:div w:id="240722915">
      <w:bodyDiv w:val="1"/>
      <w:marLeft w:val="0"/>
      <w:marRight w:val="0"/>
      <w:marTop w:val="0"/>
      <w:marBottom w:val="0"/>
      <w:divBdr>
        <w:top w:val="none" w:sz="0" w:space="0" w:color="auto"/>
        <w:left w:val="none" w:sz="0" w:space="0" w:color="auto"/>
        <w:bottom w:val="none" w:sz="0" w:space="0" w:color="auto"/>
        <w:right w:val="none" w:sz="0" w:space="0" w:color="auto"/>
      </w:divBdr>
    </w:div>
    <w:div w:id="254216101">
      <w:bodyDiv w:val="1"/>
      <w:marLeft w:val="0"/>
      <w:marRight w:val="0"/>
      <w:marTop w:val="0"/>
      <w:marBottom w:val="0"/>
      <w:divBdr>
        <w:top w:val="none" w:sz="0" w:space="0" w:color="auto"/>
        <w:left w:val="none" w:sz="0" w:space="0" w:color="auto"/>
        <w:bottom w:val="none" w:sz="0" w:space="0" w:color="auto"/>
        <w:right w:val="none" w:sz="0" w:space="0" w:color="auto"/>
      </w:divBdr>
    </w:div>
    <w:div w:id="304628503">
      <w:bodyDiv w:val="1"/>
      <w:marLeft w:val="0"/>
      <w:marRight w:val="0"/>
      <w:marTop w:val="0"/>
      <w:marBottom w:val="0"/>
      <w:divBdr>
        <w:top w:val="none" w:sz="0" w:space="0" w:color="auto"/>
        <w:left w:val="none" w:sz="0" w:space="0" w:color="auto"/>
        <w:bottom w:val="none" w:sz="0" w:space="0" w:color="auto"/>
        <w:right w:val="none" w:sz="0" w:space="0" w:color="auto"/>
      </w:divBdr>
    </w:div>
    <w:div w:id="340861936">
      <w:bodyDiv w:val="1"/>
      <w:marLeft w:val="0"/>
      <w:marRight w:val="0"/>
      <w:marTop w:val="0"/>
      <w:marBottom w:val="0"/>
      <w:divBdr>
        <w:top w:val="none" w:sz="0" w:space="0" w:color="auto"/>
        <w:left w:val="none" w:sz="0" w:space="0" w:color="auto"/>
        <w:bottom w:val="none" w:sz="0" w:space="0" w:color="auto"/>
        <w:right w:val="none" w:sz="0" w:space="0" w:color="auto"/>
      </w:divBdr>
    </w:div>
    <w:div w:id="578517098">
      <w:bodyDiv w:val="1"/>
      <w:marLeft w:val="0"/>
      <w:marRight w:val="0"/>
      <w:marTop w:val="0"/>
      <w:marBottom w:val="0"/>
      <w:divBdr>
        <w:top w:val="none" w:sz="0" w:space="0" w:color="auto"/>
        <w:left w:val="none" w:sz="0" w:space="0" w:color="auto"/>
        <w:bottom w:val="none" w:sz="0" w:space="0" w:color="auto"/>
        <w:right w:val="none" w:sz="0" w:space="0" w:color="auto"/>
      </w:divBdr>
    </w:div>
    <w:div w:id="750001832">
      <w:bodyDiv w:val="1"/>
      <w:marLeft w:val="0"/>
      <w:marRight w:val="0"/>
      <w:marTop w:val="0"/>
      <w:marBottom w:val="0"/>
      <w:divBdr>
        <w:top w:val="none" w:sz="0" w:space="0" w:color="auto"/>
        <w:left w:val="none" w:sz="0" w:space="0" w:color="auto"/>
        <w:bottom w:val="none" w:sz="0" w:space="0" w:color="auto"/>
        <w:right w:val="none" w:sz="0" w:space="0" w:color="auto"/>
      </w:divBdr>
      <w:divsChild>
        <w:div w:id="1111582712">
          <w:marLeft w:val="0"/>
          <w:marRight w:val="0"/>
          <w:marTop w:val="450"/>
          <w:marBottom w:val="0"/>
          <w:divBdr>
            <w:top w:val="none" w:sz="0" w:space="0" w:color="auto"/>
            <w:left w:val="none" w:sz="0" w:space="0" w:color="auto"/>
            <w:bottom w:val="none" w:sz="0" w:space="0" w:color="auto"/>
            <w:right w:val="none" w:sz="0" w:space="0" w:color="auto"/>
          </w:divBdr>
          <w:divsChild>
            <w:div w:id="477570853">
              <w:marLeft w:val="0"/>
              <w:marRight w:val="0"/>
              <w:marTop w:val="0"/>
              <w:marBottom w:val="0"/>
              <w:divBdr>
                <w:top w:val="none" w:sz="0" w:space="0" w:color="auto"/>
                <w:left w:val="none" w:sz="0" w:space="0" w:color="auto"/>
                <w:bottom w:val="none" w:sz="0" w:space="0" w:color="auto"/>
                <w:right w:val="none" w:sz="0" w:space="0" w:color="auto"/>
              </w:divBdr>
            </w:div>
          </w:divsChild>
        </w:div>
        <w:div w:id="1217664176">
          <w:marLeft w:val="0"/>
          <w:marRight w:val="0"/>
          <w:marTop w:val="225"/>
          <w:marBottom w:val="600"/>
          <w:divBdr>
            <w:top w:val="none" w:sz="0" w:space="0" w:color="auto"/>
            <w:left w:val="none" w:sz="0" w:space="0" w:color="auto"/>
            <w:bottom w:val="none" w:sz="0" w:space="0" w:color="auto"/>
            <w:right w:val="none" w:sz="0" w:space="0" w:color="auto"/>
          </w:divBdr>
        </w:div>
      </w:divsChild>
    </w:div>
    <w:div w:id="754403172">
      <w:bodyDiv w:val="1"/>
      <w:marLeft w:val="0"/>
      <w:marRight w:val="0"/>
      <w:marTop w:val="0"/>
      <w:marBottom w:val="0"/>
      <w:divBdr>
        <w:top w:val="none" w:sz="0" w:space="0" w:color="auto"/>
        <w:left w:val="none" w:sz="0" w:space="0" w:color="auto"/>
        <w:bottom w:val="none" w:sz="0" w:space="0" w:color="auto"/>
        <w:right w:val="none" w:sz="0" w:space="0" w:color="auto"/>
      </w:divBdr>
    </w:div>
    <w:div w:id="878932237">
      <w:bodyDiv w:val="1"/>
      <w:marLeft w:val="0"/>
      <w:marRight w:val="0"/>
      <w:marTop w:val="0"/>
      <w:marBottom w:val="0"/>
      <w:divBdr>
        <w:top w:val="none" w:sz="0" w:space="0" w:color="auto"/>
        <w:left w:val="none" w:sz="0" w:space="0" w:color="auto"/>
        <w:bottom w:val="none" w:sz="0" w:space="0" w:color="auto"/>
        <w:right w:val="none" w:sz="0" w:space="0" w:color="auto"/>
      </w:divBdr>
    </w:div>
    <w:div w:id="932856351">
      <w:bodyDiv w:val="1"/>
      <w:marLeft w:val="0"/>
      <w:marRight w:val="0"/>
      <w:marTop w:val="0"/>
      <w:marBottom w:val="0"/>
      <w:divBdr>
        <w:top w:val="none" w:sz="0" w:space="0" w:color="auto"/>
        <w:left w:val="none" w:sz="0" w:space="0" w:color="auto"/>
        <w:bottom w:val="none" w:sz="0" w:space="0" w:color="auto"/>
        <w:right w:val="none" w:sz="0" w:space="0" w:color="auto"/>
      </w:divBdr>
      <w:divsChild>
        <w:div w:id="1513762107">
          <w:marLeft w:val="0"/>
          <w:marRight w:val="0"/>
          <w:marTop w:val="600"/>
          <w:marBottom w:val="600"/>
          <w:divBdr>
            <w:top w:val="none" w:sz="0" w:space="0" w:color="auto"/>
            <w:left w:val="none" w:sz="0" w:space="0" w:color="auto"/>
            <w:bottom w:val="none" w:sz="0" w:space="0" w:color="auto"/>
            <w:right w:val="none" w:sz="0" w:space="0" w:color="auto"/>
          </w:divBdr>
          <w:divsChild>
            <w:div w:id="1589264337">
              <w:marLeft w:val="0"/>
              <w:marRight w:val="0"/>
              <w:marTop w:val="0"/>
              <w:marBottom w:val="0"/>
              <w:divBdr>
                <w:top w:val="none" w:sz="0" w:space="0" w:color="auto"/>
                <w:left w:val="none" w:sz="0" w:space="0" w:color="auto"/>
                <w:bottom w:val="none" w:sz="0" w:space="0" w:color="auto"/>
                <w:right w:val="none" w:sz="0" w:space="0" w:color="auto"/>
              </w:divBdr>
              <w:divsChild>
                <w:div w:id="955676623">
                  <w:marLeft w:val="0"/>
                  <w:marRight w:val="0"/>
                  <w:marTop w:val="0"/>
                  <w:marBottom w:val="0"/>
                  <w:divBdr>
                    <w:top w:val="none" w:sz="0" w:space="0" w:color="auto"/>
                    <w:left w:val="none" w:sz="0" w:space="0" w:color="auto"/>
                    <w:bottom w:val="none" w:sz="0" w:space="0" w:color="auto"/>
                    <w:right w:val="none" w:sz="0" w:space="0" w:color="auto"/>
                  </w:divBdr>
                </w:div>
                <w:div w:id="1844853506">
                  <w:marLeft w:val="0"/>
                  <w:marRight w:val="0"/>
                  <w:marTop w:val="0"/>
                  <w:marBottom w:val="0"/>
                  <w:divBdr>
                    <w:top w:val="none" w:sz="0" w:space="0" w:color="auto"/>
                    <w:left w:val="none" w:sz="0" w:space="0" w:color="auto"/>
                    <w:bottom w:val="none" w:sz="0" w:space="0" w:color="auto"/>
                    <w:right w:val="none" w:sz="0" w:space="0" w:color="auto"/>
                  </w:divBdr>
                </w:div>
                <w:div w:id="1519655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8534299">
      <w:bodyDiv w:val="1"/>
      <w:marLeft w:val="0"/>
      <w:marRight w:val="0"/>
      <w:marTop w:val="0"/>
      <w:marBottom w:val="0"/>
      <w:divBdr>
        <w:top w:val="none" w:sz="0" w:space="0" w:color="auto"/>
        <w:left w:val="none" w:sz="0" w:space="0" w:color="auto"/>
        <w:bottom w:val="none" w:sz="0" w:space="0" w:color="auto"/>
        <w:right w:val="none" w:sz="0" w:space="0" w:color="auto"/>
      </w:divBdr>
    </w:div>
    <w:div w:id="1114906367">
      <w:bodyDiv w:val="1"/>
      <w:marLeft w:val="0"/>
      <w:marRight w:val="0"/>
      <w:marTop w:val="0"/>
      <w:marBottom w:val="0"/>
      <w:divBdr>
        <w:top w:val="none" w:sz="0" w:space="0" w:color="auto"/>
        <w:left w:val="none" w:sz="0" w:space="0" w:color="auto"/>
        <w:bottom w:val="none" w:sz="0" w:space="0" w:color="auto"/>
        <w:right w:val="none" w:sz="0" w:space="0" w:color="auto"/>
      </w:divBdr>
    </w:div>
    <w:div w:id="1161579461">
      <w:bodyDiv w:val="1"/>
      <w:marLeft w:val="0"/>
      <w:marRight w:val="0"/>
      <w:marTop w:val="0"/>
      <w:marBottom w:val="0"/>
      <w:divBdr>
        <w:top w:val="none" w:sz="0" w:space="0" w:color="auto"/>
        <w:left w:val="none" w:sz="0" w:space="0" w:color="auto"/>
        <w:bottom w:val="none" w:sz="0" w:space="0" w:color="auto"/>
        <w:right w:val="none" w:sz="0" w:space="0" w:color="auto"/>
      </w:divBdr>
    </w:div>
    <w:div w:id="1199394988">
      <w:bodyDiv w:val="1"/>
      <w:marLeft w:val="0"/>
      <w:marRight w:val="0"/>
      <w:marTop w:val="0"/>
      <w:marBottom w:val="0"/>
      <w:divBdr>
        <w:top w:val="none" w:sz="0" w:space="0" w:color="auto"/>
        <w:left w:val="none" w:sz="0" w:space="0" w:color="auto"/>
        <w:bottom w:val="none" w:sz="0" w:space="0" w:color="auto"/>
        <w:right w:val="none" w:sz="0" w:space="0" w:color="auto"/>
      </w:divBdr>
      <w:divsChild>
        <w:div w:id="517276870">
          <w:marLeft w:val="0"/>
          <w:marRight w:val="0"/>
          <w:marTop w:val="0"/>
          <w:marBottom w:val="0"/>
          <w:divBdr>
            <w:top w:val="none" w:sz="0" w:space="0" w:color="auto"/>
            <w:left w:val="none" w:sz="0" w:space="0" w:color="auto"/>
            <w:bottom w:val="none" w:sz="0" w:space="0" w:color="auto"/>
            <w:right w:val="none" w:sz="0" w:space="0" w:color="auto"/>
          </w:divBdr>
          <w:divsChild>
            <w:div w:id="2002394057">
              <w:marLeft w:val="0"/>
              <w:marRight w:val="0"/>
              <w:marTop w:val="0"/>
              <w:marBottom w:val="0"/>
              <w:divBdr>
                <w:top w:val="none" w:sz="0" w:space="0" w:color="auto"/>
                <w:left w:val="none" w:sz="0" w:space="0" w:color="auto"/>
                <w:bottom w:val="none" w:sz="0" w:space="0" w:color="auto"/>
                <w:right w:val="none" w:sz="0" w:space="0" w:color="auto"/>
              </w:divBdr>
            </w:div>
            <w:div w:id="260917410">
              <w:marLeft w:val="0"/>
              <w:marRight w:val="0"/>
              <w:marTop w:val="0"/>
              <w:marBottom w:val="0"/>
              <w:divBdr>
                <w:top w:val="none" w:sz="0" w:space="0" w:color="auto"/>
                <w:left w:val="none" w:sz="0" w:space="0" w:color="auto"/>
                <w:bottom w:val="none" w:sz="0" w:space="0" w:color="auto"/>
                <w:right w:val="none" w:sz="0" w:space="0" w:color="auto"/>
              </w:divBdr>
            </w:div>
          </w:divsChild>
        </w:div>
        <w:div w:id="97406183">
          <w:marLeft w:val="0"/>
          <w:marRight w:val="0"/>
          <w:marTop w:val="0"/>
          <w:marBottom w:val="0"/>
          <w:divBdr>
            <w:top w:val="none" w:sz="0" w:space="0" w:color="auto"/>
            <w:left w:val="none" w:sz="0" w:space="0" w:color="auto"/>
            <w:bottom w:val="none" w:sz="0" w:space="0" w:color="auto"/>
            <w:right w:val="none" w:sz="0" w:space="0" w:color="auto"/>
          </w:divBdr>
          <w:divsChild>
            <w:div w:id="927806498">
              <w:marLeft w:val="0"/>
              <w:marRight w:val="0"/>
              <w:marTop w:val="0"/>
              <w:marBottom w:val="0"/>
              <w:divBdr>
                <w:top w:val="none" w:sz="0" w:space="0" w:color="auto"/>
                <w:left w:val="none" w:sz="0" w:space="0" w:color="auto"/>
                <w:bottom w:val="none" w:sz="0" w:space="0" w:color="auto"/>
                <w:right w:val="none" w:sz="0" w:space="0" w:color="auto"/>
              </w:divBdr>
              <w:divsChild>
                <w:div w:id="915288549">
                  <w:marLeft w:val="0"/>
                  <w:marRight w:val="0"/>
                  <w:marTop w:val="0"/>
                  <w:marBottom w:val="0"/>
                  <w:divBdr>
                    <w:top w:val="none" w:sz="0" w:space="0" w:color="auto"/>
                    <w:left w:val="none" w:sz="0" w:space="0" w:color="auto"/>
                    <w:bottom w:val="none" w:sz="0" w:space="0" w:color="auto"/>
                    <w:right w:val="none" w:sz="0" w:space="0" w:color="auto"/>
                  </w:divBdr>
                </w:div>
              </w:divsChild>
            </w:div>
            <w:div w:id="1028066762">
              <w:marLeft w:val="0"/>
              <w:marRight w:val="0"/>
              <w:marTop w:val="600"/>
              <w:marBottom w:val="600"/>
              <w:divBdr>
                <w:top w:val="none" w:sz="0" w:space="0" w:color="auto"/>
                <w:left w:val="none" w:sz="0" w:space="0" w:color="auto"/>
                <w:bottom w:val="none" w:sz="0" w:space="0" w:color="auto"/>
                <w:right w:val="none" w:sz="0" w:space="0" w:color="auto"/>
              </w:divBdr>
              <w:divsChild>
                <w:div w:id="187917104">
                  <w:marLeft w:val="0"/>
                  <w:marRight w:val="0"/>
                  <w:marTop w:val="0"/>
                  <w:marBottom w:val="0"/>
                  <w:divBdr>
                    <w:top w:val="none" w:sz="0" w:space="0" w:color="auto"/>
                    <w:left w:val="none" w:sz="0" w:space="0" w:color="auto"/>
                    <w:bottom w:val="none" w:sz="0" w:space="0" w:color="auto"/>
                    <w:right w:val="none" w:sz="0" w:space="0" w:color="auto"/>
                  </w:divBdr>
                  <w:divsChild>
                    <w:div w:id="571357119">
                      <w:marLeft w:val="0"/>
                      <w:marRight w:val="0"/>
                      <w:marTop w:val="0"/>
                      <w:marBottom w:val="0"/>
                      <w:divBdr>
                        <w:top w:val="none" w:sz="0" w:space="0" w:color="auto"/>
                        <w:left w:val="none" w:sz="0" w:space="0" w:color="auto"/>
                        <w:bottom w:val="none" w:sz="0" w:space="0" w:color="auto"/>
                        <w:right w:val="none" w:sz="0" w:space="0" w:color="auto"/>
                      </w:divBdr>
                    </w:div>
                    <w:div w:id="543635745">
                      <w:marLeft w:val="0"/>
                      <w:marRight w:val="0"/>
                      <w:marTop w:val="0"/>
                      <w:marBottom w:val="0"/>
                      <w:divBdr>
                        <w:top w:val="none" w:sz="0" w:space="0" w:color="auto"/>
                        <w:left w:val="none" w:sz="0" w:space="0" w:color="auto"/>
                        <w:bottom w:val="none" w:sz="0" w:space="0" w:color="auto"/>
                        <w:right w:val="none" w:sz="0" w:space="0" w:color="auto"/>
                      </w:divBdr>
                    </w:div>
                    <w:div w:id="907157500">
                      <w:marLeft w:val="0"/>
                      <w:marRight w:val="0"/>
                      <w:marTop w:val="0"/>
                      <w:marBottom w:val="0"/>
                      <w:divBdr>
                        <w:top w:val="none" w:sz="0" w:space="0" w:color="auto"/>
                        <w:left w:val="none" w:sz="0" w:space="0" w:color="auto"/>
                        <w:bottom w:val="none" w:sz="0" w:space="0" w:color="auto"/>
                        <w:right w:val="none" w:sz="0" w:space="0" w:color="auto"/>
                      </w:divBdr>
                    </w:div>
                    <w:div w:id="373970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7499557">
      <w:bodyDiv w:val="1"/>
      <w:marLeft w:val="0"/>
      <w:marRight w:val="0"/>
      <w:marTop w:val="0"/>
      <w:marBottom w:val="0"/>
      <w:divBdr>
        <w:top w:val="none" w:sz="0" w:space="0" w:color="auto"/>
        <w:left w:val="none" w:sz="0" w:space="0" w:color="auto"/>
        <w:bottom w:val="none" w:sz="0" w:space="0" w:color="auto"/>
        <w:right w:val="none" w:sz="0" w:space="0" w:color="auto"/>
      </w:divBdr>
    </w:div>
    <w:div w:id="1718429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eltiempo.com/economia/sectores/precio-del-petroleo-toco-los-80-dolares-218750"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www.eltiempo.com/economia/sectores/por-que-la-gasolina-esta-en-precios-record-en-el-pais-221324"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eltiempo.com/economia/sectores/presion-para-que-precio-de-la-gasolina-marque-nuevo-record-220924" TargetMode="External"/><Relationship Id="rId5" Type="http://schemas.openxmlformats.org/officeDocument/2006/relationships/webSettings" Target="webSettings.xml"/><Relationship Id="rId15" Type="http://schemas.openxmlformats.org/officeDocument/2006/relationships/hyperlink" Target="http://www.eltiempo.com/economia/sectores/precio-de-la-gasolina-en-colombia-subira-161-a-partir-del-5-de-junio-225894" TargetMode="External"/><Relationship Id="rId10" Type="http://schemas.openxmlformats.org/officeDocument/2006/relationships/hyperlink" Target="http://www.eltiempo.com/economia/empresas/de-que-depende-que-suba-o-no-en-junio-precio-de-la-gasolina-221098"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eltiempo.com/economia/sectores/precio-de-la-gasolina-en-colombia-subira-161-a-partir-del-5-de-junio-225894" TargetMode="External"/><Relationship Id="rId14" Type="http://schemas.openxmlformats.org/officeDocument/2006/relationships/hyperlink" Target="http://www.eltiempo.com/economia/sector-financiero/cuales-son-los-paises-con-la-gasolina-mas-cara-y-mas-barata-del-mundo-224712" TargetMode="Externa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3.w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952070-6F2F-4BC1-A829-4691062156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3</Pages>
  <Words>1050</Words>
  <Characters>5989</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7025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dc:creator>
  <cp:keywords/>
  <dc:description/>
  <cp:lastModifiedBy>Felipe A. ISAZA - pipepocho</cp:lastModifiedBy>
  <cp:revision>6</cp:revision>
  <cp:lastPrinted>2016-02-19T15:13:00Z</cp:lastPrinted>
  <dcterms:created xsi:type="dcterms:W3CDTF">2018-07-22T23:13:00Z</dcterms:created>
  <dcterms:modified xsi:type="dcterms:W3CDTF">2018-10-29T18:46:00Z</dcterms:modified>
</cp:coreProperties>
</file>