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71800" cy="2432389"/>
            <wp:docPr id="1" name="Picture 1"/>
            <wp:cNvGraphicFramePr>
              <a:graphicFrameLocks noChangeAspect="1"/>
            </wp:cNvGraphicFramePr>
            <a:graphic>
              <a:graphicData uri="http://schemas.openxmlformats.org/drawingml/2006/picture">
                <pic:pic>
                  <pic:nvPicPr>
                    <pic:cNvPr id="0" name="02-IMG_0356.jpeg"/>
                    <pic:cNvPicPr/>
                  </pic:nvPicPr>
                  <pic:blipFill>
                    <a:blip r:embed="rId11"/>
                    <a:stretch>
                      <a:fillRect/>
                    </a:stretch>
                  </pic:blipFill>
                  <pic:spPr>
                    <a:xfrm>
                      <a:off x="0" y="0"/>
                      <a:ext cx="2971800" cy="2432389"/>
                    </a:xfrm>
                    <a:prstGeom prst="rect"/>
                  </pic:spPr>
                </pic:pic>
              </a:graphicData>
            </a:graphic>
          </wp:inline>
        </w:drawing>
      </w:r>
    </w:p>
    <w:p>
      <w:pPr>
        <w:spacing w:after="160"/>
      </w:pPr>
    </w:p>
    <w:p>
      <w:pPr>
        <w:pStyle w:val="Title"/>
        <w:jc w:val="center"/>
      </w:pPr>
      <w:r>
        <w:t>Constellation Bible</w:t>
      </w:r>
    </w:p>
    <w:p>
      <w:pPr>
        <w:pStyle w:val="Subtitle"/>
        <w:jc w:val="center"/>
      </w:pPr>
      <w:r>
        <w:t>Research &amp; Architecture Foundation  •  Version 0.1</w:t>
      </w:r>
    </w:p>
    <w:tbl>
      <w:tblPr>
        <w:tblW w:type="dxa" w:w="9720"/>
        <w:jc w:val="center"/>
        <w:tblLayout w:type="fixed"/>
        <w:tblLook w:firstColumn="1" w:firstRow="1" w:lastColumn="0" w:lastRow="0" w:noHBand="0" w:noVBand="1" w:val="04A0"/>
      </w:tblPr>
      <w:tblGrid>
        <w:gridCol w:w="9936"/>
      </w:tblGrid>
      <w:tr>
        <w:trPr>
          <w:cantSplit/>
        </w:trPr>
        <w:tc>
          <w:tcPr>
            <w:tcW w:type="dxa" w:w="9720"/>
            <w:shd w:fill="070D14"/>
            <w:tcMar>
              <w:top w:w="130" w:type="dxa"/>
              <w:start w:w="160" w:type="dxa"/>
              <w:bottom w:w="130" w:type="dxa"/>
              <w:end w:w="160" w:type="dxa"/>
            </w:tcMar>
          </w:tcPr>
          <w:p>
            <w:pPr>
              <w:spacing w:after="40"/>
            </w:pPr>
            <w:r/>
            <w:r>
              <w:rPr>
                <w:rFonts w:ascii="Liberation Sans" w:hAnsi="Liberation Sans"/>
                <w:b/>
                <w:color w:val="14E0E6"/>
                <w:sz w:val="16"/>
              </w:rPr>
              <w:t>NORTH STAR</w:t>
            </w:r>
          </w:p>
          <w:p>
            <w:pPr>
              <w:spacing w:after="0"/>
            </w:pPr>
            <w:r>
              <w:rPr>
                <w:rFonts w:ascii="Liberation Sans" w:hAnsi="Liberation Sans"/>
                <w:color w:val="14212B"/>
                <w:sz w:val="19"/>
              </w:rPr>
              <w:t>Transform measurable vocal patterns into meaningful reflection while preserving traceability, uncertainty, context, and personal agency.</w:t>
            </w:r>
          </w:p>
        </w:tc>
      </w:tr>
    </w:tbl>
    <w:p>
      <w:pPr>
        <w:spacing w:after="20"/>
      </w:pPr>
    </w:p>
    <w:p>
      <w:pPr>
        <w:jc w:val="center"/>
      </w:pPr>
      <w:r>
        <w:rPr>
          <w:rFonts w:ascii="Liberation Serif" w:hAnsi="Liberation Serif"/>
          <w:i/>
          <w:color w:val="A56CFF"/>
          <w:sz w:val="32"/>
        </w:rPr>
        <w:t>Your voice. Your pattern. Your signature.</w:t>
      </w:r>
    </w:p>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352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Document role</w:t>
            </w:r>
          </w:p>
        </w:tc>
        <w:tc>
          <w:tcPr>
            <w:tcW w:type="dxa" w:w="619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Status</w:t>
            </w:r>
          </w:p>
        </w:tc>
      </w:tr>
      <w:tr>
        <w:trPr>
          <w:cantSplit/>
        </w:trPr>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Scientific boundary</w:t>
            </w:r>
          </w:p>
        </w:tc>
        <w:tc>
          <w:tcPr>
            <w:tcW w:type="dxa" w:w="61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Normative: must be obeyed</w:t>
            </w:r>
          </w:p>
        </w:tc>
      </w:tr>
      <w:tr>
        <w:trPr>
          <w:cantSplit/>
        </w:trPr>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Engine architecture</w:t>
            </w:r>
          </w:p>
        </w:tc>
        <w:tc>
          <w:tcPr>
            <w:tcW w:type="dxa" w:w="61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Ready for schema and rules implementation</w:t>
            </w:r>
          </w:p>
        </w:tc>
      </w:tr>
      <w:tr>
        <w:trPr>
          <w:cantSplit/>
        </w:trPr>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Dimensions and constellation geometry</w:t>
            </w:r>
          </w:p>
        </w:tc>
        <w:tc>
          <w:tcPr>
            <w:tcW w:type="dxa" w:w="61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Provisional v0.1; calibrate before production</w:t>
            </w:r>
          </w:p>
        </w:tc>
      </w:tr>
      <w:tr>
        <w:trPr>
          <w:cantSplit/>
        </w:trPr>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Canonical states</w:t>
            </w:r>
          </w:p>
        </w:tc>
        <w:tc>
          <w:tcPr>
            <w:tcW w:type="dxa" w:w="61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Seed registry; IDs fixed when adopted</w:t>
            </w:r>
          </w:p>
        </w:tc>
      </w:tr>
      <w:tr>
        <w:trPr>
          <w:cantSplit/>
        </w:trPr>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Clinical or diagnostic use</w:t>
            </w:r>
          </w:p>
        </w:tc>
        <w:tc>
          <w:tcPr>
            <w:tcW w:type="dxa" w:w="61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Out of scope</w:t>
            </w:r>
          </w:p>
        </w:tc>
      </w:tr>
    </w:tbl>
    <w:p>
      <w:pPr>
        <w:spacing w:after="20"/>
      </w:pPr>
    </w:p>
    <w:p>
      <w:r>
        <w:br w:type="page"/>
      </w:r>
    </w:p>
    <w:p>
      <w:pPr>
        <w:pStyle w:val="Heading1"/>
      </w:pPr>
      <w:r>
        <w:t>1. Executive judgment</w:t>
      </w:r>
    </w:p>
    <w:p>
      <w:pPr>
        <w:pStyle w:val="Subtitle"/>
      </w:pPr>
      <w:r>
        <w:t>What is strong, what changes, and what this edition commits to</w:t>
      </w:r>
    </w:p>
    <w:tbl>
      <w:tblPr>
        <w:tblW w:type="dxa" w:w="9720"/>
        <w:jc w:val="center"/>
        <w:tblLayout w:type="fixed"/>
        <w:tblLook w:firstColumn="1" w:firstRow="1" w:lastColumn="0" w:lastRow="0" w:noHBand="0" w:noVBand="1" w:val="04A0"/>
      </w:tblPr>
      <w:tblGrid>
        <w:gridCol w:w="9936"/>
      </w:tblGrid>
      <w:tr>
        <w:trPr>
          <w:cantSplit/>
        </w:trPr>
        <w:tc>
          <w:tcPr>
            <w:tcW w:type="dxa" w:w="9720"/>
            <w:shd w:fill="EAF7F7"/>
            <w:tcMar>
              <w:top w:w="130" w:type="dxa"/>
              <w:start w:w="160" w:type="dxa"/>
              <w:bottom w:w="130" w:type="dxa"/>
              <w:end w:w="160" w:type="dxa"/>
            </w:tcMar>
          </w:tcPr>
          <w:p>
            <w:pPr>
              <w:spacing w:after="40"/>
            </w:pPr>
            <w:r/>
            <w:r>
              <w:rPr>
                <w:rFonts w:ascii="Liberation Sans" w:hAnsi="Liberation Sans"/>
                <w:b/>
                <w:color w:val="14E0E6"/>
                <w:sz w:val="16"/>
              </w:rPr>
              <w:t>VERDICT</w:t>
            </w:r>
          </w:p>
          <w:p>
            <w:pPr>
              <w:spacing w:after="0"/>
            </w:pPr>
            <w:r>
              <w:rPr>
                <w:rFonts w:ascii="Liberation Sans" w:hAnsi="Liberation Sans"/>
                <w:color w:val="14212B"/>
                <w:sz w:val="19"/>
              </w:rPr>
              <w:t>The proposed pipeline is unusually strong because it makes evidence traceability—not a model label—the center of the product. The Evidence Ledger, unresolved-state behavior, permanent IDs, and post-hoc pattern names should remain non-negotiable.</w:t>
            </w:r>
          </w:p>
        </w:tc>
      </w:tr>
    </w:tbl>
    <w:p>
      <w:pPr>
        <w:spacing w:after="20"/>
      </w:pPr>
    </w:p>
    <w:p>
      <w:r>
        <w:t>SoulScope should not reproduce EmotionLogic’s proprietary scoring engine or inherit its most aggressive labels. The useful lesson from LVA is architectural: speaker calibration, segment-level evidence, temporal state, prompt aggregation, and structured reporting. The scientific lesson is equally important: acoustic measures are many-to-many cues. A single feature can change for several physical, linguistic, situational, and emotional reasons.</w:t>
      </w:r>
    </w:p>
    <w:p>
      <w:pPr>
        <w:pStyle w:val="Heading2"/>
      </w:pPr>
      <w:r>
        <w:t>Required corrections to the current direction</w:t>
      </w:r>
    </w:p>
    <w:p>
      <w:pPr>
        <w:pStyle w:val="ListBullet"/>
      </w:pPr>
      <w:r>
        <w:t>Replace “every meaningful region receives a state” with a continuous geometry plus a compact canonical state grammar. Hand-writing every region creates brittle taxonomies and false precision.</w:t>
      </w:r>
    </w:p>
    <w:p>
      <w:pPr>
        <w:pStyle w:val="ListBullet"/>
      </w:pPr>
      <w:r>
        <w:t>Treat dimensions as evidence-supported functional tendencies, not latent truths. Their names must stay close to what the signal can actually support.</w:t>
      </w:r>
    </w:p>
    <w:p>
      <w:pPr>
        <w:pStyle w:val="ListBullet"/>
      </w:pPr>
      <w:r>
        <w:t>Separate within-scan baseline, personal Reference Signature, and population priors. Missing baseline is unknown—not average, neutral, or zero.</w:t>
      </w:r>
    </w:p>
    <w:p>
      <w:pPr>
        <w:pStyle w:val="ListBullet"/>
      </w:pPr>
      <w:r>
        <w:t>Do not let a generative model calculate dimensions, select states, or invent causes. It may verbalize an already-completed ledger and must cite the reasoning records it uses.</w:t>
      </w:r>
    </w:p>
    <w:p>
      <w:pPr>
        <w:pStyle w:val="ListBullet"/>
      </w:pPr>
      <w:r>
        <w:t>Do not market “151 biomarkers” as a goal. Feature count is not validity. A smaller, versioned, reproducible set is more defensible.</w:t>
      </w:r>
    </w:p>
    <w:p>
      <w:pPr>
        <w:pStyle w:val="Heading2"/>
      </w:pPr>
      <w:r>
        <w:t>The four proposed constellations</w:t>
      </w:r>
    </w:p>
    <w:tbl>
      <w:tblPr>
        <w:tblStyle w:val="TableGrid"/>
        <w:tblW w:type="dxa" w:w="972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79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Code</w:t>
            </w:r>
          </w:p>
        </w:tc>
        <w:tc>
          <w:tcPr>
            <w:tcW w:type="dxa" w:w="19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Constellation</w:t>
            </w:r>
          </w:p>
        </w:tc>
        <w:tc>
          <w:tcPr>
            <w:tcW w:type="dxa" w:w="460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Four points</w:t>
            </w:r>
          </w:p>
        </w:tc>
        <w:tc>
          <w:tcPr>
            <w:tcW w:type="dxa" w:w="23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Question answered</w:t>
            </w:r>
          </w:p>
        </w:tc>
      </w:tr>
      <w:tr>
        <w:trPr>
          <w:cantSplit/>
        </w:trPr>
        <w:tc>
          <w:tcPr>
            <w:tcW w:type="dxa" w:w="7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w:t>
            </w:r>
          </w:p>
        </w:tc>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Cognitive Form</w:t>
            </w:r>
          </w:p>
        </w:tc>
        <w:tc>
          <w:tcPr>
            <w:tcW w:type="dxa" w:w="460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 Exploration • Focus Continuity • Processing Demand</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How is mental work being organized and sustained?</w:t>
            </w:r>
          </w:p>
        </w:tc>
      </w:tr>
      <w:tr>
        <w:trPr>
          <w:cantSplit/>
        </w:trPr>
        <w:tc>
          <w:tcPr>
            <w:tcW w:type="dxa" w:w="7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REG</w:t>
            </w:r>
          </w:p>
        </w:tc>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Regulatory Motion</w:t>
            </w:r>
          </w:p>
        </w:tc>
        <w:tc>
          <w:tcPr>
            <w:tcW w:type="dxa" w:w="460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Activation • Stability • Flexibility • Recovery</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How is the system responding, adapting, and returning?</w:t>
            </w:r>
          </w:p>
        </w:tc>
      </w:tr>
      <w:tr>
        <w:trPr>
          <w:cantSplit/>
        </w:trPr>
        <w:tc>
          <w:tcPr>
            <w:tcW w:type="dxa" w:w="7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w:t>
            </w:r>
          </w:p>
        </w:tc>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Available Capacity</w:t>
            </w:r>
          </w:p>
        </w:tc>
        <w:tc>
          <w:tcPr>
            <w:tcW w:type="dxa" w:w="460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Mobilization • Reserve • Effort Cost • Sustainability</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What resources appear available, and what does current functioning seem to cost?</w:t>
            </w:r>
          </w:p>
        </w:tc>
      </w:tr>
      <w:tr>
        <w:trPr>
          <w:cantSplit/>
        </w:trPr>
        <w:tc>
          <w:tcPr>
            <w:tcW w:type="dxa" w:w="7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w:t>
            </w:r>
          </w:p>
        </w:tc>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Expressive Interface</w:t>
            </w:r>
          </w:p>
        </w:tc>
        <w:tc>
          <w:tcPr>
            <w:tcW w:type="dxa" w:w="460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Range • Openness • Restraint • Relational Availability</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How is inner activity being carried into outward expression?</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FF8E8"/>
            <w:tcMar>
              <w:top w:w="130" w:type="dxa"/>
              <w:start w:w="160" w:type="dxa"/>
              <w:bottom w:w="130" w:type="dxa"/>
              <w:end w:w="160" w:type="dxa"/>
            </w:tcMar>
          </w:tcPr>
          <w:p>
            <w:pPr>
              <w:spacing w:after="40"/>
            </w:pPr>
            <w:r/>
            <w:r>
              <w:rPr>
                <w:rFonts w:ascii="Liberation Sans" w:hAnsi="Liberation Sans"/>
                <w:b/>
                <w:color w:val="8A6815"/>
                <w:sz w:val="16"/>
              </w:rPr>
              <w:t>IMPORTANT</w:t>
            </w:r>
          </w:p>
          <w:p>
            <w:pPr>
              <w:spacing w:after="0"/>
            </w:pPr>
            <w:r>
              <w:rPr>
                <w:rFonts w:ascii="Liberation Sans" w:hAnsi="Liberation Sans"/>
                <w:color w:val="14212B"/>
                <w:sz w:val="19"/>
              </w:rPr>
              <w:t>These are not four emotions. They are four views of current vocal functioning. No constellation can independently diagnose a mood, condition, motive, personality, or physical illness.</w:t>
            </w:r>
          </w:p>
        </w:tc>
      </w:tr>
    </w:tbl>
    <w:p>
      <w:pPr>
        <w:spacing w:after="20"/>
      </w:pPr>
    </w:p>
    <w:p>
      <w:pPr>
        <w:pStyle w:val="Heading1"/>
      </w:pPr>
      <w:r>
        <w:t>2. Scientific boundary</w:t>
      </w:r>
    </w:p>
    <w:p>
      <w:pPr>
        <w:pStyle w:val="Subtitle"/>
      </w:pPr>
      <w:r>
        <w:t>What voice acoustics can support—and what SoulScope must never claim</w:t>
      </w:r>
    </w:p>
    <w:p>
      <w:pPr>
        <w:pStyle w:val="Heading2"/>
      </w:pPr>
      <w:r>
        <w:t>2.1 Evidence hierarchy</w:t>
      </w:r>
    </w:p>
    <w:tbl>
      <w:tblPr>
        <w:tblStyle w:val="TableGrid"/>
        <w:tblW w:type="dxa" w:w="972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36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Tier</w:t>
            </w:r>
          </w:p>
        </w:tc>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Meaning</w:t>
            </w:r>
          </w:p>
        </w:tc>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Allowed engine behavior</w:t>
            </w:r>
          </w:p>
        </w:tc>
        <w:tc>
          <w:tcPr>
            <w:tcW w:type="dxa" w:w="244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Examples</w:t>
            </w:r>
          </w:p>
        </w:tc>
      </w:tr>
      <w:tr>
        <w:trPr>
          <w:cantSplit/>
        </w:trPr>
        <w:tc>
          <w:tcPr>
            <w:tcW w:type="dxa" w:w="13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 — Measurement</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Directly computed, reproducible acoustic or timing quantity.</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May enter the Evidence Ledger after quality gates.</w:t>
            </w:r>
          </w:p>
        </w:tc>
        <w:tc>
          <w:tcPr>
            <w:tcW w:type="dxa" w:w="244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Median F0, F0 range, HNR, jitter, voiced rate, pause ratio, spectral slope.</w:t>
            </w:r>
          </w:p>
        </w:tc>
      </w:tr>
      <w:tr>
        <w:trPr>
          <w:cantSplit/>
        </w:trPr>
        <w:tc>
          <w:tcPr>
            <w:tcW w:type="dxa" w:w="13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 — Functional evidence</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Bounded interpretation supported by multiple Tier A measures and context.</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May support a continuous dimension with confidence and alternatives.</w:t>
            </w:r>
          </w:p>
        </w:tc>
        <w:tc>
          <w:tcPr>
            <w:tcW w:type="dxa" w:w="244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Greater activation cueing; increased pause load; reduced prosodic variability; change from personal baseline.</w:t>
            </w:r>
          </w:p>
        </w:tc>
      </w:tr>
      <w:tr>
        <w:trPr>
          <w:cantSplit/>
        </w:trPr>
        <w:tc>
          <w:tcPr>
            <w:tcW w:type="dxa" w:w="13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 — Reflective hypothesis</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Possible lived meaning generated from constellation and interaction geometry.</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May appear only as probabilistic narrative with alternatives.</w:t>
            </w:r>
          </w:p>
        </w:tc>
        <w:tc>
          <w:tcPr>
            <w:tcW w:type="dxa" w:w="244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This may reflect sustained effort, protective restraint, or a transition toward recovery.</w:t>
            </w:r>
          </w:p>
        </w:tc>
      </w:tr>
      <w:tr>
        <w:trPr>
          <w:cantSplit/>
        </w:trPr>
        <w:tc>
          <w:tcPr>
            <w:tcW w:type="dxa" w:w="13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 — Prohibited inference</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Diagnostic, deceptive, causal, identity, organ, or certainty claim unsupported by the evidence.</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Suppress; log policy failure.</w:t>
            </w:r>
          </w:p>
        </w:tc>
        <w:tc>
          <w:tcPr>
            <w:tcW w:type="dxa" w:w="244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Depression detected; lying; trauma held in the voice; adrenal weakness; true personality.</w:t>
            </w:r>
          </w:p>
        </w:tc>
      </w:tr>
    </w:tbl>
    <w:p>
      <w:pPr>
        <w:spacing w:after="20"/>
      </w:pPr>
    </w:p>
    <w:p>
      <w:pPr>
        <w:pStyle w:val="Heading2"/>
      </w:pPr>
      <w:r>
        <w:t>2.2 What the literature supports</w:t>
      </w:r>
    </w:p>
    <w:p>
      <w:pPr>
        <w:pStyle w:val="ListBullet"/>
      </w:pPr>
      <w:r>
        <w:t>Standard acoustic sets such as eGeMAPS provide a reproducible vocabulary spanning frequency, energy/amplitude, spectral balance, voice quality, and temporal descriptors. They were designed for affective computing and related voice-research tasks—not as a universal emotion truth machine.</w:t>
      </w:r>
    </w:p>
    <w:p>
      <w:pPr>
        <w:pStyle w:val="ListBullet"/>
      </w:pPr>
      <w:r>
        <w:t>Vocal emotion research consistently finds useful cues, especially for activation/arousal. Valence and discrete emotion are less stable and more dependent on speaker, language, task, context, acting versus spontaneous speech, and dataset.</w:t>
      </w:r>
    </w:p>
    <w:p>
      <w:pPr>
        <w:pStyle w:val="ListBullet"/>
      </w:pPr>
      <w:r>
        <w:t>Stress can affect F0, intensity, speech rate, respiration-related timing, formants, and voice quality, but directions vary across people and stressors. Personal baselines and converging evidence are essential.</w:t>
      </w:r>
    </w:p>
    <w:p>
      <w:pPr>
        <w:pStyle w:val="ListBullet"/>
      </w:pPr>
      <w:r>
        <w:t>Health-related vocal biomarkers are promising for research and monitoring, but reviews repeatedly identify dataset bias, small cohorts, inconsistent tasks, limited external validation, privacy risk, and lack of clinical translation.</w:t>
      </w:r>
    </w:p>
    <w:p>
      <w:pPr>
        <w:pStyle w:val="ListBullet"/>
      </w:pPr>
      <w:r>
        <w:t>LVA research does not justify deception detection. Controlled and field studies have reported weak accuracy and substantial false-positive behavior.</w:t>
      </w:r>
    </w:p>
    <w:p>
      <w:pPr>
        <w:pStyle w:val="Heading2"/>
      </w:pPr>
      <w:r>
        <w:t>2.3 Claims policy</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3240"/>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May say</w:t>
            </w:r>
          </w:p>
        </w:tc>
        <w:tc>
          <w:tcPr>
            <w:tcW w:type="dxa" w:w="367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May say with strong context</w:t>
            </w:r>
          </w:p>
        </w:tc>
        <w:tc>
          <w:tcPr>
            <w:tcW w:type="dxa" w:w="280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Must not say</w:t>
            </w:r>
          </w:p>
        </w:tc>
      </w:tr>
      <w:tr>
        <w:trPr>
          <w:cantSplit/>
        </w:trPr>
        <w:tc>
          <w:tcPr>
            <w:tcW w:type="dxa" w:w="324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“Pitch variation was lower than this user’s established baseline.”</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“Together, reduced variation and longer pauses may reflect greater processing demand.”</w:t>
            </w:r>
          </w:p>
        </w:tc>
        <w:tc>
          <w:tcPr>
            <w:tcW w:type="dxa" w:w="280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user is depressed.”</w:t>
            </w:r>
          </w:p>
        </w:tc>
      </w:tr>
      <w:tr>
        <w:trPr>
          <w:cantSplit/>
        </w:trPr>
        <w:tc>
          <w:tcPr>
            <w:tcW w:type="dxa" w:w="324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sample contains more intensity fluctuation.”</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“This pattern may be consistent with stronger activation in this moment.”</w:t>
            </w:r>
          </w:p>
        </w:tc>
        <w:tc>
          <w:tcPr>
            <w:tcW w:type="dxa" w:w="280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user is anxious.”</w:t>
            </w:r>
          </w:p>
        </w:tc>
      </w:tr>
      <w:tr>
        <w:trPr>
          <w:cantSplit/>
        </w:trPr>
        <w:tc>
          <w:tcPr>
            <w:tcW w:type="dxa" w:w="324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“Recovery cues increased during the final prompt.”</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scan may show movement toward easier regulation.”</w:t>
            </w:r>
          </w:p>
        </w:tc>
        <w:tc>
          <w:tcPr>
            <w:tcW w:type="dxa" w:w="280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nervous system healed.”</w:t>
            </w:r>
          </w:p>
        </w:tc>
      </w:tr>
      <w:tr>
        <w:trPr>
          <w:cantSplit/>
        </w:trPr>
        <w:tc>
          <w:tcPr>
            <w:tcW w:type="dxa" w:w="324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“Evidence is mixed; no clear constellation state was assigned.”</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“Protective restraint is one plausible interpretation; vocal fatigue is another.”</w:t>
            </w:r>
          </w:p>
        </w:tc>
        <w:tc>
          <w:tcPr>
            <w:tcW w:type="dxa" w:w="280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user is hiding something.”</w:t>
            </w:r>
          </w:p>
        </w:tc>
      </w:tr>
    </w:tbl>
    <w:p>
      <w:pPr>
        <w:spacing w:after="20"/>
      </w:pPr>
    </w:p>
    <w:p>
      <w:pPr>
        <w:pStyle w:val="Heading1"/>
      </w:pPr>
      <w:r>
        <w:t>3. Canonical processing contract</w:t>
      </w:r>
    </w:p>
    <w:p>
      <w:pPr>
        <w:pStyle w:val="Subtitle"/>
      </w:pPr>
      <w:r>
        <w:t>Every abstraction remains traceable to measured evidence</w:t>
      </w:r>
    </w:p>
    <w:p>
      <w:pPr>
        <w:pStyle w:val="ListNumber"/>
      </w:pPr>
      <w:r>
        <w:t>Raw Acoustic Features — immutable outputs from versioned extractors.</w:t>
      </w:r>
    </w:p>
    <w:p>
      <w:pPr>
        <w:pStyle w:val="ListNumber"/>
      </w:pPr>
      <w:r>
        <w:t>Evidence Engine — quality-gated, contextualized statements about observed change or structure.</w:t>
      </w:r>
    </w:p>
    <w:p>
      <w:pPr>
        <w:pStyle w:val="ListNumber"/>
      </w:pPr>
      <w:r>
        <w:t>Evidence Ledger — single source of truth with support, contradiction, provenance, reliability, and missingness.</w:t>
      </w:r>
    </w:p>
    <w:p>
      <w:pPr>
        <w:pStyle w:val="ListNumber"/>
      </w:pPr>
      <w:r>
        <w:t>Dimension Engine — continuous functional tendencies derived from multiple evidence families.</w:t>
      </w:r>
    </w:p>
    <w:p>
      <w:pPr>
        <w:pStyle w:val="ListNumber"/>
      </w:pPr>
      <w:r>
        <w:t>Constellation Engine — four-point geometry, state candidates, blends, and unresolved behavior.</w:t>
      </w:r>
    </w:p>
    <w:p>
      <w:pPr>
        <w:pStyle w:val="ListNumber"/>
      </w:pPr>
      <w:r>
        <w:t>Cross-Constellation Interaction Engine — typed relations among independently resolved constellation states.</w:t>
      </w:r>
    </w:p>
    <w:p>
      <w:pPr>
        <w:pStyle w:val="ListNumber"/>
      </w:pPr>
      <w:r>
        <w:t>Pattern Engine — descriptive summary label selected after reasoning, with winning and losing candidates recorded.</w:t>
      </w:r>
    </w:p>
    <w:p>
      <w:pPr>
        <w:pStyle w:val="ListNumber"/>
      </w:pPr>
      <w:r>
        <w:t>Narrative Engine — controlled verbalization of completed reasoning.</w:t>
      </w:r>
    </w:p>
    <w:p>
      <w:pPr>
        <w:pStyle w:val="ListNumber"/>
      </w:pPr>
      <w:r>
        <w:t>Resonance Signature — visual encoding of the same dimensions, confidence, geometry, and uncertainty.</w:t>
      </w:r>
    </w:p>
    <w:tbl>
      <w:tblPr>
        <w:tblW w:type="dxa" w:w="9720"/>
        <w:jc w:val="center"/>
        <w:tblLayout w:type="fixed"/>
        <w:tblLook w:firstColumn="1" w:firstRow="1" w:lastColumn="0" w:lastRow="0" w:noHBand="0" w:noVBand="1" w:val="04A0"/>
      </w:tblPr>
      <w:tblGrid>
        <w:gridCol w:w="9936"/>
      </w:tblGrid>
      <w:tr>
        <w:trPr>
          <w:cantSplit/>
        </w:trPr>
        <w:tc>
          <w:tcPr>
            <w:tcW w:type="dxa" w:w="9720"/>
            <w:shd w:fill="EAF7F7"/>
            <w:tcMar>
              <w:top w:w="130" w:type="dxa"/>
              <w:start w:w="160" w:type="dxa"/>
              <w:bottom w:w="130" w:type="dxa"/>
              <w:end w:w="160" w:type="dxa"/>
            </w:tcMar>
          </w:tcPr>
          <w:p>
            <w:pPr>
              <w:spacing w:after="40"/>
            </w:pPr>
            <w:r/>
            <w:r>
              <w:rPr>
                <w:rFonts w:ascii="Liberation Sans" w:hAnsi="Liberation Sans"/>
                <w:b/>
                <w:color w:val="14E0E6"/>
                <w:sz w:val="16"/>
              </w:rPr>
              <w:t>HARD RULE</w:t>
            </w:r>
          </w:p>
          <w:p>
            <w:pPr>
              <w:spacing w:after="0"/>
            </w:pPr>
            <w:r>
              <w:rPr>
                <w:rFonts w:ascii="Liberation Sans" w:hAnsi="Liberation Sans"/>
                <w:color w:val="14212B"/>
                <w:sz w:val="19"/>
              </w:rPr>
              <w:t>Nothing bypasses the Evidence Ledger. The narrative and the visualization receive the same signed reasoning object; neither may independently reinterpret raw audio.</w:t>
            </w:r>
          </w:p>
        </w:tc>
      </w:tr>
    </w:tbl>
    <w:p>
      <w:pPr>
        <w:spacing w:after="20"/>
      </w:pPr>
    </w:p>
    <w:p>
      <w:pPr>
        <w:pStyle w:val="Heading2"/>
      </w:pPr>
      <w:r>
        <w:t>3.1 Minimum ledger record</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0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6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Required content</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evidence_id</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Permanent unique ID</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session / segment</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Session ID, prompt ID, start and end time</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source_features</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Feature IDs, extractor and feature-definition versions</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observation</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Neutral evidence statement</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direction / magnitude</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Signed standardized deviation plus raw value/unit</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quality</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SNR/noise, clipping, voiced duration, tracking stability, task compliance</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baseline</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Reference type, trust status, compatibility, sample count</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support / contradiction</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Linked evidence IDs and relationship type</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confounds</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Detected or user-declared alternatives</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confidence</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Calibrated score and component breakdown</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policy</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Allowed inference tier and prohibited-use flags</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timestamp</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Creation time plus rule/model version</w:t>
            </w:r>
          </w:p>
        </w:tc>
      </w:tr>
    </w:tbl>
    <w:p>
      <w:pPr>
        <w:spacing w:after="20"/>
      </w:pPr>
    </w:p>
    <w:p>
      <w:pPr>
        <w:pStyle w:val="Heading2"/>
      </w:pPr>
      <w:r>
        <w:t>3.2 Baseline hierarchy</w:t>
      </w:r>
    </w:p>
    <w:tbl>
      <w:tblPr>
        <w:tblStyle w:val="TableGrid"/>
        <w:tblW w:type="dxa" w:w="972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79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Priority</w:t>
            </w:r>
          </w:p>
        </w:tc>
        <w:tc>
          <w:tcPr>
            <w:tcW w:type="dxa" w:w="23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Reference</w:t>
            </w:r>
          </w:p>
        </w:tc>
        <w:tc>
          <w:tcPr>
            <w:tcW w:type="dxa" w:w="345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Use</w:t>
            </w:r>
          </w:p>
        </w:tc>
        <w:tc>
          <w:tcPr>
            <w:tcW w:type="dxa" w:w="309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Guardrail</w:t>
            </w:r>
          </w:p>
        </w:tc>
      </w:tr>
      <w:tr>
        <w:trPr>
          <w:cantSplit/>
        </w:trPr>
        <w:tc>
          <w:tcPr>
            <w:tcW w:type="dxa" w:w="7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1</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Personal Reference Signature</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Primary change-from-self interpretation.</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Same user, feature version, unit, task family, and compatible capture conditions.</w:t>
            </w:r>
          </w:p>
        </w:tc>
      </w:tr>
      <w:tr>
        <w:trPr>
          <w:cantSplit/>
        </w:trPr>
        <w:tc>
          <w:tcPr>
            <w:tcW w:type="dxa" w:w="7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2</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Within-session reference</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Prompt-to-prompt and early-to-late comparison.</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Never call it trait or long-term change.</w:t>
            </w:r>
          </w:p>
        </w:tc>
      </w:tr>
      <w:tr>
        <w:trPr>
          <w:cantSplit/>
        </w:trPr>
        <w:tc>
          <w:tcPr>
            <w:tcW w:type="dxa" w:w="79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3</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Matched population prior</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Feature scaling and anomaly checks.</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Not a substitute for a personal baseline; stratify and audit bias.</w:t>
            </w:r>
          </w:p>
        </w:tc>
      </w:tr>
      <w:tr>
        <w:trPr>
          <w:cantSplit/>
        </w:trPr>
        <w:tc>
          <w:tcPr>
            <w:tcW w:type="dxa" w:w="79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4</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No reference</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Raw description only.</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Suppress directional personal claims.</w:t>
            </w:r>
          </w:p>
        </w:tc>
      </w:tr>
    </w:tbl>
    <w:p>
      <w:pPr>
        <w:spacing w:after="20"/>
      </w:pPr>
    </w:p>
    <w:p>
      <w:pPr>
        <w:pStyle w:val="Heading1"/>
      </w:pPr>
      <w:r>
        <w:t>4. Acoustic feature registry</w:t>
      </w:r>
    </w:p>
    <w:p>
      <w:pPr>
        <w:pStyle w:val="Subtitle"/>
      </w:pPr>
      <w:r>
        <w:t>Recommended open, versioned measurement families</w:t>
      </w:r>
    </w:p>
    <w:tbl>
      <w:tblPr>
        <w:tblStyle w:val="TableGrid"/>
        <w:tblW w:type="dxa" w:w="972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655"/>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Family</w:t>
            </w:r>
          </w:p>
        </w:tc>
        <w:tc>
          <w:tcPr>
            <w:tcW w:type="dxa" w:w="266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Examples</w:t>
            </w:r>
          </w:p>
        </w:tc>
        <w:tc>
          <w:tcPr>
            <w:tcW w:type="dxa" w:w="230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Primary functional use</w:t>
            </w:r>
          </w:p>
        </w:tc>
        <w:tc>
          <w:tcPr>
            <w:tcW w:type="dxa" w:w="309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Major confounds</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Frequency/prosody</w:t>
            </w:r>
          </w:p>
        </w:tc>
        <w:tc>
          <w:tcPr>
            <w:tcW w:type="dxa" w:w="26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F0 median, percentiles, range, slope, contour variability</w:t>
            </w:r>
          </w:p>
        </w:tc>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expressive range, focus continuity</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Sex/anatomy, age, language, intonation, question type, pitch tracker errors</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Energy/amplitude</w:t>
            </w:r>
          </w:p>
        </w:tc>
        <w:tc>
          <w:tcPr>
            <w:tcW w:type="dxa" w:w="26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Loudness, RMS, intensity range, attack/release</w:t>
            </w:r>
          </w:p>
        </w:tc>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Mobilization, range, effort variation</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Mic distance, gain, compression, room, device</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Voice quality</w:t>
            </w:r>
          </w:p>
        </w:tc>
        <w:tc>
          <w:tcPr>
            <w:tcW w:type="dxa" w:w="26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HNR, CPP, jitter, shimmer, spectral tilt, H1–H2</w:t>
            </w:r>
          </w:p>
        </w:tc>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Stability, strain/effort cues, breath/phonation variation</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Vocal pathology, illness, dehydration, fatigue, creaky/breathy style, short segments</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Spectral</w:t>
            </w:r>
          </w:p>
        </w:tc>
        <w:tc>
          <w:tcPr>
            <w:tcW w:type="dxa" w:w="26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Alpha ratio, Hammarberg index, spectral slope, flux, centroid, MFCC summaries</w:t>
            </w:r>
          </w:p>
        </w:tc>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Timbre/energy distribution, change, articulation proxies</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Codec, denoising, microphone response, phoneme content</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Temporal</w:t>
            </w:r>
          </w:p>
        </w:tc>
        <w:tc>
          <w:tcPr>
            <w:tcW w:type="dxa" w:w="26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Voiced rate, articulation rate, pause count/duration, response latency</w:t>
            </w:r>
          </w:p>
        </w:tc>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Processing demand, focus continuity, restraint, recovery</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complexity, language, reading skill, interruption, deliberate pacing</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Formant/articulation</w:t>
            </w:r>
          </w:p>
        </w:tc>
        <w:tc>
          <w:tcPr>
            <w:tcW w:type="dxa" w:w="26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F1/F2/F3, bandwidth, vowel-space and stability measures</w:t>
            </w:r>
          </w:p>
        </w:tc>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Articulatory change, organization/effort support</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Phonetic content, accent, anatomy, tracker failure</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Rhythm</w:t>
            </w:r>
          </w:p>
        </w:tc>
        <w:tc>
          <w:tcPr>
            <w:tcW w:type="dxa" w:w="26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Syllabic timing, interval variability, phrase regularity</w:t>
            </w:r>
          </w:p>
        </w:tc>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continuity, flexibility</w:t>
            </w:r>
          </w:p>
        </w:tc>
        <w:tc>
          <w:tcPr>
            <w:tcW w:type="dxa" w:w="309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Language rhythm class, prompt/task, ASR/VAD errors</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Breath/onset proxies</w:t>
            </w:r>
          </w:p>
        </w:tc>
        <w:tc>
          <w:tcPr>
            <w:tcW w:type="dxa" w:w="26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Voicing onset, breath-group length, pause-breath timing</w:t>
            </w:r>
          </w:p>
        </w:tc>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Mobilization, effort cost, recovery support</w:t>
            </w:r>
          </w:p>
        </w:tc>
        <w:tc>
          <w:tcPr>
            <w:tcW w:type="dxa" w:w="309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Asthma/respiratory state, posture, speech task, noise</w:t>
            </w:r>
          </w:p>
        </w:tc>
      </w:tr>
    </w:tbl>
    <w:p>
      <w:pPr>
        <w:spacing w:after="20"/>
      </w:pPr>
    </w:p>
    <w:p>
      <w:pPr>
        <w:pStyle w:val="Heading2"/>
      </w:pPr>
      <w:r>
        <w:t>4.1 Extraction recommendation</w:t>
      </w:r>
    </w:p>
    <w:p>
      <w:pPr>
        <w:pStyle w:val="ListBullet"/>
      </w:pPr>
      <w:r>
        <w:t>Adopt a commercial-compatible implementation of the eGeMAPS v02 concepts or obtain the appropriate openSMILE commercial license; do not assume the research license permits a commercial product.</w:t>
      </w:r>
    </w:p>
    <w:p>
      <w:pPr>
        <w:pStyle w:val="ListBullet"/>
      </w:pPr>
      <w:r>
        <w:t>Use a validated Praat/Parselmouth pipeline for F0, formants, jitter, shimmer, HNR/CPP, with minimum voiced-duration and periodicity gates. Browser approximations must remain explicitly tagged as lower-reliability.</w:t>
      </w:r>
    </w:p>
    <w:p>
      <w:pPr>
        <w:pStyle w:val="ListBullet"/>
      </w:pPr>
      <w:r>
        <w:t>Store low-level descriptors and session/prompt functionals separately. Do not collapse all time behavior into one session average.</w:t>
      </w:r>
    </w:p>
    <w:p>
      <w:pPr>
        <w:pStyle w:val="ListBullet"/>
      </w:pPr>
      <w:r>
        <w:t>Retain canonical lossless audio only under explicit consent and retention policy; derived features should be independently deletable and privacy-classified.</w:t>
      </w:r>
    </w:p>
    <w:p>
      <w:pPr>
        <w:pStyle w:val="Heading1"/>
      </w:pPr>
      <w:r>
        <w:t>5. Shared dimension model</w:t>
      </w:r>
    </w:p>
    <w:p>
      <w:pPr>
        <w:pStyle w:val="Subtitle"/>
      </w:pPr>
      <w:r>
        <w:t>How evidence becomes a point without pretending one cue has one meaning</w:t>
      </w:r>
    </w:p>
    <w:p>
      <w:pPr>
        <w:pStyle w:val="Heading2"/>
      </w:pPr>
      <w:r>
        <w:t>5.1 Normalization</w:t>
      </w:r>
    </w:p>
    <w:p>
      <w:r>
        <w:t>For feature f, compute a robust change score only when the reference is compatible and trusted: zᶠ = clamp((xᶠ − medianᶠ_ref) / max(1.4826·MADᶠ_ref, εᶠ), −3, 3). If MAD is zero, the reference is missing, or versions/units/tasks are incompatible, the personal deviation is unresolved.</w:t>
      </w:r>
    </w:p>
    <w:p>
      <w:pPr>
        <w:pStyle w:val="Heading2"/>
      </w:pPr>
      <w:r>
        <w:t>5.2 Evidence-family aggregation</w:t>
      </w:r>
    </w:p>
    <w:p>
      <w:r>
        <w:t>Each dimension requires at least two independent evidence families. Closely related measurements from the same algorithmic family count once for independence. A weighted robust mean may propose a score, but contradiction and quality gates determine whether the score is publishable.</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Component</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Recommended v0.1 role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Direction score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Weighted signed evidence after baseline/context adjustment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Evidence coverage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Observed required families ÷ required families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Quality reliability</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Minimum or conservative aggregate of signal-quality factors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Agreement</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1 minus normalized conflict among independent evidence families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Baseline trust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Established 1.0; provisional ≤0.7; within-session ≤0.6; absent 0</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Confidence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Calibrated function of coverage, quality, agreement, baseline trust, and boundary distance</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FF8E8"/>
            <w:tcMar>
              <w:top w:w="130" w:type="dxa"/>
              <w:start w:w="160" w:type="dxa"/>
              <w:bottom w:w="130" w:type="dxa"/>
              <w:end w:w="160" w:type="dxa"/>
            </w:tcMar>
          </w:tcPr>
          <w:p>
            <w:pPr>
              <w:spacing w:after="40"/>
            </w:pPr>
            <w:r/>
            <w:r>
              <w:rPr>
                <w:rFonts w:ascii="Liberation Sans" w:hAnsi="Liberation Sans"/>
                <w:b/>
                <w:color w:val="8A6815"/>
                <w:sz w:val="16"/>
              </w:rPr>
              <w:t>DO NOT HARD-CODE 0.50 FOREVER</w:t>
            </w:r>
          </w:p>
          <w:p>
            <w:pPr>
              <w:spacing w:after="0"/>
            </w:pPr>
            <w:r>
              <w:rPr>
                <w:rFonts w:ascii="Liberation Sans" w:hAnsi="Liberation Sans"/>
                <w:color w:val="14212B"/>
                <w:sz w:val="19"/>
              </w:rPr>
              <w:t>All numeric weights and thresholds in v0.1 are engineering priors, not scientific constants. They must be calibrated on SoulScope data with preregistered outcomes and frozen evaluation sets.</w:t>
            </w:r>
          </w:p>
        </w:tc>
      </w:tr>
    </w:tbl>
    <w:p>
      <w:pPr>
        <w:spacing w:after="20"/>
      </w:pPr>
    </w:p>
    <w:p>
      <w:r>
        <w:br w:type="page"/>
      </w:r>
    </w:p>
    <w:p>
      <w:pPr>
        <w:pStyle w:val="Heading1"/>
      </w:pPr>
      <w:r>
        <w:t>6. COG — Cognitive Form</w:t>
      </w:r>
    </w:p>
    <w:p>
      <w:pPr>
        <w:pStyle w:val="Subtitle"/>
      </w:pPr>
      <w:r>
        <w:t>How current mental work appears organized, explored, sustained, and carried</w:t>
      </w:r>
    </w:p>
    <w:p>
      <w:r>
        <w:t>Cognitive Form describes the shape of processing visible in speech—not intelligence, thought content, truthfulness, or diagnosis. Its geometry distinguishes structured continuity from searching, demand, and adaptive exploration.</w:t>
      </w:r>
    </w:p>
    <w:p>
      <w:pPr>
        <w:pStyle w:val="Heading3"/>
      </w:pPr>
      <w:r>
        <w:t>COG-P1 — Organization</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Consistency and coherent temporal/prosodic structure across voiced segments and prompts.</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More stable rhythm, contour organization, and phrase structure relative to compatible reference.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Less consistent organization or insufficient stable structure.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Clear sequencing, deliberate pacing, coherent construction.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Rigidity, over-control, or structure maintained through effort.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Rhythm consistency; phrase timing; F0 contour continuity; formant stability; pause placement.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disfluency without task complexity; unstable tracking; strong prompt-to-prompt inconsistency.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Reading versus spontaneous speech; language rhythm; rehearsed material; ASR/VAD error.</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families: temporal/rhythm plus prosodic or articulation evidence; ≥12 s valid voiced speech across ≥2 prompts.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Reinforced by Focus Continuity; can oppose Exploration; may compensate for Processing Demand.</w:t>
            </w:r>
          </w:p>
        </w:tc>
      </w:tr>
    </w:tbl>
    <w:p>
      <w:pPr>
        <w:spacing w:after="20"/>
      </w:pPr>
    </w:p>
    <w:p>
      <w:pPr>
        <w:pStyle w:val="Heading3"/>
      </w:pPr>
      <w:r>
        <w:t>COG-P2 — Exploration</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Variation and search-like movement that may reflect trying alternatives, elaborating, or reorganizing.</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Greater contour, timing, lexical-prosodic, or response-path variation without quality failure.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Narrower variation or a more direct/repeated response path.</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Curiosity, flexibility, generative thought, adaptive searching.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Scattered searching, indecision, or difficulty settling.</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Prosodic variability; phrase-pattern variation; response latency distribution; pause placement shifts; spectral flux.</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Stable directness across prompts; variation explained by noise, topic, or expressive style.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Open-ended prompt; storytelling; multilingual speech; attention interruption; novelty.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families across ≥2 prompts; must separate within-prompt variability from between-prompt task effects.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Can balance Organization; high Exploration with high Demand may indicate search cost.</w:t>
            </w:r>
          </w:p>
        </w:tc>
      </w:tr>
    </w:tbl>
    <w:p>
      <w:pPr>
        <w:spacing w:after="20"/>
      </w:pPr>
    </w:p>
    <w:p>
      <w:pPr>
        <w:pStyle w:val="Heading3"/>
      </w:pPr>
      <w:r>
        <w:t>COG-P3 — Focus Continuity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Persistence of a coherent vocal-temporal pattern through a response.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Sustained rate, phrase structure, and prosodic direction with few unexplained breaks.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More interruption, drift, or variable continuity.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Steady attention, persistence, absorbed engagement.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Tunnel focus, perseveration, or fragile concentration.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Rate continuity; pause topology; contour drift; within-response rhythm; prompt completion.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organization with short valid speech; deliberate contemplative pauses; external interruptions.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difficulty; reading; fatigue; speech/language disorder; environmental interruption.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temporal/prosodic families and ≥3 analyzable phrases; prompt completion metadata required.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Reinforces Organization; high with low Flexibility elsewhere may become constraint.</w:t>
            </w:r>
          </w:p>
        </w:tc>
      </w:tr>
    </w:tbl>
    <w:p>
      <w:pPr>
        <w:spacing w:after="20"/>
      </w:pPr>
    </w:p>
    <w:p>
      <w:pPr>
        <w:pStyle w:val="Heading3"/>
      </w:pPr>
      <w:r>
        <w:t>COG-P4 — Processing Demand</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Evidence that producing and organizing the response currently requires additional work.</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Convergent increases in pause/latency, effort or instability relative to self/task reference.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Lower observable demand or unresolved demand.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Careful thought, meaningful complexity, deliberate consideration.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Overload, friction, reduced efficiency, effortful compensation.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Response latency; pause load; rate change; vocal-effort proxies; instability; segment-to-segment recovery.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Fast fluent response with stable quality; demand explained by complex prompt or unfamiliar language.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complexity; sleep; illness; medication; pain; second language; vocal fatigue.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At least three families, one temporal and one voice-quality/effort family; compatible prompt reference strongly preferred.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Can be buffered by Organization and Capacity; amplifies unstable Exploration.</w:t>
            </w:r>
          </w:p>
        </w:tc>
      </w:tr>
    </w:tbl>
    <w:p>
      <w:pPr>
        <w:spacing w:after="20"/>
      </w:pPr>
    </w:p>
    <w:p>
      <w:pPr>
        <w:pStyle w:val="Heading2"/>
      </w:pPr>
      <w:r>
        <w:t>6.1 Cognitive geometry</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Geometry</w:t>
            </w:r>
          </w:p>
        </w:tc>
        <w:tc>
          <w:tcPr>
            <w:tcW w:type="dxa" w:w="676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Interpretation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 Exploration</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 productive tension, not a binary opposite. Balance suggests structured flexibility; dominance describes method.</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Focus Continuity ↔ Processing Demand</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Continuity can remain high while demand rises, producing deliberate effort rather than disorganization.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 Focus</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Reinforcing structure; inspect whether Capacity shows ease or cost.</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Exploration + Demand</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Searching under load; distinguish generative exploration from fragmentation using continuity and contradiction.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All high</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Complex, engaged, highly managed processing; confidence depends on Capacity and Regulation.</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All low</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Could reflect ease, disengagement, insufficient speech, flat task demand, or measurement failure; never label automatically.</w:t>
            </w:r>
          </w:p>
        </w:tc>
      </w:tr>
    </w:tbl>
    <w:p>
      <w:pPr>
        <w:spacing w:after="20"/>
      </w:pPr>
    </w:p>
    <w:p>
      <w:pPr>
        <w:pStyle w:val="Heading2"/>
      </w:pPr>
      <w:r>
        <w:t>6.2 Seed state registry</w:t>
      </w:r>
    </w:p>
    <w:p>
      <w:pPr>
        <w:pStyle w:val="Heading3"/>
      </w:pPr>
      <w:r>
        <w:t>COG-017 — Deliberate Builder</w:t>
      </w:r>
    </w:p>
    <w:p>
      <w:r>
        <w:rPr>
          <w:i/>
          <w:color w:val="5E6B75"/>
        </w:rPr>
        <w:t>Thought appears to be assembled carefully, with structure carrying meaningful demand.</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high; Focus Continuity moderate–high; Processing Demand moderate–high; Exploration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 structured processing style is helping the person work through something that is not effortless.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Care, persistence, sequencing, considered response.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Slowness, over-management, fatigue from holding the structure.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Taking time to choose words; building one point at a time; staying organized during a difficult topic.</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Complexity, responsibility, uncertainty, or the need to avoid mistakes.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the structure feels supportive or expensive.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becomes easier if you do not have to get it exactly right?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Temporal organization + continuity + elevated demand evidence across ≥2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quality; demand only from prompt complexity; strong spontaneous ease in other prompts.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COG-014 Structured Ease; COG-018 Focused Load; blend when demand sits near boundary.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Dense but smooth inward contours; directional flow; moderate asymmetry; no chaotic spikes.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Do not assign if demand has fewer than three independent families or baseline is absent.</w:t>
            </w:r>
          </w:p>
        </w:tc>
      </w:tr>
    </w:tbl>
    <w:p>
      <w:pPr>
        <w:spacing w:after="20"/>
      </w:pPr>
    </w:p>
    <w:p>
      <w:pPr>
        <w:pStyle w:val="Heading3"/>
      </w:pPr>
      <w:r>
        <w:t>COG-014 — Structured Ease</w:t>
      </w:r>
    </w:p>
    <w:p>
      <w:r>
        <w:rPr>
          <w:i/>
          <w:color w:val="5E6B75"/>
        </w:rPr>
        <w:t>Processing appears organized and continuous without strong signs of extra effort.</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high; Focus high; Demand low; Exploration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Clear, efficient structure with available room.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Clarity, reliability, follow-through.</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Routine rigidity or under-exploration if repeated across contexts.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Direct answers, steady pacing, clean transitions.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Familiarity, preparation, confidence in the task.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ease remains when the topic changes.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becomes possible when you trust the structure that is already here?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 continuity/organization with no convergent demand evidence.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Short rehearsed sample; suppressed variability from task.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COG-017 Deliberate Builder; COG-011 Open Architect.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Smooth symmetric contours, lower density, stable center.</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Requires at least two prompts with different cognitive demands.</w:t>
            </w:r>
          </w:p>
        </w:tc>
      </w:tr>
    </w:tbl>
    <w:p>
      <w:pPr>
        <w:spacing w:after="20"/>
      </w:pPr>
    </w:p>
    <w:p>
      <w:pPr>
        <w:pStyle w:val="Heading3"/>
      </w:pPr>
      <w:r>
        <w:t>COG-011 — Open Architect</w:t>
      </w:r>
    </w:p>
    <w:p>
      <w:r>
        <w:rPr>
          <w:i/>
          <w:color w:val="5E6B75"/>
        </w:rPr>
        <w:t>Structure and exploration are working together rather than competing.</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Organization moderate–high; Exploration moderate–high; Focus moderate; Demand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Flexible thought with enough structure to stay coherent.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Creativity, reframing, synthesis.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Over-expansion or too many branches if focus drops.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Connecting ideas, adjusting language, finding multiple pathways.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Curiosity or active integration.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Which possibilities deserve structure now?</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Where would one clear decision create more room?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Prosodic/rhythmic variety plus maintained organization across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Variation driven only by topic or noise.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COG-014 Structured Ease; COG-020 Searching Load.</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Balanced multi-lobed contours with open spacing.</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Exploration must be replicated beyond one expressive prompt.</w:t>
            </w:r>
          </w:p>
        </w:tc>
      </w:tr>
    </w:tbl>
    <w:p>
      <w:pPr>
        <w:spacing w:after="20"/>
      </w:pPr>
    </w:p>
    <w:p>
      <w:pPr>
        <w:pStyle w:val="Heading3"/>
      </w:pPr>
      <w:r>
        <w:t>COG-020 — Searching Load</w:t>
      </w:r>
    </w:p>
    <w:p>
      <w:r>
        <w:rPr>
          <w:i/>
          <w:color w:val="5E6B75"/>
        </w:rPr>
        <w:t>The system appears to be exploring while carrying noticeable processing demand.</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Exploration high; Demand high; Organization low–moderate; Focus variable.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Active search has not yet settled into a stable structure.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Possibility generation, sensitivity to complexity.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Mental friction, indecision, fragmentation risk.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Revisions, pauses, changing pace, partial restarts.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Novelty, unresolved choice, competing priorities.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the searching is useful discovery or repeated looping.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would make the next step smaller and more concrete?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Multiple search cues plus demand cues and reduced continuity.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Second-language speech; difficult prompt; interruption.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COG-011 Open Architect; COG-017 Deliberate Builder.</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Irregular branching contours; density rises with demand; reduced symmetry.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Narrative must include at least one non-emotional alternative explanation.</w:t>
            </w:r>
          </w:p>
        </w:tc>
      </w:tr>
    </w:tbl>
    <w:p>
      <w:pPr>
        <w:spacing w:after="20"/>
      </w:pPr>
    </w:p>
    <w:p>
      <w:r>
        <w:br w:type="page"/>
      </w:r>
    </w:p>
    <w:p>
      <w:pPr>
        <w:pStyle w:val="Heading1"/>
      </w:pPr>
      <w:r>
        <w:t>7. REG — Regulatory Motion</w:t>
      </w:r>
    </w:p>
    <w:p>
      <w:pPr>
        <w:pStyle w:val="Subtitle"/>
      </w:pPr>
      <w:r>
        <w:t>How activation changes, steadies, adapts, and returns</w:t>
      </w:r>
    </w:p>
    <w:p>
      <w:r>
        <w:t>Regulatory Motion describes temporal dynamics. It does not claim direct access to the autonomic nervous system. The strongest interpretation comes from within-scan change and repeated personal scans, not a single static score.</w:t>
      </w:r>
    </w:p>
    <w:p>
      <w:pPr>
        <w:pStyle w:val="Heading3"/>
      </w:pPr>
      <w:r>
        <w:t>REG-P1 — Activation</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Degree of observable vocal mobilization or arousal-related cueing.</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More energy, pitch/intensity movement, rate or onset mobilization relative to reference.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Lower mobilization, quieter/narrower production, or unresolved activation.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Engagement, readiness, enthusiasm, decisive momentum.</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Agitation, urgency, strain, or over-mobilization.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F0 level/range; loudness; rate; spectral energy; onset behavior.</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energy distribution; slower rate; downward within-scan movement.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Microphone gain; cultural style; hearing environment; stimulant; exercise; excitement.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Three families, including energy and prosody; mic-level calibration required.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Balanced by Stability and Recovery; can amplify Expression.</w:t>
            </w:r>
          </w:p>
        </w:tc>
      </w:tr>
    </w:tbl>
    <w:p>
      <w:pPr>
        <w:spacing w:after="20"/>
      </w:pPr>
    </w:p>
    <w:p>
      <w:pPr>
        <w:pStyle w:val="Heading3"/>
      </w:pPr>
      <w:r>
        <w:t>REG-P2 — Stability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Consistency of voice production and timing within comparable segments.</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Lower unexplained perturbation and more consistent temporal/prosodic structure.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Greater fluctuation or insufficient reliable periodic speech.</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Grounding, steadiness, tolerance of activation.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Rigidity, suppression, or fragile control if maintained through cost.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CPP/HNR; jitter/shimmer with strict gates; intensity variability; timing consistency.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Abrupt unprompted shifts; poor periodicity; instability across prompts.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Voice disorder; illness; dehydration; age; vocal fry; device processing.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independent families; sustained vowel plus connected speech preferred; adequate periodic frames.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Buffers Activation; high Stability with low Flexibility can constrain adaptation.</w:t>
            </w:r>
          </w:p>
        </w:tc>
      </w:tr>
    </w:tbl>
    <w:p>
      <w:pPr>
        <w:spacing w:after="20"/>
      </w:pPr>
    </w:p>
    <w:p>
      <w:pPr>
        <w:pStyle w:val="Heading3"/>
      </w:pPr>
      <w:r>
        <w:t>REG-P3 — Flexibility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Capacity for graded change across prompts or moments without loss of coherence.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Context-appropriate shifts in prosody, timing, and intensity with preserved quality.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Restricted change, chaotic change, or insufficient task variation.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Adaptation, responsiveness, emotional range.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Lability if change is large and incoherent; inflexibility if movement is absent.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Prompt-to-prompt modulation; recovery slopes; contour/intensity range; preserved HNR/CPP.</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All shifts explained by prompt acoustics; change accompanied by quality collapse.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design; acting; code-switching; social masking; device gain.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At least three prompt contexts and two change families; coherence gate required.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Transforms Activation; supports Recovery; can destabilize if Stability is low.</w:t>
            </w:r>
          </w:p>
        </w:tc>
      </w:tr>
    </w:tbl>
    <w:p>
      <w:pPr>
        <w:spacing w:after="20"/>
      </w:pPr>
    </w:p>
    <w:p>
      <w:pPr>
        <w:pStyle w:val="Heading3"/>
      </w:pPr>
      <w:r>
        <w:t>REG-P4 — Recovery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Observable return toward a trusted reference or reduction of activation/effort after challenge.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Directional movement toward baseline across ordered segments or repeated scans.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Little return, movement away, or no valid challenge/recovery contrast.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Recalibration, release, adaptive settling.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Slow return or unresolved carryover.</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F0/intensity/rate recovery slopes; pause normalization; voice-quality stabilization.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No initial perturbation; prompt order confound; fatigue worsening over time.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Habituation; practice; prompt difficulty; microphone drift; deliberate calming.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Ordered challenge and recovery prompts; ≥3 timepoints; baseline trust ≥ provisional.</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Reinforced by Flexibility and Capacity; can protect high Activation.</w:t>
            </w:r>
          </w:p>
        </w:tc>
      </w:tr>
    </w:tbl>
    <w:p>
      <w:pPr>
        <w:spacing w:after="20"/>
      </w:pPr>
    </w:p>
    <w:p>
      <w:pPr>
        <w:pStyle w:val="Heading2"/>
      </w:pPr>
      <w:r>
        <w:t>7.1 Regulatory geometry</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Geometry</w:t>
            </w:r>
          </w:p>
        </w:tc>
        <w:tc>
          <w:tcPr>
            <w:tcW w:type="dxa" w:w="676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Interpretation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 Stability</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Mobilized but contained; may be focused energy rather than strain.</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Activation + low Stability</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Volatile mobilization; check quality, illness, and expression before interpreting.</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Flexibility + Recovery</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Adaptive movement and return; strongest evidence of regulatory responsiveness.</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Stability + low Flexibility</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Stillness that may be grounding or constraining; Capacity and Expression decide.</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All high</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Responsive mobilization with return; may reflect dynamic regulation.</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All low</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movement, depleted capacity, flat task, guarded production, or weak evidence.</w:t>
            </w:r>
          </w:p>
        </w:tc>
      </w:tr>
    </w:tbl>
    <w:p>
      <w:pPr>
        <w:spacing w:after="20"/>
      </w:pPr>
    </w:p>
    <w:p>
      <w:pPr>
        <w:pStyle w:val="Heading3"/>
      </w:pPr>
      <w:r>
        <w:t>REG-022 — Adaptive Recovery</w:t>
      </w:r>
    </w:p>
    <w:p>
      <w:r>
        <w:rPr>
          <w:i/>
          <w:color w:val="5E6B75"/>
        </w:rPr>
        <w:t>The scan shows movement through activation with evidence of return rather than simple stillness.</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moderate–high; Flexibility high; Recovery high; Stability moderate–high.</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system appears able to mobilize, adjust, and come back toward its reference.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Responsiveness, resilience, usable range.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Recovery may still carry a resource cost; one successful return is not a trait.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Energy rises when needed and settles across later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 challenge was met without remaining fully captured by it.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What helped the shift occur.</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conditions make it easier to return to yourself?</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Ordered multi-prompt slopes across ≥3 families with preserved quality.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Prompt-order habituation; microphone drift; scripted calming instruction.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REG-019 Steady Mobilization; REG-024 Returning Capacity.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Contours expand then resolve inward; cyan reappears; reduced edge roughness.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Requires temporal evidence; never infer from one session average.</w:t>
            </w:r>
          </w:p>
        </w:tc>
      </w:tr>
    </w:tbl>
    <w:p>
      <w:pPr>
        <w:spacing w:after="20"/>
      </w:pPr>
    </w:p>
    <w:p>
      <w:pPr>
        <w:pStyle w:val="Heading3"/>
      </w:pPr>
      <w:r>
        <w:t>REG-019 — Steady Mobilization</w:t>
      </w:r>
    </w:p>
    <w:p>
      <w:r>
        <w:rPr>
          <w:i/>
          <w:color w:val="5E6B75"/>
        </w:rPr>
        <w:t>Activation is present while vocal organization remains comparatively steady.</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high; Stability high; Flexibility moderate; Recovery unknown or 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Energy appears contained and directed.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Readiness, focus, persistence.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Sustained tension if recovery remains absent.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Speaking with force or pace without major fragmentation.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Engagement, urgency, or responsibility.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steadiness feels energized or effortful.</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Where can you let intensity do less work?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across ≥3 families plus stability across ≥2.</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Mic gain; practiced performance; high demand from task.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REG-022 Adaptive Recovery; REG-026 Held Activation.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Expanded but regular rings; high luminosity; controlled asymmetry.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If Capacity cost is high, narrative must name resource expense.</w:t>
            </w:r>
          </w:p>
        </w:tc>
      </w:tr>
    </w:tbl>
    <w:p>
      <w:pPr>
        <w:spacing w:after="20"/>
      </w:pPr>
    </w:p>
    <w:p>
      <w:pPr>
        <w:pStyle w:val="Heading3"/>
      </w:pPr>
      <w:r>
        <w:t>REG-024 — Returning Capacity</w:t>
      </w:r>
    </w:p>
    <w:p>
      <w:r>
        <w:rPr>
          <w:i/>
          <w:color w:val="5E6B75"/>
        </w:rPr>
        <w:t>The strongest signal is a gradual movement toward steadier production.</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Recovery high; Activation decreasing; Stability increasing; Flexibility 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Return is underway, even if the starting point was strained.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Recalibration, responsiveness, regained room.</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Temporary fragility; return may be incomplete.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Later responses become steadier, easier, or less effortful.</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Rest, safety, task familiarity, or release.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direction of movement, not just the endpoint.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changed between the beginning and the end?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Reliable within-scan improvement across temporal and voice-quality families.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Practice effect; warm-up; initial mic adjustment.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REG-022 Adaptive Recovery; CAP-021 Rebuilding Reserve interaction.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Outer roughness softens toward center; increasing spacing and coherence.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State is transitional and should decay unless repeated.</w:t>
            </w:r>
          </w:p>
        </w:tc>
      </w:tr>
    </w:tbl>
    <w:p>
      <w:pPr>
        <w:spacing w:after="20"/>
      </w:pPr>
    </w:p>
    <w:p>
      <w:pPr>
        <w:pStyle w:val="Heading3"/>
      </w:pPr>
      <w:r>
        <w:t>REG-026 — Held Activation</w:t>
      </w:r>
    </w:p>
    <w:p>
      <w:r>
        <w:rPr>
          <w:i/>
          <w:color w:val="5E6B75"/>
        </w:rPr>
        <w:t>Energy remains elevated while return cues are limited or uncertain.</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Activation high; Recovery low; Stability moderate–high; Flexibility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Mobilization appears sustained and contained rather than resolved.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Endurance, task commitment, controlled intensity.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Carryover, constraint, or delayed recovery.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Maintaining pace or tone across the scan without much release.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Urgency, vigilance, performance demand, or excitement.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containment is chosen or costly.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would signal that the task is complete?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Persistent activation evidence plus absent recovery across ordered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No recovery prompt; session too short; stimulant or recent exercise.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REG-019 Steady Mobilization; REG-022 Adaptive Recovery.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Bright outer contour remains expanded; narrow return gradient.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Suppress if the protocol did not include a valid recovery opportunity.</w:t>
            </w:r>
          </w:p>
        </w:tc>
      </w:tr>
    </w:tbl>
    <w:p>
      <w:pPr>
        <w:spacing w:after="20"/>
      </w:pPr>
    </w:p>
    <w:p>
      <w:r>
        <w:br w:type="page"/>
      </w:r>
    </w:p>
    <w:p>
      <w:pPr>
        <w:pStyle w:val="Heading1"/>
      </w:pPr>
      <w:r>
        <w:t>8. CAP — Available Capacity</w:t>
      </w:r>
    </w:p>
    <w:p>
      <w:pPr>
        <w:pStyle w:val="Subtitle"/>
      </w:pPr>
      <w:r>
        <w:t>What appears available, what is being spent, and whether the current pattern looks sustainable</w:t>
      </w:r>
    </w:p>
    <w:p>
      <w:r>
        <w:t>Available Capacity is deliberately conservative. Voice cannot directly measure metabolic reserves, organ health, burnout, or physical vitality. This constellation describes observable mobilization and apparent effort economics within the scan.</w:t>
      </w:r>
    </w:p>
    <w:p>
      <w:pPr>
        <w:pStyle w:val="Heading3"/>
      </w:pPr>
      <w:r>
        <w:t>CAP-P1 — Mobilization</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Observable ability to bring vocal energy and engagement into the task.</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Adequate or increased loudness/energy, voiced continuity, onset and prosodic engagement.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Reduced mobilization or insufficient participation.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Readiness, presence, usable energy.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Overdrive or compensatory push.</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Energy distribution; voiced proportion; onset; rate; prosodic engagement.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voiced energy, long unfilled pauses, declining engagement.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Mic distance/gain; quiet environment; cultural style; vocal rest; illness.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Energy calibration plus two other families and task-compliance evidence.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Must be read with Effort Cost and Sustainability.</w:t>
            </w:r>
          </w:p>
        </w:tc>
      </w:tr>
    </w:tbl>
    <w:p>
      <w:pPr>
        <w:spacing w:after="20"/>
      </w:pPr>
    </w:p>
    <w:p>
      <w:pPr>
        <w:pStyle w:val="Heading3"/>
      </w:pPr>
      <w:r>
        <w:t>CAP-P2 — Reserve</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Evidence of additional room beyond the immediate demand, inferred from response to varied task load.</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Performance remains coherent as demand changes, without disproportionate quality or timing cost.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Small demand changes produce marked cost, or reserve cannot be tested.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Buffer, adaptability, spare room.</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Thin margin, compensation, vulnerability to added demand.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Task-response slopes; stability under increased complexity; recovery; variability capacity.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Stable output only under one easy prompt; worsening quality with demand.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mismatch; motivation; unfamiliarity; language; pain; medication.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At least two task-demand levels and ≥3 evidence families; personal/task reference required.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Buffers Processing Demand and Activation; supports Openness.</w:t>
            </w:r>
          </w:p>
        </w:tc>
      </w:tr>
    </w:tbl>
    <w:p>
      <w:pPr>
        <w:spacing w:after="20"/>
      </w:pPr>
    </w:p>
    <w:p>
      <w:pPr>
        <w:pStyle w:val="Heading3"/>
      </w:pPr>
      <w:r>
        <w:t>CAP-P3 — Effort Cost</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Apparent vocal and temporal cost required to produce the observed performance.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Convergent effort, pause, phonatory-strain, or compensation cues.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Lower observable cost or unknown cost.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Intentional investment, careful work, sustained commitment.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 inefficiency, depletion risk, costly compensation.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CPP/HNR and spectral tilt; intensity-pressure proxies; pause/latency; rate change; instability.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Effort cues absent; changes explained by voice condition or prompt.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Vocal pathology; dehydration; asthma; recent talking/singing; emotion; room/noise.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Three families; voice-quality feature reliability gate; health/context self-report optional but valuable.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Opposes Sustainability when persistent; may explain high Organization or Restraint.</w:t>
            </w:r>
          </w:p>
        </w:tc>
      </w:tr>
    </w:tbl>
    <w:p>
      <w:pPr>
        <w:spacing w:after="20"/>
      </w:pPr>
    </w:p>
    <w:p>
      <w:pPr>
        <w:pStyle w:val="Heading3"/>
      </w:pPr>
      <w:r>
        <w:t>CAP-P4 — Sustainability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Whether output remains stable across time without accumulating cost.</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Limited adverse drift in quality, timing, energy, and continuity across the session.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Progressive worsening, or session too short to assess.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Endurance, pacing, maintainable effort.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Unsustainable output, fatigue accumulation, diminishing return.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Time-on-task slopes; late-versus-early quality; pause/rate drift; recovery.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Warm-up improvement; topic change; mic movement.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Session length; prompt order; learning/warm-up; hydration; device gain drift; background noise change.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≥45 s valid voiced speech, ≥3 ordered prompts, and no device drift.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Reinforced by Reserve and Recovery; constrained by Effort Cost.</w:t>
            </w:r>
          </w:p>
        </w:tc>
      </w:tr>
    </w:tbl>
    <w:p>
      <w:pPr>
        <w:spacing w:after="20"/>
      </w:pPr>
    </w:p>
    <w:p>
      <w:pPr>
        <w:pStyle w:val="Heading2"/>
      </w:pPr>
      <w:r>
        <w:t>8.1 Capacity geometry</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Geometry</w:t>
            </w:r>
          </w:p>
        </w:tc>
        <w:tc>
          <w:tcPr>
            <w:tcW w:type="dxa" w:w="676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Interpretation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Mobilization + Reserve</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Available and deployable capacity.</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Mobilization + high Effort Cost</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Functioning through push; output may look strong while resources are expensive.</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Reserve + Sustainability</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Buffer and pacing; strongest capacity configuration.</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Sustainability + low Mobilization</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Low-demand conservation or under-engagement; not automatically depletion.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All high</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 output with high cost; Reserve and longitudinal recovery determine whether this is adaptive.</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All low</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Insufficient engagement, depleted/ill state, quiet style, poor capture, or invalid protocol—usually unresolved.</w:t>
            </w:r>
          </w:p>
        </w:tc>
      </w:tr>
    </w:tbl>
    <w:p>
      <w:pPr>
        <w:spacing w:after="20"/>
      </w:pPr>
    </w:p>
    <w:p>
      <w:pPr>
        <w:pStyle w:val="Heading3"/>
      </w:pPr>
      <w:r>
        <w:t>CAP-012 — Available Reserve</w:t>
      </w:r>
    </w:p>
    <w:p>
      <w:r>
        <w:rPr>
          <w:i/>
          <w:color w:val="5E6B75"/>
        </w:rPr>
        <w:t>Current output appears supported by room beyond the immediate task.</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Reserve high; Sustainability high; Mobilization moderate–high; Effort Cost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person appears able to engage without using all available room.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Pacing, adaptability, capacity for added demand.</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Reserve can be context-specific and temporary.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Responding with energy while remaining stable across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Rest, preparation, familiarity, or supportive conditions.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What currently protects this room.</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is worth doing while capacity is available—and what is worth preserving?</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Demand-response and time-on-task evidence with stable quality.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Protocol too easy to test reserve; mic compression masking effort.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CAP-016 Efficient Engagement; CAP-021 Rebuilding Reserve.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Open contours, wider spacing, smooth outer boundary.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Requires at least two demand levels; otherwise use CAP-016.</w:t>
            </w:r>
          </w:p>
        </w:tc>
      </w:tr>
    </w:tbl>
    <w:p>
      <w:pPr>
        <w:spacing w:after="20"/>
      </w:pPr>
    </w:p>
    <w:p>
      <w:pPr>
        <w:pStyle w:val="Heading3"/>
      </w:pPr>
      <w:r>
        <w:t>CAP-016 — Efficient Engagement</w:t>
      </w:r>
    </w:p>
    <w:p>
      <w:r>
        <w:rPr>
          <w:i/>
          <w:color w:val="5E6B75"/>
        </w:rPr>
        <w:t>The scan shows useful mobilization with comparatively low observable cost.</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Mobilization high; Effort Cost low; Sustainability high; Reserve unknown–moderate.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Energy is reaching the task efficiently.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Presence, momentum, clear deployment.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May be short-lived if reserve is untested.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Engaged speech with stable timing and voice quality.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Interest, clarity, or a well-matched task.</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Efficiency is not the same as unlimited capacity.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Where does this ease come from?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Energy plus stable quality and low demand evidence.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Short sample; easy/rehearsed prompt.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CAP-012 Available Reserve; CAP-018 Costly Output.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Bright, clean outer contour; moderate density; low roughness.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Do not claim reserve without demand-contrast evidence.</w:t>
            </w:r>
          </w:p>
        </w:tc>
      </w:tr>
    </w:tbl>
    <w:p>
      <w:pPr>
        <w:spacing w:after="20"/>
      </w:pPr>
    </w:p>
    <w:p>
      <w:pPr>
        <w:pStyle w:val="Heading3"/>
      </w:pPr>
      <w:r>
        <w:t>CAP-018 — Costly Output</w:t>
      </w:r>
    </w:p>
    <w:p>
      <w:r>
        <w:rPr>
          <w:i/>
          <w:color w:val="5E6B75"/>
        </w:rPr>
        <w:t>Functioning remains visible, but the way it is being produced appears comparatively expensive.</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Mobilization moderate–high; Effort Cost high; Sustainability low–moderate; Reserve low/unknown.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Performance may be held through extra effort.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Determination, commitment, capacity to compensate.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Fatigue, reduced margin, diminishing return.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Keeping pace or structure while pauses, strain, or drift increase.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demand, illness, vocal fatigue, emotional intensity, or limited rest.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difference between capability and cost.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are you proving you can carry that you no longer need to carry alone?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Three cost families plus maintained output and late-session drift.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Voice condition or recording artifact; difficult prompt.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CAP-016 Efficient Engagement; CAP-021 Rebuilding Reserve.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Dense outer layers, compressed spacing, localized roughness.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Narrative must present non-emotional confounds; never call burnout.</w:t>
            </w:r>
          </w:p>
        </w:tc>
      </w:tr>
    </w:tbl>
    <w:p>
      <w:pPr>
        <w:spacing w:after="20"/>
      </w:pPr>
    </w:p>
    <w:p>
      <w:pPr>
        <w:pStyle w:val="Heading3"/>
      </w:pPr>
      <w:r>
        <w:t>CAP-021 — Rebuilding Reserve</w:t>
      </w:r>
    </w:p>
    <w:p>
      <w:r>
        <w:rPr>
          <w:i/>
          <w:color w:val="5E6B75"/>
        </w:rPr>
        <w:t>Capacity appears limited but is moving in a more sustainable direction.</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Reserve low–moderate; Sustainability improving; Effort Cost decreasing; Mobilization 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scan suggests return of room rather than full availability.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Recalibration, pacing, responsiveness.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Still-limited margin; improvement may be fragile.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Later prompts require less effort or show steadier energy.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Rest, familiarity, relief, or successful regulation.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direction of change deserves more weight than the absolute score.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is helping you come back online?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Improving time slopes in cost, quality, and timing; REG recovery support.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Warm-up or mic adjustment.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CAP-012 Available Reserve; CAP-018 Costly Output.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Contours open progressively; center brightens; uncertainty remains at edge.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Transitional state; requires replication or valid within-scan ordering.</w:t>
            </w:r>
          </w:p>
        </w:tc>
      </w:tr>
    </w:tbl>
    <w:p>
      <w:pPr>
        <w:spacing w:after="20"/>
      </w:pPr>
    </w:p>
    <w:p>
      <w:r>
        <w:br w:type="page"/>
      </w:r>
    </w:p>
    <w:p>
      <w:pPr>
        <w:pStyle w:val="Heading1"/>
      </w:pPr>
      <w:r>
        <w:t>9. EXP — Expressive Interface</w:t>
      </w:r>
    </w:p>
    <w:p>
      <w:pPr>
        <w:pStyle w:val="Subtitle"/>
      </w:pPr>
      <w:r>
        <w:t>How inner activity is carried into outward vocal expression</w:t>
      </w:r>
    </w:p>
    <w:p>
      <w:r>
        <w:t>Expressive Interface describes observable expressive behavior. It does not infer honesty, hidden emotion, attachment style, social intent, or personality. Openness and restraint can both be adaptive; context and cost decide the interpretation.</w:t>
      </w:r>
    </w:p>
    <w:p>
      <w:pPr>
        <w:pStyle w:val="Heading3"/>
      </w:pPr>
      <w:r>
        <w:t>EXP-P1 — Range</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Breadth of context-appropriate prosodic, intensity, timing, and timbral variation.</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Wider usable modulation with preserved signal quality.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Narrower modulation or insufficient varied prompts.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Nuance, emotional/communicative bandwidth, responsiveness.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Volatility if incoherent; flattening if range is restricted.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F0/intensity ranges; spectral flux; timing variation; prompt modulation.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Change explained by mic, acting, or prompt alone.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Culture; language; gender norms; neurotype; masking; professional voice use.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Three prompt types and two variation families; coherence gate.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Supports Openness and Flexibility; can coexist with Restraint.</w:t>
            </w:r>
          </w:p>
        </w:tc>
      </w:tr>
    </w:tbl>
    <w:p>
      <w:pPr>
        <w:spacing w:after="20"/>
      </w:pPr>
    </w:p>
    <w:p>
      <w:pPr>
        <w:pStyle w:val="Heading3"/>
      </w:pPr>
      <w:r>
        <w:t>EXP-P2 — Openness</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Observable willingness or ease in allowing variation and continuity into the response.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Sustained voiced participation, flexible modulation, lower protective interruption relative to self/task reference.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More guarded, brief, interrupted, or constrained expression—or unknown.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Authentic-seeming engagement, communication, access to range.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Overexposure or reduced boundaries if unregulated.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Voiced continuity; response length; modulation; latency; pause topology.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restraint with clear purposeful structure; short task; privacy concern.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Prompt safety; relationship to recorder; culture; topic sensitivity; social desirability.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At least two prompts differing in personal relevance; task consent and completion metadata.</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May be supported by Capacity/Regulation; is not the opposite of Restraint.</w:t>
            </w:r>
          </w:p>
        </w:tc>
      </w:tr>
    </w:tbl>
    <w:p>
      <w:pPr>
        <w:spacing w:after="20"/>
      </w:pPr>
    </w:p>
    <w:p>
      <w:pPr>
        <w:pStyle w:val="Heading3"/>
      </w:pPr>
      <w:r>
        <w:t>EXP-P3 — Restraint</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Degree of selective containment, compression, or gating in vocal expression.</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More narrowing, controlled timing, reduced range, or increased response gating relative to reference.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Less containment or unresolved restraint.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Boundaries, composure, privacy, deliberate communication.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Suppression, guardedness, inhibited access, costly control.</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Reduced range; pause before disclosure; controlled intensity; stable narrow prosody.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Open range and spontaneous modulation; no cost evidence.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Culture; professionalism; public setting; trauma-sensitive topic; neurotype; recording discomfort.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containment families plus context contrast; never assign from flat pitch alone.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Can coexist with Openness as selective disclosure; cost is determined cross-constellation.</w:t>
            </w:r>
          </w:p>
        </w:tc>
      </w:tr>
    </w:tbl>
    <w:p>
      <w:pPr>
        <w:spacing w:after="20"/>
      </w:pPr>
    </w:p>
    <w:p>
      <w:pPr>
        <w:pStyle w:val="Heading3"/>
      </w:pPr>
      <w:r>
        <w:t>EXP-P4 — Relational Availability</w:t>
      </w: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DEFINITION</w:t>
            </w:r>
          </w:p>
          <w:p>
            <w:pPr>
              <w:spacing w:after="0"/>
            </w:pPr>
            <w:r>
              <w:rPr>
                <w:rFonts w:ascii="Liberation Sans" w:hAnsi="Liberation Sans"/>
                <w:color w:val="14212B"/>
                <w:sz w:val="19"/>
              </w:rPr>
              <w:t>Observable responsiveness to prompts and interactional structure.</w:t>
            </w:r>
          </w:p>
        </w:tc>
      </w:tr>
    </w:tbl>
    <w:p>
      <w:pPr>
        <w:spacing w:after="20"/>
      </w:pP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Timely, modulated, contingent vocal response across relational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Reduced contingency, delayed/brief response, or protocol cannot assess interaction.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Healthy possibilities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Presence, responsiveness, communicative connection.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Strained possibilities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Social effort, withdrawal, over-accommodation, or guarded distance.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 families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Latency; turn-response timing; prosodic entrainment if interlocutor exists; prompt modulation.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Strong self-directed speech with low prompt contingency; missing interaction data.</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Common confounds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Automated prompts; speech style; autism/neurotype; hearing; language; social anxiety; privacy.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Minimum evidence</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Requires interactive or at least contingent prompt protocol; cannot be scored from monologue alone.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Relationships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Interacts with Openness and Regulation; may remain high under healthy Restraint.</w:t>
            </w:r>
          </w:p>
        </w:tc>
      </w:tr>
    </w:tbl>
    <w:p>
      <w:pPr>
        <w:spacing w:after="20"/>
      </w:pPr>
    </w:p>
    <w:p>
      <w:pPr>
        <w:pStyle w:val="Heading2"/>
      </w:pPr>
      <w:r>
        <w:t>9.1 Expressive geometry</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Geometry</w:t>
            </w:r>
          </w:p>
        </w:tc>
        <w:tc>
          <w:tcPr>
            <w:tcW w:type="dxa" w:w="676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Interpretation</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Openness + Restraint</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Selective openness: access is present and boundaries remain active.</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Range + Relational Availability</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Responsive expressive bandwidth.</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 Restraint + high Stability</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Composure or protection; Effort Cost determines whether it is expensive.</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Openness + low Regulation</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Expression may be available but poorly buffered.</w:t>
            </w:r>
          </w:p>
        </w:tc>
      </w:tr>
      <w:tr>
        <w:trPr>
          <w:cantSplit/>
        </w:trPr>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All high</w:t>
            </w:r>
          </w:p>
        </w:tc>
        <w:tc>
          <w:tcPr>
            <w:tcW w:type="dxa" w:w="676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Rich selective expression; not contradictory if restraint is purposeful.</w:t>
            </w:r>
          </w:p>
        </w:tc>
      </w:tr>
      <w:tr>
        <w:trPr>
          <w:cantSplit/>
        </w:trPr>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All low</w:t>
            </w:r>
          </w:p>
        </w:tc>
        <w:tc>
          <w:tcPr>
            <w:tcW w:type="dxa" w:w="676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Flat protocol, privacy discomfort, low capacity, limited evidence, or constrained expression.</w:t>
            </w:r>
          </w:p>
        </w:tc>
      </w:tr>
    </w:tbl>
    <w:p>
      <w:pPr>
        <w:spacing w:after="20"/>
      </w:pPr>
    </w:p>
    <w:p>
      <w:pPr>
        <w:pStyle w:val="Heading3"/>
      </w:pPr>
      <w:r>
        <w:t>EXP-009 — Guarded Openness</w:t>
      </w:r>
    </w:p>
    <w:p>
      <w:r>
        <w:rPr>
          <w:i/>
          <w:color w:val="5E6B75"/>
        </w:rPr>
        <w:t>Expression is available, but it is passing through active boundaries.</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Openness moderate–high; Restraint high; Range moderate; Relational Availability moderate–high.</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The person appears able to engage while choosing what and how much to reveal.</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Discernment, boundaries, deliberate communication.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Extra effort, partial withholding from self-protection, slower access.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Warmth or detail appears alongside pauses, narrowing, or careful phrasing.</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Privacy, uncertainty about safety, professionalism, or a sensitive topic.</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boundary may be intelligent, costly, or both.</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would make expression feel both safe and less effortful?</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Context contrast showing engagement plus containment across ≥2 families.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Flat pitch alone; reading task; short sample; cultural norm.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EXP-006 Selective Clarity; EXP-012 Constrained Access.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Outer contour remains open with one compressed quadrant; smooth rather than jagged boundary.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Must not use “hiding,” “inauthentic,” or deception language.</w:t>
            </w:r>
          </w:p>
        </w:tc>
      </w:tr>
    </w:tbl>
    <w:p>
      <w:pPr>
        <w:spacing w:after="20"/>
      </w:pPr>
    </w:p>
    <w:p>
      <w:pPr>
        <w:pStyle w:val="Heading3"/>
      </w:pPr>
      <w:r>
        <w:t>EXP-006 — Selective Clarity</w:t>
      </w:r>
    </w:p>
    <w:p>
      <w:r>
        <w:rPr>
          <w:i/>
          <w:color w:val="5E6B75"/>
        </w:rPr>
        <w:t>Communication appears direct and bounded without strong evidence of costly constraint.</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Openness moderate; Restraint moderate–high; Range low–moderate; Relational Availability high; Effort Cost low.</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Expression is economical and intentional.</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Clarity, boundaries, efficient communication.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Nuance may remain private; range may be under-used.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Concise responses with stable timing and clear prompt engagement.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Familiar boundaries, role clarity, or preference for directness.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concision is choice or adaptation.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Where would more range help—and where would it only add noise?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 contingency plus low cost and coherent restraint.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Protocol does not invite range; rehearsed script.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EXP-009 Guarded Openness; EXP-004 Open Range.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Clean narrow geometry with stable center and low edge density.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Requires low-cost evidence; otherwise blend with EXP-009.</w:t>
            </w:r>
          </w:p>
        </w:tc>
      </w:tr>
    </w:tbl>
    <w:p>
      <w:pPr>
        <w:spacing w:after="20"/>
      </w:pPr>
    </w:p>
    <w:p>
      <w:pPr>
        <w:pStyle w:val="Heading3"/>
      </w:pPr>
      <w:r>
        <w:t>EXP-004 — Open Range</w:t>
      </w:r>
    </w:p>
    <w:p>
      <w:r>
        <w:rPr>
          <w:i/>
          <w:color w:val="5E6B75"/>
        </w:rPr>
        <w:t>A broad expressive palette appears available and easy to access.</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Range high; Openness high; Relational Availability moderate–high; Restraint low–moderate.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Expression appears fluid, responsive, and varied.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Nuance, communication, spontaneous access.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Overextension or reduced boundary if Regulation is strained.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Natural changes in pace, tone, and intensity across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Safety, engagement, interest, or expressive style.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openness is supported by stable regulation.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deserves this full range—and what deserves a boundary?</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Coherent prompt-linked modulation across ≥3 families.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Acted prompts; microphone variation; topic alone.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EXP-006 Selective Clarity; EXP-015 Unbuffered Expression.</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Wide luminous contours with varied but coherent lobes.</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Cross-check Regulation before positive or strained interpretation.</w:t>
            </w:r>
          </w:p>
        </w:tc>
      </w:tr>
    </w:tbl>
    <w:p>
      <w:pPr>
        <w:spacing w:after="20"/>
      </w:pPr>
    </w:p>
    <w:p>
      <w:pPr>
        <w:pStyle w:val="Heading3"/>
      </w:pPr>
      <w:r>
        <w:t>EXP-012 — Constrained Access</w:t>
      </w:r>
    </w:p>
    <w:p>
      <w:r>
        <w:rPr>
          <w:i/>
          <w:color w:val="5E6B75"/>
        </w:rPr>
        <w:t>Expression appears narrowed, with limited evidence that the boundary is effortless.</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State field</w:t>
            </w:r>
          </w:p>
        </w:tc>
        <w:tc>
          <w:tcPr>
            <w:tcW w:type="dxa" w:w="74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Canonical rule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Configuration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Restraint high; Openness low; Range low; Relational Availability low–moderate; Effort Cost moderate/high.</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Core meaning</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Access to outward expression may currently be restricted or expensive.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Protection, composure, preservation of privacy.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Potential costs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Isolation, inhibited communication, or increased internal effort.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Daily-life expression</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Brief or delayed responses, narrow modulation, careful containment.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Possible underneath</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safety, fatigue, sensitive content, illness, social context, or personal style.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Worth noticing</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The reason for the boundary cannot be known from voice alone.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Reflection prompts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What would allow one small piece of expression to have more room?</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Supporting evidence</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Convergent containment plus cost across prompts.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Quiet style; automated prompt mismatch; neurotype; voice condition.</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Nearby / blends</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EXP-009 Guarded Openness; CAP-018 Costly Output.</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Fingerprint behavior</w:t>
            </w:r>
          </w:p>
        </w:tc>
        <w:tc>
          <w:tcPr>
            <w:tcW w:type="dxa" w:w="74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Compressed contour, muted luminosity, clearly marked uncertainty band.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 limit</w:t>
            </w:r>
          </w:p>
        </w:tc>
        <w:tc>
          <w:tcPr>
            <w:tcW w:type="dxa" w:w="74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Narrative must include multiple alternatives and avoid causal language.</w:t>
            </w:r>
          </w:p>
        </w:tc>
      </w:tr>
    </w:tbl>
    <w:p>
      <w:pPr>
        <w:spacing w:after="20"/>
      </w:pPr>
    </w:p>
    <w:p>
      <w:r>
        <w:br w:type="page"/>
      </w:r>
    </w:p>
    <w:p>
      <w:pPr>
        <w:pStyle w:val="Heading1"/>
      </w:pPr>
      <w:r>
        <w:t>10. Geometry engine</w:t>
      </w:r>
    </w:p>
    <w:p>
      <w:pPr>
        <w:pStyle w:val="Subtitle"/>
      </w:pPr>
      <w:r>
        <w:t>Continuous shape first; state names second</w:t>
      </w:r>
    </w:p>
    <w:p>
      <w:pPr>
        <w:pStyle w:val="Heading2"/>
      </w:pPr>
      <w:r>
        <w:t>10.1 Point scale</w:t>
      </w:r>
    </w:p>
    <w:p>
      <w:r>
        <w:t>Represent each point as a posterior distribution on 0–1, not a naked scalar. Store mean, interval, confidence, evidence coverage, and baseline trust. The visualization may use the mean for position and interval/confidence for opacity and edge softness.</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172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Band</w:t>
            </w:r>
          </w:p>
        </w:tc>
        <w:tc>
          <w:tcPr>
            <w:tcW w:type="dxa" w:w="23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Provisional interval</w:t>
            </w:r>
          </w:p>
        </w:tc>
        <w:tc>
          <w:tcPr>
            <w:tcW w:type="dxa" w:w="561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Meaning</w:t>
            </w:r>
          </w:p>
        </w:tc>
      </w:tr>
      <w:tr>
        <w:trPr>
          <w:cantSplit/>
        </w:trPr>
        <w:tc>
          <w:tcPr>
            <w:tcW w:type="dxa" w:w="17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Low</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0.00–0.29</w:t>
            </w:r>
          </w:p>
        </w:tc>
        <w:tc>
          <w:tcPr>
            <w:tcW w:type="dxa" w:w="56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Evidence leans toward the lower expression of the point.</w:t>
            </w:r>
          </w:p>
        </w:tc>
      </w:tr>
      <w:tr>
        <w:trPr>
          <w:cantSplit/>
        </w:trPr>
        <w:tc>
          <w:tcPr>
            <w:tcW w:type="dxa" w:w="17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Mid-low</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0.30–0.44</w:t>
            </w:r>
          </w:p>
        </w:tc>
        <w:tc>
          <w:tcPr>
            <w:tcW w:type="dxa" w:w="56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Mild lower tendency; boundary-sensitive.</w:t>
            </w:r>
          </w:p>
        </w:tc>
      </w:tr>
      <w:tr>
        <w:trPr>
          <w:cantSplit/>
        </w:trPr>
        <w:tc>
          <w:tcPr>
            <w:tcW w:type="dxa" w:w="17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Balanced zone</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0.45–0.55</w:t>
            </w:r>
          </w:p>
        </w:tc>
        <w:tc>
          <w:tcPr>
            <w:tcW w:type="dxa" w:w="56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Near reference or mixed evidence; not “perfect.”</w:t>
            </w:r>
          </w:p>
        </w:tc>
      </w:tr>
      <w:tr>
        <w:trPr>
          <w:cantSplit/>
        </w:trPr>
        <w:tc>
          <w:tcPr>
            <w:tcW w:type="dxa" w:w="17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Mid-high</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0.56–0.70</w:t>
            </w:r>
          </w:p>
        </w:tc>
        <w:tc>
          <w:tcPr>
            <w:tcW w:type="dxa" w:w="56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Mild higher tendency; boundary-sensitive.</w:t>
            </w:r>
          </w:p>
        </w:tc>
      </w:tr>
      <w:tr>
        <w:trPr>
          <w:cantSplit/>
        </w:trPr>
        <w:tc>
          <w:tcPr>
            <w:tcW w:type="dxa" w:w="17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w:t>
            </w:r>
          </w:p>
        </w:tc>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0.71–1.00</w:t>
            </w:r>
          </w:p>
        </w:tc>
        <w:tc>
          <w:tcPr>
            <w:tcW w:type="dxa" w:w="56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Evidence leans toward the higher expression of the point.</w:t>
            </w:r>
          </w:p>
        </w:tc>
      </w:tr>
      <w:tr>
        <w:trPr>
          <w:cantSplit/>
        </w:trPr>
        <w:tc>
          <w:tcPr>
            <w:tcW w:type="dxa" w:w="17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Unresolved</w:t>
            </w:r>
          </w:p>
        </w:tc>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Any mean with wide interval / low confidence</w:t>
            </w:r>
          </w:p>
        </w:tc>
        <w:tc>
          <w:tcPr>
            <w:tcW w:type="dxa" w:w="56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Do not convert to low, neutral, or balanced.</w:t>
            </w:r>
          </w:p>
        </w:tc>
      </w:tr>
    </w:tbl>
    <w:p>
      <w:pPr>
        <w:spacing w:after="20"/>
      </w:pPr>
    </w:p>
    <w:p>
      <w:pPr>
        <w:pStyle w:val="Heading2"/>
      </w:pPr>
      <w:r>
        <w:t>10.2 Shape descriptors</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1655"/>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Descriptor</w:t>
            </w:r>
          </w:p>
        </w:tc>
        <w:tc>
          <w:tcPr>
            <w:tcW w:type="dxa" w:w="403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Definition</w:t>
            </w:r>
          </w:p>
        </w:tc>
        <w:tc>
          <w:tcPr>
            <w:tcW w:type="dxa" w:w="403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Use</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Magnitude</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Mean radial extent of resolved points.</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Overall expression strength, not wellness.</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Dominance</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Largest point minus mean of other resolved points.</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One-point leadership.</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Symmetry</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1 minus normalized pairwise spread.</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Balanced expression versus uneven geometry.</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Tension</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Weighted separation of predefined opposing/productive-tension pairs.</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Internal pull; not pathology.</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Coherence</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Cross-evidence agreement and temporal consistency.</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Whether shape is interpretable.</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Compensation</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point offsets a low/strained point while cost evidence rises.</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Functional appearance maintained through another resource.</w:t>
            </w:r>
          </w:p>
        </w:tc>
      </w:tr>
      <w:tr>
        <w:trPr>
          <w:cantSplit/>
        </w:trPr>
        <w:tc>
          <w:tcPr>
            <w:tcW w:type="dxa" w:w="1655"/>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Momentum</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Reliable signed change across ordered segments or scans.</w:t>
            </w:r>
          </w:p>
        </w:tc>
        <w:tc>
          <w:tcPr>
            <w:tcW w:type="dxa" w:w="403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Transition and recovery.</w:t>
            </w:r>
          </w:p>
        </w:tc>
      </w:tr>
      <w:tr>
        <w:trPr>
          <w:cantSplit/>
        </w:trPr>
        <w:tc>
          <w:tcPr>
            <w:tcW w:type="dxa" w:w="1655"/>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Distortion</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Localized extreme plus contradiction or low coherence.</w:t>
            </w:r>
          </w:p>
        </w:tc>
        <w:tc>
          <w:tcPr>
            <w:tcW w:type="dxa" w:w="403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Uncertain/unstable geometry; reduce confidence.</w:t>
            </w:r>
          </w:p>
        </w:tc>
      </w:tr>
    </w:tbl>
    <w:p>
      <w:pPr>
        <w:spacing w:after="20"/>
      </w:pPr>
    </w:p>
    <w:p>
      <w:pPr>
        <w:pStyle w:val="Heading2"/>
      </w:pPr>
      <w:r>
        <w:t>10.3 Candidate-state selection</w:t>
      </w:r>
    </w:p>
    <w:p>
      <w:pPr>
        <w:pStyle w:val="ListNumber"/>
      </w:pPr>
      <w:r>
        <w:t>Compute distance from the point posterior to every eligible canonical state region.</w:t>
      </w:r>
    </w:p>
    <w:p>
      <w:pPr>
        <w:pStyle w:val="ListNumber"/>
      </w:pPr>
      <w:r>
        <w:t>Reject any state whose hard evidence requirements or policy constraints fail.</w:t>
      </w:r>
    </w:p>
    <w:p>
      <w:pPr>
        <w:pStyle w:val="ListNumber"/>
      </w:pPr>
      <w:r>
        <w:t>Calculate candidate fit from geometric distance, evidence coverage, contradiction penalty, baseline trust, and temporal support.</w:t>
      </w:r>
    </w:p>
    <w:p>
      <w:pPr>
        <w:pStyle w:val="ListNumber"/>
      </w:pPr>
      <w:r>
        <w:t>If the top two candidates are adjacent and their normalized fit gap is below the blend margin, return a boundary blend.</w:t>
      </w:r>
    </w:p>
    <w:p>
      <w:pPr>
        <w:pStyle w:val="ListNumber"/>
      </w:pPr>
      <w:r>
        <w:t>If no candidate exceeds the publish threshold, return the permanent unresolved state for that constellation.</w:t>
      </w:r>
    </w:p>
    <w:p>
      <w:pPr>
        <w:pStyle w:val="ListNumber"/>
      </w:pPr>
      <w:r>
        <w:t>Record the winning candidate, alternatives, lost-on reasons, and what evidence would change the outcome.</w:t>
      </w:r>
    </w:p>
    <w:p>
      <w:pPr>
        <w:pStyle w:val="Heading2"/>
      </w:pPr>
      <w:r>
        <w:t>10.4 Unresolved behavior</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Condition</w:t>
            </w:r>
          </w:p>
        </w:tc>
        <w:tc>
          <w:tcPr>
            <w:tcW w:type="dxa" w:w="367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Engine behavior</w:t>
            </w:r>
          </w:p>
        </w:tc>
        <w:tc>
          <w:tcPr>
            <w:tcW w:type="dxa" w:w="381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Narrative / visual behavior</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Poor capture</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Suppress affected features and dependent dimensions.</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State “signal quality limited this view”; fade affected arcs.</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Insufficient voiced speech</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No state; request another scan if appropriate.</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Show an incomplete signature, not a weak score.</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Missing baseline</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Use raw/session description only; reduce confidence.</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Avoid “higher/lower than usual”; use neutral geometry.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Contradictory families</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Preserve both; no averaging away disagreement.</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Name mixed evidence; softened edge and split-tone segment.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Boundary tie</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Return two-state blend.</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Use blended essence; no winner-takes-all title.</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Cross-constellation conflict</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Keep both states and create typed contradiction relation.</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Explain both; do not let narrative choose a favorite.</w:t>
            </w:r>
          </w:p>
        </w:tc>
      </w:tr>
    </w:tbl>
    <w:p>
      <w:pPr>
        <w:spacing w:after="20"/>
      </w:pPr>
    </w:p>
    <w:p>
      <w:pPr>
        <w:pStyle w:val="Heading1"/>
      </w:pPr>
      <w:r>
        <w:t>11. Boundary blends</w:t>
      </w:r>
    </w:p>
    <w:p>
      <w:pPr>
        <w:pStyle w:val="Subtitle"/>
      </w:pPr>
      <w:r>
        <w:t>Human states are gradients; the registry must preserve that</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22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Blend type</w:t>
            </w:r>
          </w:p>
        </w:tc>
        <w:tc>
          <w:tcPr>
            <w:tcW w:type="dxa" w:w="37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Rule</w:t>
            </w:r>
          </w:p>
        </w:tc>
        <w:tc>
          <w:tcPr>
            <w:tcW w:type="dxa" w:w="37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Narrative adjustment</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Adjacent-state blend</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Top two eligible adjacent candidates within calibrated fit margin.</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“This scan sits between…” followed by shared essence and differentiator.</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Transition blend</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Momentum crosses a state boundary with temporal support.</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Emphasize movement: “appears to be shifting from…toward…”</w:t>
            </w:r>
          </w:p>
        </w:tc>
      </w:tr>
      <w:tr>
        <w:trPr>
          <w:cantSplit/>
        </w:trPr>
        <w:tc>
          <w:tcPr>
            <w:tcW w:type="dxa" w:w="22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Compensated blend</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One state fits output shape while another fits cost structure.</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Name performance and cost separately.</w:t>
            </w:r>
          </w:p>
        </w:tc>
      </w:tr>
      <w:tr>
        <w:trPr>
          <w:cantSplit/>
        </w:trPr>
        <w:tc>
          <w:tcPr>
            <w:tcW w:type="dxa" w:w="22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Uncertain blend</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Two non-adjacent candidates remain because key evidence is missing.</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Do not fuse into a new state; report alternatives and missing evidence.</w:t>
            </w:r>
          </w:p>
        </w:tc>
      </w:tr>
    </w:tbl>
    <w:p>
      <w:pPr>
        <w:spacing w:after="20"/>
      </w:pPr>
    </w:p>
    <w:p>
      <w:r>
        <w:t>Each blend requires its own permanent interaction ID only if it becomes analytically stable and repeatedly useful. Do not create IDs for every pair in advance. Registry growth should be evidence-driven.</w:t>
      </w:r>
    </w:p>
    <w:p>
      <w:pPr>
        <w:pStyle w:val="Heading1"/>
      </w:pPr>
      <w:r>
        <w:t>12. Cross-constellation interaction engine</w:t>
      </w:r>
    </w:p>
    <w:p>
      <w:pPr>
        <w:pStyle w:val="Subtitle"/>
      </w:pPr>
      <w:r>
        <w:t>Whole-person meaning emerges from typed relationships</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158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Verb</w:t>
            </w:r>
          </w:p>
        </w:tc>
        <w:tc>
          <w:tcPr>
            <w:tcW w:type="dxa" w:w="4680"/>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Operational definition</w:t>
            </w:r>
          </w:p>
        </w:tc>
        <w:tc>
          <w:tcPr>
            <w:tcW w:type="dxa" w:w="345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Example</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Reinforces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Two states increase the same functional interpretation.</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 Deliberate Builder + REG Steady Mobilization → sustained directed effort.</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Buffers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One state reduces the likely cost or volatility of another.</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CAP Available Reserve buffers COG Processing Demand.</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Amplifies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One state increases the intensity/cost of another.</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REG Held Activation amplifies CAP Costly Output.</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Masks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Observable output looks adaptive while another constellation reveals cost or constraint.</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High Organization masks low Reserve.</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Compensates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 strength maintains function despite another limitation.</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Restraint compensates for low Stability.</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Constrains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One state limits the expression of another.</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Low Capacity constrains Expressive Range.</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Protects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 boundary or stable process reduces exposure to strain.</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Guarded Openness protects under high Processing Demand.</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Redirects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Energy is moved into a different channel.</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Activation redirects into Focus Continuity rather than Range.</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Destabilizes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Interaction lowers coherence or increases volatility.</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High Activation destabilizes low Stability.</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Integrates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Multiple states align with low contradiction and manageable cost.</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Open Architect + Adaptive Recovery + Available Reserve + Open Range.</w:t>
            </w:r>
          </w:p>
        </w:tc>
      </w:tr>
      <w:tr>
        <w:trPr>
          <w:cantSplit/>
        </w:trPr>
        <w:tc>
          <w:tcPr>
            <w:tcW w:type="dxa" w:w="158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Reveals</w:t>
            </w:r>
          </w:p>
        </w:tc>
        <w:tc>
          <w:tcPr>
            <w:tcW w:type="dxa" w:w="468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 second constellation clarifies the meaning of an ambiguous first.</w:t>
            </w:r>
          </w:p>
        </w:tc>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Capacity reveals whether high Organization is ease or compensation.</w:t>
            </w:r>
          </w:p>
        </w:tc>
      </w:tr>
      <w:tr>
        <w:trPr>
          <w:cantSplit/>
        </w:trPr>
        <w:tc>
          <w:tcPr>
            <w:tcW w:type="dxa" w:w="158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Shifts</w:t>
            </w:r>
          </w:p>
        </w:tc>
        <w:tc>
          <w:tcPr>
            <w:tcW w:type="dxa" w:w="468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Temporal evidence shows movement from one interaction regime to another.</w:t>
            </w:r>
          </w:p>
        </w:tc>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Held Activation shifts toward Adaptive Recovery.</w:t>
            </w:r>
          </w:p>
        </w:tc>
      </w:tr>
    </w:tbl>
    <w:p>
      <w:pPr>
        <w:spacing w:after="20"/>
      </w:pPr>
    </w:p>
    <w:p>
      <w:pPr>
        <w:pStyle w:val="Heading2"/>
      </w:pPr>
      <w:r>
        <w:t>12.1 Relation record</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08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Field</w:t>
            </w:r>
          </w:p>
        </w:tc>
        <w:tc>
          <w:tcPr>
            <w:tcW w:type="dxa" w:w="763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Content</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interaction_id</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Permanent ID and rule version</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subject / object</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Source constellation-state IDs</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verb</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Controlled interaction vocabulary</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evidence</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Dimension and evidence IDs that justify the relation</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conditions</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Required thresholds, temporal order, exclusions</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alternatives</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Other plausible verbs/interpretations</w:t>
            </w:r>
          </w:p>
        </w:tc>
      </w:tr>
      <w:tr>
        <w:trPr>
          <w:cantSplit/>
        </w:trPr>
        <w:tc>
          <w:tcPr>
            <w:tcW w:type="dxa" w:w="208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w:t>
            </w:r>
          </w:p>
        </w:tc>
        <w:tc>
          <w:tcPr>
            <w:tcW w:type="dxa" w:w="763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Calibrated relation confidence</w:t>
            </w:r>
          </w:p>
        </w:tc>
      </w:tr>
      <w:tr>
        <w:trPr>
          <w:cantSplit/>
        </w:trPr>
        <w:tc>
          <w:tcPr>
            <w:tcW w:type="dxa" w:w="208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narrative clause</w:t>
            </w:r>
          </w:p>
        </w:tc>
        <w:tc>
          <w:tcPr>
            <w:tcW w:type="dxa" w:w="763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Approved observational clause template</w:t>
            </w:r>
          </w:p>
        </w:tc>
      </w:tr>
    </w:tbl>
    <w:p>
      <w:pPr>
        <w:spacing w:after="20"/>
      </w:pPr>
    </w:p>
    <w:p>
      <w:pPr>
        <w:pStyle w:val="Heading2"/>
      </w:pPr>
      <w:r>
        <w:t>12.2 High-value interaction rules for v0.1</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23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Rule</w:t>
            </w:r>
          </w:p>
        </w:tc>
        <w:tc>
          <w:tcPr>
            <w:tcW w:type="dxa" w:w="381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Condition</w:t>
            </w:r>
          </w:p>
        </w:tc>
        <w:tc>
          <w:tcPr>
            <w:tcW w:type="dxa" w:w="3528"/>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Interpretation</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INT-001 Capacity reveals cognition</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 Organization high; compare CAP Reserve/Cost.</w:t>
            </w:r>
          </w:p>
        </w:tc>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Organized cognition with reserve → supported structure; with high cost → compensatory structure.</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INT-002 Regulation qualifies expression</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EXP Openness/Range high; compare REG Stability/Recovery.</w:t>
            </w:r>
          </w:p>
        </w:tc>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Open and regulated → grounded access; open and unstable → unbuffered expression.</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INT-003 Restraint may protect</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 Restraint high + REG activation high + CAP cost not extreme.</w:t>
            </w:r>
          </w:p>
        </w:tc>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Selective restraint may be protective rather than blocked.</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INT-004 Recovery restores capacity</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REG Recovery high precedes CAP Sustainability improvement.</w:t>
            </w:r>
          </w:p>
        </w:tc>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Regulatory return appears to support renewed room.</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INT-005 Demand spends reserve</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 Demand high + CAP Reserve declining.</w:t>
            </w:r>
          </w:p>
        </w:tc>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Cognitive work appears to draw down available capacity.</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INT-006 Stability may mask cost</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REG Stability high + CAP Cost high + Sustainability falling.</w:t>
            </w:r>
          </w:p>
        </w:tc>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Steadiness is present, but it may be expensive to maintain.</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INT-007 Exploration needs containment</w:t>
            </w:r>
          </w:p>
        </w:tc>
        <w:tc>
          <w:tcPr>
            <w:tcW w:type="dxa" w:w="381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COG Exploration high + REG Flexibility high + Stability adequate.</w:t>
            </w:r>
          </w:p>
        </w:tc>
        <w:tc>
          <w:tcPr>
            <w:tcW w:type="dxa" w:w="3528"/>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Exploration appears generative; if stability low, fragmentation risk rises.</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INT-008 Low-evidence protection</w:t>
            </w:r>
          </w:p>
        </w:tc>
        <w:tc>
          <w:tcPr>
            <w:tcW w:type="dxa" w:w="381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Any two constellations unresolved.</w:t>
            </w:r>
          </w:p>
        </w:tc>
        <w:tc>
          <w:tcPr>
            <w:tcW w:type="dxa" w:w="3528"/>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Suppress global pattern name; report only supported local observations.</w:t>
            </w:r>
          </w:p>
        </w:tc>
      </w:tr>
    </w:tbl>
    <w:p>
      <w:pPr>
        <w:spacing w:after="20"/>
      </w:pPr>
    </w:p>
    <w:p>
      <w:pPr>
        <w:pStyle w:val="Heading1"/>
      </w:pPr>
      <w:r>
        <w:t>13. Pattern engine</w:t>
      </w:r>
    </w:p>
    <w:p>
      <w:pPr>
        <w:pStyle w:val="Subtitle"/>
      </w:pPr>
      <w:r>
        <w:t>The label describes the reasoning; it never creates it</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23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Required field</w:t>
            </w:r>
          </w:p>
        </w:tc>
        <w:tc>
          <w:tcPr>
            <w:tcW w:type="dxa" w:w="7343"/>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Specification</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pattern_id</w:t>
            </w:r>
          </w:p>
        </w:tc>
        <w:tc>
          <w:tcPr>
            <w:tcW w:type="dxa" w:w="7343"/>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Permanent; never reused</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display_name</w:t>
            </w:r>
          </w:p>
        </w:tc>
        <w:tc>
          <w:tcPr>
            <w:tcW w:type="dxa" w:w="7343"/>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Versioned and editable without changing ID</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reasoning_description</w:t>
            </w:r>
          </w:p>
        </w:tc>
        <w:tc>
          <w:tcPr>
            <w:tcW w:type="dxa" w:w="7343"/>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Internal precise description</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required_states</w:t>
            </w:r>
          </w:p>
        </w:tc>
        <w:tc>
          <w:tcPr>
            <w:tcW w:type="dxa" w:w="7343"/>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Constellation state IDs and allowed blends</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required_interactions</w:t>
            </w:r>
          </w:p>
        </w:tc>
        <w:tc>
          <w:tcPr>
            <w:tcW w:type="dxa" w:w="7343"/>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Typed relations and minimum confidences</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exclusions</w:t>
            </w:r>
          </w:p>
        </w:tc>
        <w:tc>
          <w:tcPr>
            <w:tcW w:type="dxa" w:w="7343"/>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Contradictions, unresolved limits, quality failures</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alternatives</w:t>
            </w:r>
          </w:p>
        </w:tc>
        <w:tc>
          <w:tcPr>
            <w:tcW w:type="dxa" w:w="7343"/>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Ranked candidates</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why_won / why_lost</w:t>
            </w:r>
          </w:p>
        </w:tc>
        <w:tc>
          <w:tcPr>
            <w:tcW w:type="dxa" w:w="7343"/>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Machine-readable reason codes plus readable summary</w:t>
            </w:r>
          </w:p>
        </w:tc>
      </w:tr>
      <w:tr>
        <w:trPr>
          <w:cantSplit/>
        </w:trPr>
        <w:tc>
          <w:tcPr>
            <w:tcW w:type="dxa" w:w="23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confidence</w:t>
            </w:r>
          </w:p>
        </w:tc>
        <w:tc>
          <w:tcPr>
            <w:tcW w:type="dxa" w:w="7343"/>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No higher than the weakest essential dependency</w:t>
            </w:r>
          </w:p>
        </w:tc>
      </w:tr>
      <w:tr>
        <w:trPr>
          <w:cantSplit/>
        </w:trPr>
        <w:tc>
          <w:tcPr>
            <w:tcW w:type="dxa" w:w="23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lifecycle</w:t>
            </w:r>
          </w:p>
        </w:tc>
        <w:tc>
          <w:tcPr>
            <w:tcW w:type="dxa" w:w="7343"/>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Provisional, active, deprecated, research-only</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FF1F1"/>
            <w:tcMar>
              <w:top w:w="130" w:type="dxa"/>
              <w:start w:w="160" w:type="dxa"/>
              <w:bottom w:w="130" w:type="dxa"/>
              <w:end w:w="160" w:type="dxa"/>
            </w:tcMar>
          </w:tcPr>
          <w:p>
            <w:pPr>
              <w:spacing w:after="40"/>
            </w:pPr>
            <w:r/>
            <w:r>
              <w:rPr>
                <w:rFonts w:ascii="Liberation Sans" w:hAnsi="Liberation Sans"/>
                <w:b/>
                <w:color w:val="9B3030"/>
                <w:sz w:val="16"/>
              </w:rPr>
              <w:t>PATTERN SUPPRESSION</w:t>
            </w:r>
          </w:p>
          <w:p>
            <w:pPr>
              <w:spacing w:after="0"/>
            </w:pPr>
            <w:r>
              <w:rPr>
                <w:rFonts w:ascii="Liberation Sans" w:hAnsi="Liberation Sans"/>
                <w:color w:val="14212B"/>
                <w:sz w:val="19"/>
              </w:rPr>
              <w:t>A global pattern name should be suppressed when fewer than three constellations resolve, any essential interaction is below threshold, the top-two pattern gap is too small, or the pattern would imply a prohibited emotional/clinical/identity claim.</w:t>
            </w:r>
          </w:p>
        </w:tc>
      </w:tr>
    </w:tbl>
    <w:p>
      <w:pPr>
        <w:spacing w:after="20"/>
      </w:pPr>
    </w:p>
    <w:p>
      <w:pPr>
        <w:pStyle w:val="Heading1"/>
      </w:pPr>
      <w:r>
        <w:t>14. Narrative engine</w:t>
      </w:r>
    </w:p>
    <w:p>
      <w:pPr>
        <w:pStyle w:val="Subtitle"/>
      </w:pPr>
      <w:r>
        <w:t>A controlled reflection, not an improvising oracle</w:t>
      </w:r>
    </w:p>
    <w:p>
      <w:pPr>
        <w:pStyle w:val="Heading2"/>
      </w:pPr>
      <w:r>
        <w:t>14.1 Approved structure</w:t>
      </w:r>
    </w:p>
    <w:p>
      <w:pPr>
        <w:pStyle w:val="ListNumber"/>
      </w:pPr>
      <w:r>
        <w:t>What feels most present</w:t>
      </w:r>
    </w:p>
    <w:p>
      <w:pPr>
        <w:pStyle w:val="ListNumber"/>
      </w:pPr>
      <w:r>
        <w:t>How this may show up in daily life</w:t>
      </w:r>
    </w:p>
    <w:p>
      <w:pPr>
        <w:pStyle w:val="ListNumber"/>
      </w:pPr>
      <w:r>
        <w:t>What may be happening underneath</w:t>
      </w:r>
    </w:p>
    <w:p>
      <w:pPr>
        <w:pStyle w:val="ListNumber"/>
      </w:pPr>
      <w:r>
        <w:t>Something worth noticing</w:t>
      </w:r>
    </w:p>
    <w:p>
      <w:pPr>
        <w:pStyle w:val="ListNumber"/>
      </w:pPr>
      <w:r>
        <w:t>A question to sit with</w:t>
      </w:r>
    </w:p>
    <w:p>
      <w:pPr>
        <w:pStyle w:val="Heading2"/>
      </w:pPr>
      <w:r>
        <w:t>14.2 Narrative generation contract</w:t>
      </w:r>
    </w:p>
    <w:p>
      <w:pPr>
        <w:pStyle w:val="ListBullet"/>
      </w:pPr>
      <w:r>
        <w:t>The deterministic engine supplies approved facts, candidate hypotheses, confidence, contradictions, confounds, and prohibited claims.</w:t>
      </w:r>
    </w:p>
    <w:p>
      <w:pPr>
        <w:pStyle w:val="ListBullet"/>
      </w:pPr>
      <w:r>
        <w:t>Every sentence must cite at least one state, interaction, or evidence-ledger ID internally.</w:t>
      </w:r>
    </w:p>
    <w:p>
      <w:pPr>
        <w:pStyle w:val="ListBullet"/>
      </w:pPr>
      <w:r>
        <w:t>The model may select among approved clause templates and adjust tone (Direct, Supportive, Insight); it may not add a new inference.</w:t>
      </w:r>
    </w:p>
    <w:p>
      <w:pPr>
        <w:pStyle w:val="ListBullet"/>
      </w:pPr>
      <w:r>
        <w:t>Causal wording is blocked unless the source is user-reported context, and even then must be attributed: “You noted…”</w:t>
      </w:r>
    </w:p>
    <w:p>
      <w:pPr>
        <w:pStyle w:val="ListBullet"/>
      </w:pPr>
      <w:r>
        <w:t>When evidence is mixed, the narrative must preserve the disagreement rather than smoothing it into coherence.</w:t>
      </w:r>
    </w:p>
    <w:p>
      <w:pPr>
        <w:pStyle w:val="ListBullet"/>
      </w:pPr>
      <w:r>
        <w:t>Questions may invite reflection but must not smuggle in a claim: ask “Does this feel protective?” rather than “Why are you suppressing yourself?”</w:t>
      </w:r>
    </w:p>
    <w:p>
      <w:pPr>
        <w:pStyle w:val="Heading2"/>
      </w:pPr>
      <w:r>
        <w:t>14.3 Example</w:t>
      </w:r>
    </w:p>
    <w:tbl>
      <w:tblPr>
        <w:tblW w:type="dxa" w:w="9720"/>
        <w:jc w:val="center"/>
        <w:tblLayout w:type="fixed"/>
        <w:tblLook w:firstColumn="1" w:firstRow="1" w:lastColumn="0" w:lastRow="0" w:noHBand="0" w:noVBand="1" w:val="04A0"/>
      </w:tblPr>
      <w:tblGrid>
        <w:gridCol w:w="9936"/>
      </w:tblGrid>
      <w:tr>
        <w:trPr>
          <w:cantSplit/>
        </w:trPr>
        <w:tc>
          <w:tcPr>
            <w:tcW w:type="dxa" w:w="9720"/>
            <w:shd w:fill="EAF7F7"/>
            <w:tcMar>
              <w:top w:w="130" w:type="dxa"/>
              <w:start w:w="160" w:type="dxa"/>
              <w:bottom w:w="130" w:type="dxa"/>
              <w:end w:w="160" w:type="dxa"/>
            </w:tcMar>
          </w:tcPr>
          <w:p>
            <w:pPr>
              <w:spacing w:after="40"/>
            </w:pPr>
            <w:r/>
            <w:r>
              <w:rPr>
                <w:rFonts w:ascii="Liberation Sans" w:hAnsi="Liberation Sans"/>
                <w:b/>
                <w:color w:val="14E0E6"/>
                <w:sz w:val="16"/>
              </w:rPr>
              <w:t>WHAT FEELS MOST PRESENT</w:t>
            </w:r>
          </w:p>
          <w:p>
            <w:pPr>
              <w:spacing w:after="0"/>
            </w:pPr>
            <w:r>
              <w:rPr>
                <w:rFonts w:ascii="Liberation Sans" w:hAnsi="Liberation Sans"/>
                <w:color w:val="14212B"/>
                <w:sz w:val="19"/>
              </w:rPr>
              <w:t>Your scan shows a deliberate, organized way of working through the moment. That structure appears to be carrying more effort than usual, while your later responses show some movement toward steadier regulation.</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3F2FF"/>
            <w:tcMar>
              <w:top w:w="130" w:type="dxa"/>
              <w:start w:w="160" w:type="dxa"/>
              <w:bottom w:w="130" w:type="dxa"/>
              <w:end w:w="160" w:type="dxa"/>
            </w:tcMar>
          </w:tcPr>
          <w:p>
            <w:pPr>
              <w:spacing w:after="40"/>
            </w:pPr>
            <w:r/>
            <w:r>
              <w:rPr>
                <w:rFonts w:ascii="Liberation Sans" w:hAnsi="Liberation Sans"/>
                <w:b/>
                <w:color w:val="A56CFF"/>
                <w:sz w:val="16"/>
              </w:rPr>
              <w:t>HOW THIS MAY SHOW UP</w:t>
            </w:r>
          </w:p>
          <w:p>
            <w:pPr>
              <w:spacing w:after="0"/>
            </w:pPr>
            <w:r>
              <w:rPr>
                <w:rFonts w:ascii="Liberation Sans" w:hAnsi="Liberation Sans"/>
                <w:color w:val="14212B"/>
                <w:sz w:val="19"/>
              </w:rPr>
              <w:t>You may be getting things done by building carefully and staying contained, even when the process takes more energy than it appears to from the outside.</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4F7FA"/>
            <w:tcMar>
              <w:top w:w="130" w:type="dxa"/>
              <w:start w:w="160" w:type="dxa"/>
              <w:bottom w:w="130" w:type="dxa"/>
              <w:end w:w="160" w:type="dxa"/>
            </w:tcMar>
          </w:tcPr>
          <w:p>
            <w:pPr>
              <w:spacing w:after="40"/>
            </w:pPr>
            <w:r/>
            <w:r>
              <w:rPr>
                <w:rFonts w:ascii="Liberation Sans" w:hAnsi="Liberation Sans"/>
                <w:b/>
                <w:color w:val="6B8BFF"/>
                <w:sz w:val="16"/>
              </w:rPr>
              <w:t>UNDERNEATH / NOTICE</w:t>
            </w:r>
          </w:p>
          <w:p>
            <w:pPr>
              <w:spacing w:after="0"/>
            </w:pPr>
            <w:r>
              <w:rPr>
                <w:rFonts w:ascii="Liberation Sans" w:hAnsi="Liberation Sans"/>
                <w:color w:val="14212B"/>
                <w:sz w:val="19"/>
              </w:rPr>
              <w:t>One possibility is that structure is helping you manage complexity. Another is that it has become the way you keep strain from becoming visible. The voice alone cannot decide between those explanations.</w:t>
            </w:r>
          </w:p>
        </w:tc>
      </w:tr>
    </w:tbl>
    <w:p>
      <w:pPr>
        <w:spacing w:after="20"/>
      </w:pPr>
    </w:p>
    <w:tbl>
      <w:tblPr>
        <w:tblW w:type="dxa" w:w="9720"/>
        <w:jc w:val="center"/>
        <w:tblLayout w:type="fixed"/>
        <w:tblLook w:firstColumn="1" w:firstRow="1" w:lastColumn="0" w:lastRow="0" w:noHBand="0" w:noVBand="1" w:val="04A0"/>
      </w:tblPr>
      <w:tblGrid>
        <w:gridCol w:w="9936"/>
      </w:tblGrid>
      <w:tr>
        <w:trPr>
          <w:cantSplit/>
        </w:trPr>
        <w:tc>
          <w:tcPr>
            <w:tcW w:type="dxa" w:w="9720"/>
            <w:shd w:fill="FFF8E8"/>
            <w:tcMar>
              <w:top w:w="130" w:type="dxa"/>
              <w:start w:w="160" w:type="dxa"/>
              <w:bottom w:w="130" w:type="dxa"/>
              <w:end w:w="160" w:type="dxa"/>
            </w:tcMar>
          </w:tcPr>
          <w:p>
            <w:pPr>
              <w:spacing w:after="40"/>
            </w:pPr>
            <w:r/>
            <w:r>
              <w:rPr>
                <w:rFonts w:ascii="Liberation Sans" w:hAnsi="Liberation Sans"/>
                <w:b/>
                <w:color w:val="8A6815"/>
                <w:sz w:val="16"/>
              </w:rPr>
              <w:t>QUESTION TO SIT WITH</w:t>
            </w:r>
          </w:p>
          <w:p>
            <w:pPr>
              <w:spacing w:after="0"/>
            </w:pPr>
            <w:r>
              <w:rPr>
                <w:rFonts w:ascii="Liberation Sans" w:hAnsi="Liberation Sans"/>
                <w:color w:val="14212B"/>
                <w:sz w:val="19"/>
              </w:rPr>
              <w:t>What part of this moment genuinely needs your careful effort—and what part might be allowed to become easier?</w:t>
            </w:r>
          </w:p>
        </w:tc>
      </w:tr>
    </w:tbl>
    <w:p>
      <w:pPr>
        <w:spacing w:after="20"/>
      </w:pPr>
    </w:p>
    <w:p>
      <w:pPr>
        <w:pStyle w:val="Heading1"/>
      </w:pPr>
      <w:r>
        <w:t>15. Resonance Signature contract</w:t>
      </w:r>
    </w:p>
    <w:p>
      <w:pPr>
        <w:pStyle w:val="Subtitle"/>
      </w:pPr>
      <w:r>
        <w:t>The visual must tell the same truth as the ledger</w:t>
      </w:r>
    </w:p>
    <w:tbl>
      <w:tblPr>
        <w:tblStyle w:val="TableGrid"/>
        <w:tblW w:type="dxa" w:w="9216"/>
        <w:jc w:val="center"/>
        <w:tblLayout w:type="fixed"/>
        <w:tblLook w:firstColumn="1" w:firstRow="1" w:lastColumn="0" w:lastRow="0" w:noHBand="0" w:noVBand="1" w:val="04A0"/>
      </w:tblPr>
      <w:tblGrid>
        <w:gridCol w:w="3312"/>
        <w:gridCol w:w="3312"/>
        <w:gridCol w:w="3312"/>
      </w:tblGrid>
      <w:tr>
        <w:trPr>
          <w:tblHeader w:val="true"/>
          <w:cantSplit/>
        </w:trPr>
        <w:tc>
          <w:tcPr>
            <w:tcW w:type="dxa" w:w="19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Visual property</w:t>
            </w:r>
          </w:p>
        </w:tc>
        <w:tc>
          <w:tcPr>
            <w:tcW w:type="dxa" w:w="295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Data source</w:t>
            </w:r>
          </w:p>
        </w:tc>
        <w:tc>
          <w:tcPr>
            <w:tcW w:type="dxa" w:w="4320"/>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Meaning</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Radial extent</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Dimension posterior mean</w:t>
            </w:r>
          </w:p>
        </w:tc>
        <w:tc>
          <w:tcPr>
            <w:tcW w:type="dxa" w:w="432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Strength of current point expression</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Edge softness</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Posterior interval / confidence</w:t>
            </w:r>
          </w:p>
        </w:tc>
        <w:tc>
          <w:tcPr>
            <w:tcW w:type="dxa" w:w="432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Uncertainty</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Line density</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Evidence coverage</w:t>
            </w:r>
          </w:p>
        </w:tc>
        <w:tc>
          <w:tcPr>
            <w:tcW w:type="dxa" w:w="432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How much valid evidence supports the region</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Roughness</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Contradiction / low coherence</w:t>
            </w:r>
          </w:p>
        </w:tc>
        <w:tc>
          <w:tcPr>
            <w:tcW w:type="dxa" w:w="432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Mixed or unstable evidence</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Luminosity</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Signal reliability × confidence</w:t>
            </w:r>
          </w:p>
        </w:tc>
        <w:tc>
          <w:tcPr>
            <w:tcW w:type="dxa" w:w="432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Visibility of trustworthy structure</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Color family</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Constellation identity</w:t>
            </w:r>
          </w:p>
        </w:tc>
        <w:tc>
          <w:tcPr>
            <w:tcW w:type="dxa" w:w="432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COG blue; REG cyan; CAP pale/white; EXP violet</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Inward/outward motion</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Temporal momentum</w:t>
            </w:r>
          </w:p>
        </w:tc>
        <w:tc>
          <w:tcPr>
            <w:tcW w:type="dxa" w:w="432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Return, expansion, or transition</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Missing arc</w:t>
            </w:r>
          </w:p>
        </w:tc>
        <w:tc>
          <w:tcPr>
            <w:tcW w:type="dxa" w:w="295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Unresolved dimension</w:t>
            </w:r>
          </w:p>
        </w:tc>
        <w:tc>
          <w:tcPr>
            <w:tcW w:type="dxa" w:w="432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Unknown—not zero</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Reference ghost</w:t>
            </w:r>
          </w:p>
        </w:tc>
        <w:tc>
          <w:tcPr>
            <w:tcW w:type="dxa" w:w="295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Trusted personal Reference Signature</w:t>
            </w:r>
          </w:p>
        </w:tc>
        <w:tc>
          <w:tcPr>
            <w:tcW w:type="dxa" w:w="432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Comparison shape, visually secondary</w:t>
            </w:r>
          </w:p>
        </w:tc>
      </w:tr>
    </w:tbl>
    <w:p>
      <w:pPr>
        <w:spacing w:after="20"/>
      </w:pPr>
    </w:p>
    <w:p>
      <w:pPr>
        <w:pStyle w:val="ListBullet"/>
      </w:pPr>
      <w:r>
        <w:t>The fingerprint is the hero; a waveform is supporting provenance only.</w:t>
      </w:r>
    </w:p>
    <w:p>
      <w:pPr>
        <w:pStyle w:val="ListBullet"/>
      </w:pPr>
      <w:r>
        <w:t>No color may encode good/bad, healthy/unhealthy, or diagnosis.</w:t>
      </w:r>
    </w:p>
    <w:p>
      <w:pPr>
        <w:pStyle w:val="ListBullet"/>
      </w:pPr>
      <w:r>
        <w:t>Uncertainty must be visible. A beautiful complete fingerprint generated from incomplete evidence is a lie.</w:t>
      </w:r>
    </w:p>
    <w:p>
      <w:pPr>
        <w:pStyle w:val="ListBullet"/>
      </w:pPr>
      <w:r>
        <w:t>The written Reflection and Resonance Signature must consume the same immutable result object.</w:t>
      </w:r>
    </w:p>
    <w:p>
      <w:pPr>
        <w:pStyle w:val="Heading1"/>
      </w:pPr>
      <w:r>
        <w:t>16. Validation program</w:t>
      </w:r>
    </w:p>
    <w:p>
      <w:pPr>
        <w:pStyle w:val="Subtitle"/>
      </w:pPr>
      <w:r>
        <w:t>How this becomes evidence-based rather than merely evidence-inspired</w:t>
      </w:r>
    </w:p>
    <w:p>
      <w:pPr>
        <w:pStyle w:val="Heading2"/>
      </w:pPr>
      <w:r>
        <w:t>16.1 Phase gates</w:t>
      </w:r>
    </w:p>
    <w:tbl>
      <w:tblPr>
        <w:tblStyle w:val="TableGrid"/>
        <w:tblW w:type="dxa" w:w="972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51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Phase</w:t>
            </w:r>
          </w:p>
        </w:tc>
        <w:tc>
          <w:tcPr>
            <w:tcW w:type="dxa" w:w="1872"/>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Goal</w:t>
            </w:r>
          </w:p>
        </w:tc>
        <w:tc>
          <w:tcPr>
            <w:tcW w:type="dxa" w:w="453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Minimum work</w:t>
            </w:r>
          </w:p>
        </w:tc>
        <w:tc>
          <w:tcPr>
            <w:tcW w:type="dxa" w:w="1800"/>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Release effect</w:t>
            </w:r>
          </w:p>
        </w:tc>
      </w:tr>
      <w:tr>
        <w:trPr>
          <w:cantSplit/>
        </w:trPr>
        <w:tc>
          <w:tcPr>
            <w:tcW w:type="dxa" w:w="151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0 — Measurement</w:t>
            </w:r>
          </w:p>
        </w:tc>
        <w:tc>
          <w:tcPr>
            <w:tcW w:type="dxa" w:w="187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Verify feature correctness.</w:t>
            </w:r>
          </w:p>
        </w:tc>
        <w:tc>
          <w:tcPr>
            <w:tcW w:type="dxa" w:w="453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Golden audio fixtures; Praat/openSMILE comparison; device/noise tests; extractor reproducibility.</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Only raw/evidence views.</w:t>
            </w:r>
          </w:p>
        </w:tc>
      </w:tr>
      <w:tr>
        <w:trPr>
          <w:cantSplit/>
        </w:trPr>
        <w:tc>
          <w:tcPr>
            <w:tcW w:type="dxa" w:w="151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1 — Reliability</w:t>
            </w:r>
          </w:p>
        </w:tc>
        <w:tc>
          <w:tcPr>
            <w:tcW w:type="dxa" w:w="187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Measure repeatability and baseline stability.</w:t>
            </w:r>
          </w:p>
        </w:tc>
        <w:tc>
          <w:tcPr>
            <w:tcW w:type="dxa" w:w="453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Test–retest; task effects; within-person variance; ICC/MDC; missingness analysis.</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Personal change language remains conservative.</w:t>
            </w:r>
          </w:p>
        </w:tc>
      </w:tr>
      <w:tr>
        <w:trPr>
          <w:cantSplit/>
        </w:trPr>
        <w:tc>
          <w:tcPr>
            <w:tcW w:type="dxa" w:w="151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2 — Construct</w:t>
            </w:r>
          </w:p>
        </w:tc>
        <w:tc>
          <w:tcPr>
            <w:tcW w:type="dxa" w:w="187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Test dimensions against preregistered observations.</w:t>
            </w:r>
          </w:p>
        </w:tc>
        <w:tc>
          <w:tcPr>
            <w:tcW w:type="dxa" w:w="453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Self-report/context anchors; convergent/discriminant validity; confound models.</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Provisional constellation states.</w:t>
            </w:r>
          </w:p>
        </w:tc>
      </w:tr>
      <w:tr>
        <w:trPr>
          <w:cantSplit/>
        </w:trPr>
        <w:tc>
          <w:tcPr>
            <w:tcW w:type="dxa" w:w="151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3 — Generalization</w:t>
            </w:r>
          </w:p>
        </w:tc>
        <w:tc>
          <w:tcPr>
            <w:tcW w:type="dxa" w:w="187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Evaluate across people and environments.</w:t>
            </w:r>
          </w:p>
        </w:tc>
        <w:tc>
          <w:tcPr>
            <w:tcW w:type="dxa" w:w="453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Held-out devices, languages, accents, ages, sex/gender, neurotypes; subgroup calibration.</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Broader beta only after fairness gates.</w:t>
            </w:r>
          </w:p>
        </w:tc>
      </w:tr>
      <w:tr>
        <w:trPr>
          <w:cantSplit/>
        </w:trPr>
        <w:tc>
          <w:tcPr>
            <w:tcW w:type="dxa" w:w="151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4 — Longitudinal</w:t>
            </w:r>
          </w:p>
        </w:tc>
        <w:tc>
          <w:tcPr>
            <w:tcW w:type="dxa" w:w="1872"/>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Test whether movement means what the UI says.</w:t>
            </w:r>
          </w:p>
        </w:tc>
        <w:tc>
          <w:tcPr>
            <w:tcW w:type="dxa" w:w="453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Repeated scans; ecological momentary context; transition/recovery analysis.</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Timeline and momentum claims.</w:t>
            </w:r>
          </w:p>
        </w:tc>
      </w:tr>
      <w:tr>
        <w:trPr>
          <w:cantSplit/>
        </w:trPr>
        <w:tc>
          <w:tcPr>
            <w:tcW w:type="dxa" w:w="151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5 — Outcome</w:t>
            </w:r>
          </w:p>
        </w:tc>
        <w:tc>
          <w:tcPr>
            <w:tcW w:type="dxa" w:w="1872"/>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Assess whether reflection helps without causing harm.</w:t>
            </w:r>
          </w:p>
        </w:tc>
        <w:tc>
          <w:tcPr>
            <w:tcW w:type="dxa" w:w="453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Comprehension, agency, distress, false-certainty, behavior and support outcomes.</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Marketing claims limited to demonstrated outcomes.</w:t>
            </w:r>
          </w:p>
        </w:tc>
      </w:tr>
    </w:tbl>
    <w:p>
      <w:pPr>
        <w:spacing w:after="20"/>
      </w:pPr>
    </w:p>
    <w:p>
      <w:pPr>
        <w:pStyle w:val="Heading2"/>
      </w:pPr>
      <w:r>
        <w:t>16.2 Ground-truth strategy</w:t>
      </w:r>
    </w:p>
    <w:p>
      <w:pPr>
        <w:pStyle w:val="ListBullet"/>
      </w:pPr>
      <w:r>
        <w:t>Do not use one mood questionnaire as “truth.” Use multiple anchors: task condition, user reflection, repeated measurements, observer ratings where appropriate, and physiological measures only in properly governed studies.</w:t>
      </w:r>
    </w:p>
    <w:p>
      <w:pPr>
        <w:pStyle w:val="ListBullet"/>
      </w:pPr>
      <w:r>
        <w:t>Separate expressed affect from felt affect. Speech can communicate an expression that differs from subjective experience.</w:t>
      </w:r>
    </w:p>
    <w:p>
      <w:pPr>
        <w:pStyle w:val="ListBullet"/>
      </w:pPr>
      <w:r>
        <w:t>Pre-register primary hypotheses, feature families, thresholds, exclusions, and metrics before testing.</w:t>
      </w:r>
    </w:p>
    <w:p>
      <w:pPr>
        <w:pStyle w:val="ListBullet"/>
      </w:pPr>
      <w:r>
        <w:t>Use nested participant-level splits. Never place the same speaker in train and test sets.</w:t>
      </w:r>
    </w:p>
    <w:p>
      <w:pPr>
        <w:pStyle w:val="ListBullet"/>
      </w:pPr>
      <w:r>
        <w:t>Report calibration, uncertainty, subgroup performance, false-positive costs, and abstention—not only accuracy or AUC.</w:t>
      </w:r>
    </w:p>
    <w:p>
      <w:pPr>
        <w:pStyle w:val="ListBullet"/>
      </w:pPr>
      <w:r>
        <w:t>Validate every display name with users for comprehension and unintended judgment.</w:t>
      </w:r>
    </w:p>
    <w:p>
      <w:pPr>
        <w:pStyle w:val="Heading2"/>
      </w:pPr>
      <w:r>
        <w:t>16.3 Immediate engineering priorities</w:t>
      </w:r>
    </w:p>
    <w:p>
      <w:pPr>
        <w:pStyle w:val="ListNumber"/>
      </w:pPr>
      <w:r>
        <w:t>Reconnect validated server-side/Praat-grade feature extraction to production; tag browser approximations as low-reliability until proven.</w:t>
      </w:r>
    </w:p>
    <w:p>
      <w:pPr>
        <w:pStyle w:val="ListNumber"/>
      </w:pPr>
      <w:r>
        <w:t>Implement feature definitions, units, versions, task compatibility, and baseline trust as database-enforced fields.</w:t>
      </w:r>
    </w:p>
    <w:p>
      <w:pPr>
        <w:pStyle w:val="ListNumber"/>
      </w:pPr>
      <w:r>
        <w:t>Create immutable Evidence Ledger and Decision Ledger schemas before adding more result copy.</w:t>
      </w:r>
    </w:p>
    <w:p>
      <w:pPr>
        <w:pStyle w:val="ListNumber"/>
      </w:pPr>
      <w:r>
        <w:t>Build the four dimension registries and unresolved behavior before expanding the state library.</w:t>
      </w:r>
    </w:p>
    <w:p>
      <w:pPr>
        <w:pStyle w:val="ListNumber"/>
      </w:pPr>
      <w:r>
        <w:t>Implement the eight high-value cross-constellation rules and a trace viewer for debugging.</w:t>
      </w:r>
    </w:p>
    <w:p>
      <w:pPr>
        <w:pStyle w:val="ListNumber"/>
      </w:pPr>
      <w:r>
        <w:t>Create a gold-standard test corpus covering noise, clipping, quiet speech, vocal fry, illness, masks, mic changes, and deliberately varied prompts.</w:t>
      </w:r>
    </w:p>
    <w:p>
      <w:pPr>
        <w:pStyle w:val="Heading1"/>
      </w:pPr>
      <w:r>
        <w:t>17. Machine-readable registry blueprint</w:t>
      </w:r>
    </w:p>
    <w:p>
      <w:pPr>
        <w:pStyle w:val="Subtitle"/>
      </w:pPr>
      <w:r>
        <w:t>Suggested canonical objects</w:t>
      </w:r>
    </w:p>
    <w:p>
      <w:pPr>
        <w:pStyle w:val="Heading2"/>
      </w:pPr>
      <w:r>
        <w:t>17.1 Dimension definition</w:t>
      </w:r>
    </w:p>
    <w:p>
      <w:pPr>
        <w:pStyle w:val="SSSmall"/>
      </w:pPr>
      <w:r>
        <w:t>{</w:t>
        <w:br/>
        <w:t xml:space="preserve">  "dimension_id": "COG-P1",</w:t>
        <w:br/>
        <w:t xml:space="preserve">  "name": "Organization",</w:t>
        <w:br/>
        <w:t xml:space="preserve">  "version": "0.1.0",</w:t>
        <w:br/>
        <w:t xml:space="preserve">  "status": "provisional",</w:t>
        <w:br/>
        <w:t xml:space="preserve">  "required_families": ["temporal_rhythm", "prosody_or_articulation"],</w:t>
        <w:br/>
        <w:t xml:space="preserve">  "minimum_valid_voiced_seconds": 12,</w:t>
        <w:br/>
        <w:t xml:space="preserve">  "baseline_policy": "compatible_personal_or_within_session",</w:t>
        <w:br/>
        <w:t xml:space="preserve">  "support_rules": [],</w:t>
        <w:br/>
        <w:t xml:space="preserve">  "contradiction_rules": [],</w:t>
        <w:br/>
        <w:t xml:space="preserve">  "confound_rules": [],</w:t>
        <w:br/>
        <w:t xml:space="preserve">  "prohibited_inferences": ["intelligence", "diagnosis", "truthfulness"]</w:t>
        <w:br/>
        <w:t>}</w:t>
      </w:r>
    </w:p>
    <w:p>
      <w:pPr>
        <w:pStyle w:val="Heading2"/>
      </w:pPr>
      <w:r>
        <w:t>17.2 State definition</w:t>
      </w:r>
    </w:p>
    <w:p>
      <w:pPr>
        <w:pStyle w:val="SSSmall"/>
      </w:pPr>
      <w:r>
        <w:t>{</w:t>
        <w:br/>
        <w:t xml:space="preserve">  "state_id": "COG-017",</w:t>
        <w:br/>
        <w:t xml:space="preserve">  "display_name": "Deliberate Builder",</w:t>
        <w:br/>
        <w:t xml:space="preserve">  "registry_version": "0.1.0",</w:t>
        <w:br/>
        <w:t xml:space="preserve">  "lifecycle": "provisional",</w:t>
        <w:br/>
        <w:t xml:space="preserve">  "region": {</w:t>
        <w:br/>
        <w:t xml:space="preserve">    "organization": [0.70, 1.00],</w:t>
        <w:br/>
        <w:t xml:space="preserve">    "exploration": [0.20, 0.60],</w:t>
        <w:br/>
        <w:t xml:space="preserve">    "focus_continuity": [0.55, 1.00],</w:t>
        <w:br/>
        <w:t xml:space="preserve">    "processing_demand": [0.55, 1.00]</w:t>
        <w:br/>
        <w:t xml:space="preserve">  },</w:t>
        <w:br/>
        <w:t xml:space="preserve">  "minimum_confidence": 0.65,</w:t>
        <w:br/>
        <w:t xml:space="preserve">  "required_evidence": [],</w:t>
        <w:br/>
        <w:t xml:space="preserve">  "exclusions": [],</w:t>
        <w:br/>
        <w:t xml:space="preserve">  "adjacent_states": ["COG-014", "COG-018"],</w:t>
        <w:br/>
        <w:t xml:space="preserve">  "narrative_templates": {},</w:t>
        <w:br/>
        <w:t xml:space="preserve">  "visual_profile": {}</w:t>
        <w:br/>
        <w:t>}</w:t>
      </w:r>
    </w:p>
    <w:p>
      <w:pPr>
        <w:pStyle w:val="Heading2"/>
      </w:pPr>
      <w:r>
        <w:t>17.3 Decision result</w:t>
      </w:r>
    </w:p>
    <w:p>
      <w:pPr>
        <w:pStyle w:val="SSSmall"/>
      </w:pPr>
      <w:r>
        <w:t>{</w:t>
        <w:br/>
        <w:t xml:space="preserve">  "constellation": "COG",</w:t>
        <w:br/>
        <w:t xml:space="preserve">  "point_posteriors": {},</w:t>
        <w:br/>
        <w:t xml:space="preserve">  "geometry": {},</w:t>
        <w:br/>
        <w:t xml:space="preserve">  "winner": "COG-017",</w:t>
        <w:br/>
        <w:t xml:space="preserve">  "alternatives": [{"state_id": "COG-014", "fit": 0.61}],</w:t>
        <w:br/>
        <w:t xml:space="preserve">  "boundary_blend": null,</w:t>
        <w:br/>
        <w:t xml:space="preserve">  "supporting_evidence_ids": [],</w:t>
        <w:br/>
        <w:t xml:space="preserve">  "contradicting_evidence_ids": [],</w:t>
        <w:br/>
        <w:t xml:space="preserve">  "missing_evidence": [],</w:t>
        <w:br/>
        <w:t xml:space="preserve">  "confounds": [],</w:t>
        <w:br/>
        <w:t xml:space="preserve">  "why_won": [],</w:t>
        <w:br/>
        <w:t xml:space="preserve">  "why_others_lost": [],</w:t>
        <w:br/>
        <w:t xml:space="preserve">  "confidence": 0.71,</w:t>
        <w:br/>
        <w:t xml:space="preserve">  "rule_version": "constellation-0.1.0"</w:t>
        <w:br/>
        <w:t>}</w:t>
      </w:r>
    </w:p>
    <w:p>
      <w:pPr>
        <w:pStyle w:val="Heading1"/>
      </w:pPr>
      <w:r>
        <w:t>18. Registry governance</w:t>
      </w:r>
    </w:p>
    <w:p>
      <w:pPr>
        <w:pStyle w:val="Subtitle"/>
      </w:pPr>
      <w:r>
        <w:t>How the Bible changes without breaking the product</w:t>
      </w:r>
    </w:p>
    <w:tbl>
      <w:tblPr>
        <w:tblStyle w:val="TableGrid"/>
        <w:tblW w:type="dxa" w:w="9720"/>
        <w:jc w:val="center"/>
        <w:tblLayout w:type="fixed"/>
        <w:tblLook w:firstColumn="1" w:firstRow="1" w:lastColumn="0" w:lastRow="0" w:noHBand="0" w:noVBand="1" w:val="04A0"/>
      </w:tblPr>
      <w:tblGrid>
        <w:gridCol w:w="4968"/>
        <w:gridCol w:w="4968"/>
      </w:tblGrid>
      <w:tr>
        <w:trPr>
          <w:tblHeader w:val="true"/>
          <w:cantSplit/>
        </w:trPr>
        <w:tc>
          <w:tcPr>
            <w:tcW w:type="dxa" w:w="19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Rule</w:t>
            </w:r>
          </w:p>
        </w:tc>
        <w:tc>
          <w:tcPr>
            <w:tcW w:type="dxa" w:w="777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Requirement</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Permanent IDs</w:t>
            </w:r>
          </w:p>
        </w:tc>
        <w:tc>
          <w:tcPr>
            <w:tcW w:type="dxa" w:w="77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Never recycle or silently repurpose state, dimension, pattern, feature, or interaction IDs.</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Display names</w:t>
            </w:r>
          </w:p>
        </w:tc>
        <w:tc>
          <w:tcPr>
            <w:tcW w:type="dxa" w:w="77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May change with a versioned alias history and migration note.</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Semantic changes</w:t>
            </w:r>
          </w:p>
        </w:tc>
        <w:tc>
          <w:tcPr>
            <w:tcW w:type="dxa" w:w="77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Material meaning changes require a new ID.</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Threshold changes</w:t>
            </w:r>
          </w:p>
        </w:tc>
        <w:tc>
          <w:tcPr>
            <w:tcW w:type="dxa" w:w="77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Version the rule set; preserve the exact version used for every historical scan.</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Deprecation</w:t>
            </w:r>
          </w:p>
        </w:tc>
        <w:tc>
          <w:tcPr>
            <w:tcW w:type="dxa" w:w="77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Keep historical definitions readable; do not rewrite past results.</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Research status</w:t>
            </w:r>
          </w:p>
        </w:tc>
        <w:tc>
          <w:tcPr>
            <w:tcW w:type="dxa" w:w="77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Every item is labeled research-only, provisional, active, deprecated, or prohibited.</w:t>
            </w:r>
          </w:p>
        </w:tc>
      </w:tr>
      <w:tr>
        <w:trPr>
          <w:cantSplit/>
        </w:trPr>
        <w:tc>
          <w:tcPr>
            <w:tcW w:type="dxa" w:w="19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Approval</w:t>
            </w:r>
          </w:p>
        </w:tc>
        <w:tc>
          <w:tcPr>
            <w:tcW w:type="dxa" w:w="777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Scientific, product, privacy, and narrative review required before activation.</w:t>
            </w:r>
          </w:p>
        </w:tc>
      </w:tr>
      <w:tr>
        <w:trPr>
          <w:cantSplit/>
        </w:trPr>
        <w:tc>
          <w:tcPr>
            <w:tcW w:type="dxa" w:w="19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Audit</w:t>
            </w:r>
          </w:p>
        </w:tc>
        <w:tc>
          <w:tcPr>
            <w:tcW w:type="dxa" w:w="777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Every production result must be reproducible from stored definitions and ledger evidence.</w:t>
            </w:r>
          </w:p>
        </w:tc>
      </w:tr>
    </w:tbl>
    <w:p>
      <w:pPr>
        <w:spacing w:after="20"/>
      </w:pPr>
    </w:p>
    <w:p>
      <w:pPr>
        <w:pStyle w:val="Heading1"/>
      </w:pPr>
      <w:r>
        <w:t>19. Research synthesis</w:t>
      </w:r>
    </w:p>
    <w:p>
      <w:pPr>
        <w:pStyle w:val="Subtitle"/>
      </w:pPr>
      <w:r>
        <w:t>Evidence used to set the v0.1 boundaries</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230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Source area</w:t>
            </w:r>
          </w:p>
        </w:tc>
        <w:tc>
          <w:tcPr>
            <w:tcW w:type="dxa" w:w="374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What SoulScope adopts</w:t>
            </w:r>
          </w:p>
        </w:tc>
        <w:tc>
          <w:tcPr>
            <w:tcW w:type="dxa" w:w="3671"/>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What SoulScope rejects or limits</w:t>
            </w:r>
          </w:p>
        </w:tc>
      </w:tr>
      <w:tr>
        <w:trPr>
          <w:cantSplit/>
        </w:trPr>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eGeMAPS / acoustic standards</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Small standardized, interpretable feature vocabulary and versioned extraction.</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Treating benchmark performance as proof of individual emotion truth.</w:t>
            </w:r>
          </w:p>
        </w:tc>
      </w:tr>
      <w:tr>
        <w:trPr>
          <w:cantSplit/>
        </w:trPr>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Vocal emotion research</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Many-to-many acoustic cue patterns and dimensional activation/valence framing.</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One cue → one emotion; acted-corpus accuracy as real-world certainty.</w:t>
            </w:r>
          </w:p>
        </w:tc>
      </w:tr>
      <w:tr>
        <w:trPr>
          <w:cantSplit/>
        </w:trPr>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Stress acoustics</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Convergent multi-feature change and personal baseline.</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Universal direction, single-feature stress labels, deception inference.</w:t>
            </w:r>
          </w:p>
        </w:tc>
      </w:tr>
      <w:tr>
        <w:trPr>
          <w:cantSplit/>
        </w:trPr>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Voice health biomarkers</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Research potential, longitudinal methods, strict validation/fairness/privacy.</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Clinical conclusions without prospective external validation.</w:t>
            </w:r>
          </w:p>
        </w:tc>
      </w:tr>
      <w:tr>
        <w:trPr>
          <w:cantSplit/>
        </w:trPr>
        <w:tc>
          <w:tcPr>
            <w:tcW w:type="dxa" w:w="230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Layered Voice Analysis</w:t>
            </w:r>
          </w:p>
        </w:tc>
        <w:tc>
          <w:tcPr>
            <w:tcW w:type="dxa" w:w="374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Calibration, segmentation, temporal state, dense telemetry, prompt/topic aggregation.</w:t>
            </w:r>
          </w:p>
        </w:tc>
        <w:tc>
          <w:tcPr>
            <w:tcW w:type="dxa" w:w="3671"/>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Proprietary score cloning, authenticity/truth claims, black-box authority.</w:t>
            </w:r>
          </w:p>
        </w:tc>
      </w:tr>
      <w:tr>
        <w:trPr>
          <w:cantSplit/>
        </w:trPr>
        <w:tc>
          <w:tcPr>
            <w:tcW w:type="dxa" w:w="230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Speech-emotion ML</w:t>
            </w:r>
          </w:p>
        </w:tc>
        <w:tc>
          <w:tcPr>
            <w:tcW w:type="dxa" w:w="374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Abstention, out-of-corpus tests, label uncertainty, speaker-level splits.</w:t>
            </w:r>
          </w:p>
        </w:tc>
        <w:tc>
          <w:tcPr>
            <w:tcW w:type="dxa" w:w="3671"/>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Closed-corpus headline accuracy and opaque embeddings as product explanation.</w:t>
            </w:r>
          </w:p>
        </w:tc>
      </w:tr>
    </w:tbl>
    <w:p>
      <w:pPr>
        <w:spacing w:after="20"/>
      </w:pPr>
    </w:p>
    <w:p>
      <w:pPr>
        <w:pStyle w:val="Heading1"/>
      </w:pPr>
      <w:r>
        <w:t>20. Sources</w:t>
      </w:r>
    </w:p>
    <w:p>
      <w:pPr>
        <w:pStyle w:val="Subtitle"/>
      </w:pPr>
      <w:r>
        <w:t>Primary and high-value review sources</w:t>
      </w:r>
    </w:p>
    <w:p>
      <w:pPr>
        <w:pStyle w:val="SSSmall"/>
      </w:pPr>
      <w:r>
        <w:rPr>
          <w:b/>
        </w:rPr>
        <w:t xml:space="preserve">Eyben et al. — The Geneva Minimalistic Acoustic Parameter Set (GeMAPS) for Voice Research and Affective Computing: </w:t>
      </w:r>
      <w:r>
        <w:t>https://ieeexplore.ieee.org/document/7160715/</w:t>
      </w:r>
    </w:p>
    <w:p>
      <w:pPr>
        <w:pStyle w:val="SSSmall"/>
      </w:pPr>
      <w:r>
        <w:rPr>
          <w:b/>
        </w:rPr>
        <w:t xml:space="preserve">openSMILE documentation — current eGeMAPS feature-set versions and levels: </w:t>
      </w:r>
      <w:r>
        <w:t>https://audeering.github.io/opensmile-python/</w:t>
      </w:r>
    </w:p>
    <w:p>
      <w:pPr>
        <w:pStyle w:val="SSSmall"/>
      </w:pPr>
      <w:r>
        <w:rPr>
          <w:b/>
        </w:rPr>
        <w:t xml:space="preserve">Scherer — Vocal communication of emotion: a review of research paradigms: </w:t>
      </w:r>
      <w:r>
        <w:t>https://www1.cs.columbia.edu/~julia/papers/2003_Scherer_SpeechComm.pdf</w:t>
      </w:r>
    </w:p>
    <w:p>
      <w:pPr>
        <w:pStyle w:val="SSSmall"/>
      </w:pPr>
      <w:r>
        <w:rPr>
          <w:b/>
        </w:rPr>
        <w:t xml:space="preserve">Juslin &amp; Laukka — Communication of emotions in vocal expression and music performance: </w:t>
      </w:r>
      <w:r>
        <w:t>https://pubmed.ncbi.nlm.nih.gov/12956543/</w:t>
      </w:r>
    </w:p>
    <w:p>
      <w:pPr>
        <w:pStyle w:val="SSSmall"/>
      </w:pPr>
      <w:r>
        <w:rPr>
          <w:b/>
        </w:rPr>
        <w:t xml:space="preserve">Schewski et al. — Measuring negative emotions and stress through acoustic voice analysis: </w:t>
      </w:r>
      <w:r>
        <w:t>https://pmc.ncbi.nlm.nih.gov/articles/PMC12289014/</w:t>
      </w:r>
    </w:p>
    <w:p>
      <w:pPr>
        <w:pStyle w:val="SSSmall"/>
      </w:pPr>
      <w:r>
        <w:rPr>
          <w:b/>
        </w:rPr>
        <w:t xml:space="preserve">Kirchhuebel et al. — Acoustic correlates of speech when under stress: </w:t>
      </w:r>
      <w:r>
        <w:t>https://pure.york.ac.uk/portal/en/publications/acoustic-correlates-of-speech-when-under-stress-research-methods-/</w:t>
      </w:r>
    </w:p>
    <w:p>
      <w:pPr>
        <w:pStyle w:val="SSSmall"/>
      </w:pPr>
      <w:r>
        <w:rPr>
          <w:b/>
        </w:rPr>
        <w:t xml:space="preserve">de Lacerda Veiga et al. — Fundamental frequency as a potential stress biomarker: systematic review/meta-analysis: </w:t>
      </w:r>
      <w:r>
        <w:t>https://pubmed.ncbi.nlm.nih.gov/41102940/</w:t>
      </w:r>
    </w:p>
    <w:p>
      <w:pPr>
        <w:pStyle w:val="SSSmall"/>
      </w:pPr>
      <w:r>
        <w:rPr>
          <w:b/>
        </w:rPr>
        <w:t xml:space="preserve">Fagherazzi et al. — Voice for Health: vocal biomarkers from research to clinical practice: </w:t>
      </w:r>
      <w:r>
        <w:t>https://pmc.ncbi.nlm.nih.gov/articles/PMC8138221/</w:t>
      </w:r>
    </w:p>
    <w:p>
      <w:pPr>
        <w:pStyle w:val="SSSmall"/>
      </w:pPr>
      <w:r>
        <w:rPr>
          <w:b/>
        </w:rPr>
        <w:t xml:space="preserve">Jordan et al. — Speech Emotion Recognition in Mental Health: </w:t>
      </w:r>
      <w:r>
        <w:t>https://pmc.ncbi.nlm.nih.gov/articles/PMC12521853/</w:t>
      </w:r>
    </w:p>
    <w:p>
      <w:pPr>
        <w:pStyle w:val="SSSmall"/>
      </w:pPr>
      <w:r>
        <w:rPr>
          <w:b/>
        </w:rPr>
        <w:t xml:space="preserve">Ahn et al. — Speech emotion recognition, labeling reliability, and out-of-corpus generalization: </w:t>
      </w:r>
      <w:r>
        <w:t>https://pmc.ncbi.nlm.nih.gov/articles/PMC11244487/</w:t>
      </w:r>
    </w:p>
    <w:p>
      <w:pPr>
        <w:pStyle w:val="SSSmall"/>
      </w:pPr>
      <w:r>
        <w:rPr>
          <w:b/>
        </w:rPr>
        <w:t xml:space="preserve">Harnsberger et al. — Stress and deception in speech: evaluating LVA: </w:t>
      </w:r>
      <w:r>
        <w:t>https://pubmed.ncbi.nlm.nih.gov/19432740/</w:t>
      </w:r>
    </w:p>
    <w:p>
      <w:pPr>
        <w:pStyle w:val="SSSmall"/>
      </w:pPr>
      <w:r>
        <w:rPr>
          <w:b/>
        </w:rPr>
        <w:t xml:space="preserve">Horvath et al. — Accuracy of auditors and LVA operators: </w:t>
      </w:r>
      <w:r>
        <w:t>https://pubmed.ncbi.nlm.nih.gov/23406506/</w:t>
      </w:r>
    </w:p>
    <w:p>
      <w:pPr>
        <w:pStyle w:val="SSSmall"/>
      </w:pPr>
      <w:r>
        <w:rPr>
          <w:b/>
        </w:rPr>
        <w:t xml:space="preserve">Tani et al. 2024 — Organizational intervention using LVA: </w:t>
      </w:r>
      <w:r>
        <w:t>https://pmc.ncbi.nlm.nih.gov/articles/PMC11460070/</w:t>
      </w:r>
    </w:p>
    <w:p>
      <w:pPr>
        <w:pStyle w:val="SSSmall"/>
      </w:pPr>
      <w:r>
        <w:rPr>
          <w:b/>
        </w:rPr>
        <w:t xml:space="preserve">Tani et al. 2025 — ESAS/LVA prospective occupational-health study: </w:t>
      </w:r>
      <w:r>
        <w:t>https://academic.oup.com/joh/article/67/1/uiaf060/8295633</w:t>
      </w:r>
    </w:p>
    <w:p>
      <w:pPr>
        <w:pStyle w:val="SSSmall"/>
      </w:pPr>
      <w:r>
        <w:rPr>
          <w:b/>
        </w:rPr>
        <w:t xml:space="preserve">EmotionLogic — Developer and product documentation: </w:t>
      </w:r>
      <w:r>
        <w:t>https://emotionlogic.ai/developers</w:t>
      </w:r>
    </w:p>
    <w:p>
      <w:pPr>
        <w:pStyle w:val="SSSmall"/>
      </w:pPr>
      <w:r>
        <w:rPr>
          <w:b/>
        </w:rPr>
        <w:t xml:space="preserve">EmotionLogic — Terms governing proprietary algorithms and report structures: </w:t>
      </w:r>
      <w:r>
        <w:t>https://emotionlogic.ai/terms</w:t>
      </w:r>
    </w:p>
    <w:tbl>
      <w:tblPr>
        <w:tblW w:type="dxa" w:w="9720"/>
        <w:jc w:val="center"/>
        <w:tblLayout w:type="fixed"/>
        <w:tblLook w:firstColumn="1" w:firstRow="1" w:lastColumn="0" w:lastRow="0" w:noHBand="0" w:noVBand="1" w:val="04A0"/>
      </w:tblPr>
      <w:tblGrid>
        <w:gridCol w:w="9936"/>
      </w:tblGrid>
      <w:tr>
        <w:trPr>
          <w:cantSplit/>
        </w:trPr>
        <w:tc>
          <w:tcPr>
            <w:tcW w:type="dxa" w:w="9720"/>
            <w:shd w:fill="FFF8E8"/>
            <w:tcMar>
              <w:top w:w="130" w:type="dxa"/>
              <w:start w:w="160" w:type="dxa"/>
              <w:bottom w:w="130" w:type="dxa"/>
              <w:end w:w="160" w:type="dxa"/>
            </w:tcMar>
          </w:tcPr>
          <w:p>
            <w:pPr>
              <w:spacing w:after="40"/>
            </w:pPr>
            <w:r/>
            <w:r>
              <w:rPr>
                <w:rFonts w:ascii="Liberation Sans" w:hAnsi="Liberation Sans"/>
                <w:b/>
                <w:color w:val="8A6815"/>
                <w:sz w:val="16"/>
              </w:rPr>
              <w:t>EVIDENCE NOTE</w:t>
            </w:r>
          </w:p>
          <w:p>
            <w:pPr>
              <w:spacing w:after="0"/>
            </w:pPr>
            <w:r>
              <w:rPr>
                <w:rFonts w:ascii="Liberation Sans" w:hAnsi="Liberation Sans"/>
                <w:color w:val="14212B"/>
                <w:sz w:val="19"/>
              </w:rPr>
              <w:t>Vendor descriptions are included to understand architecture and claimed outputs, not as independent validation. Where vendor claims and external evidence differ, SoulScope follows the external evidence and the narrower claim.</w:t>
            </w:r>
          </w:p>
        </w:tc>
      </w:tr>
    </w:tbl>
    <w:p>
      <w:pPr>
        <w:spacing w:after="20"/>
      </w:pPr>
    </w:p>
    <w:p>
      <w:pPr>
        <w:pStyle w:val="Heading1"/>
      </w:pPr>
      <w:r>
        <w:t>21. Decision log for v0.1</w:t>
      </w:r>
    </w:p>
    <w:p>
      <w:pPr>
        <w:pStyle w:val="Subtitle"/>
      </w:pPr>
      <w:r>
        <w:t>What is fixed, provisional, and intentionally deferred</w:t>
      </w:r>
    </w:p>
    <w:tbl>
      <w:tblPr>
        <w:tblStyle w:val="TableGrid"/>
        <w:tblW w:type="dxa" w:w="9720"/>
        <w:jc w:val="center"/>
        <w:tblLayout w:type="fixed"/>
        <w:tblLook w:firstColumn="1" w:firstRow="1" w:lastColumn="0" w:lastRow="0" w:noHBand="0" w:noVBand="1" w:val="04A0"/>
      </w:tblPr>
      <w:tblGrid>
        <w:gridCol w:w="3312"/>
        <w:gridCol w:w="3312"/>
        <w:gridCol w:w="3312"/>
      </w:tblGrid>
      <w:tr>
        <w:trPr>
          <w:tblHeader w:val="true"/>
          <w:cantSplit/>
        </w:trPr>
        <w:tc>
          <w:tcPr>
            <w:tcW w:type="dxa" w:w="3456"/>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Decision</w:t>
            </w:r>
          </w:p>
        </w:tc>
        <w:tc>
          <w:tcPr>
            <w:tcW w:type="dxa" w:w="1800"/>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Status</w:t>
            </w:r>
          </w:p>
        </w:tc>
        <w:tc>
          <w:tcPr>
            <w:tcW w:type="dxa" w:w="4464"/>
            <w:vAlign w:val="center"/>
            <w:tcMar>
              <w:top w:w="90" w:type="dxa"/>
              <w:start w:w="110" w:type="dxa"/>
              <w:bottom w:w="90" w:type="dxa"/>
              <w:end w:w="110" w:type="dxa"/>
            </w:tcMar>
            <w:shd w:fill="070D14"/>
          </w:tcPr>
          <w:p>
            <w:pPr>
              <w:spacing w:after="0" w:line="259" w:lineRule="auto"/>
            </w:pPr>
            <w:r/>
            <w:r>
              <w:rPr>
                <w:rFonts w:ascii="Liberation Sans" w:hAnsi="Liberation Sans"/>
                <w:b/>
                <w:color w:val="FFFFFF"/>
                <w:sz w:val="16"/>
              </w:rPr>
              <w:t>Rationale</w:t>
            </w:r>
          </w:p>
        </w:tc>
      </w:tr>
      <w:tr>
        <w:trPr>
          <w:cantSplit/>
        </w:trPr>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Evidence Ledger is the only inference gateway.</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FIXED</w:t>
            </w:r>
          </w:p>
        </w:tc>
        <w:tc>
          <w:tcPr>
            <w:tcW w:type="dxa" w:w="44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Core safety and explainability requirement.</w:t>
            </w:r>
          </w:p>
        </w:tc>
      </w:tr>
      <w:tr>
        <w:trPr>
          <w:cantSplit/>
        </w:trPr>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Four constellations: COG, REG, CAP, EXP.</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PROVISIONAL</w:t>
            </w:r>
          </w:p>
        </w:tc>
        <w:tc>
          <w:tcPr>
            <w:tcW w:type="dxa" w:w="44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Strong conceptual separation; empirical factor structure still required.</w:t>
            </w:r>
          </w:p>
        </w:tc>
      </w:tr>
      <w:tr>
        <w:trPr>
          <w:cantSplit/>
        </w:trPr>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Sixteen point definitions in this edition.</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PROVISIONAL</w:t>
            </w:r>
          </w:p>
        </w:tc>
        <w:tc>
          <w:tcPr>
            <w:tcW w:type="dxa" w:w="44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Engineering-ready semantics; weights and discriminant validity untested.</w:t>
            </w:r>
          </w:p>
        </w:tc>
      </w:tr>
      <w:tr>
        <w:trPr>
          <w:cantSplit/>
        </w:trPr>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COG-017, EXP-009, REG-022 identifiers.</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RESERVED/FIXED</w:t>
            </w:r>
          </w:p>
        </w:tc>
        <w:tc>
          <w:tcPr>
            <w:tcW w:type="dxa" w:w="44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User-designated canonical identifiers retained.</w:t>
            </w:r>
          </w:p>
        </w:tc>
      </w:tr>
      <w:tr>
        <w:trPr>
          <w:cantSplit/>
        </w:trPr>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Seed state maps only, not exhaustive region catalog.</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FIXED APPROACH</w:t>
            </w:r>
          </w:p>
        </w:tc>
        <w:tc>
          <w:tcPr>
            <w:tcW w:type="dxa" w:w="44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Avoids combinatorial taxonomy and false precision.</w:t>
            </w:r>
          </w:p>
        </w:tc>
      </w:tr>
      <w:tr>
        <w:trPr>
          <w:cantSplit/>
        </w:trPr>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EmotionLogic backend cloning.</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REJECTED</w:t>
            </w:r>
          </w:p>
        </w:tc>
        <w:tc>
          <w:tcPr>
            <w:tcW w:type="dxa" w:w="44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Unavailable proprietary engine, terms, and weak support for high-stakes labels.</w:t>
            </w:r>
          </w:p>
        </w:tc>
      </w:tr>
      <w:tr>
        <w:trPr>
          <w:cantSplit/>
        </w:trPr>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LLM performs scoring or causation.</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REJECTED</w:t>
            </w:r>
          </w:p>
        </w:tc>
        <w:tc>
          <w:tcPr>
            <w:tcW w:type="dxa" w:w="44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Narrative model is a constrained verbalizer only.</w:t>
            </w:r>
          </w:p>
        </w:tc>
      </w:tr>
      <w:tr>
        <w:trPr>
          <w:cantSplit/>
        </w:trPr>
        <w:tc>
          <w:tcPr>
            <w:tcW w:type="dxa" w:w="3456"/>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Clinical/diagnostic/deception claims.</w:t>
            </w:r>
          </w:p>
        </w:tc>
        <w:tc>
          <w:tcPr>
            <w:tcW w:type="dxa" w:w="1800"/>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PROHIBITED</w:t>
            </w:r>
          </w:p>
        </w:tc>
        <w:tc>
          <w:tcPr>
            <w:tcW w:type="dxa" w:w="4464"/>
            <w:vAlign w:val="center"/>
            <w:tcMar>
              <w:top w:w="90" w:type="dxa"/>
              <w:start w:w="110" w:type="dxa"/>
              <w:bottom w:w="90" w:type="dxa"/>
              <w:end w:w="110" w:type="dxa"/>
            </w:tcMar>
            <w:shd w:fill="F2F7F8"/>
          </w:tcPr>
          <w:p>
            <w:pPr>
              <w:spacing w:after="0" w:line="259" w:lineRule="auto"/>
            </w:pPr>
            <w:r/>
            <w:r>
              <w:rPr>
                <w:rFonts w:ascii="Liberation Sans" w:hAnsi="Liberation Sans"/>
                <w:b w:val="0"/>
                <w:color w:val="14212B"/>
                <w:sz w:val="16"/>
              </w:rPr>
              <w:t>Outside evidence and product category.</w:t>
            </w:r>
          </w:p>
        </w:tc>
      </w:tr>
      <w:tr>
        <w:trPr>
          <w:cantSplit/>
        </w:trPr>
        <w:tc>
          <w:tcPr>
            <w:tcW w:type="dxa" w:w="3456"/>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Thresholds shown in v0.1.</w:t>
            </w:r>
          </w:p>
        </w:tc>
        <w:tc>
          <w:tcPr>
            <w:tcW w:type="dxa" w:w="1800"/>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RESEARCH PRIORS</w:t>
            </w:r>
          </w:p>
        </w:tc>
        <w:tc>
          <w:tcPr>
            <w:tcW w:type="dxa" w:w="4464"/>
            <w:vAlign w:val="center"/>
            <w:tcMar>
              <w:top w:w="90" w:type="dxa"/>
              <w:start w:w="110" w:type="dxa"/>
              <w:bottom w:w="90" w:type="dxa"/>
              <w:end w:w="110" w:type="dxa"/>
            </w:tcMar>
          </w:tcPr>
          <w:p>
            <w:pPr>
              <w:spacing w:after="0" w:line="259" w:lineRule="auto"/>
            </w:pPr>
            <w:r/>
            <w:r>
              <w:rPr>
                <w:rFonts w:ascii="Liberation Sans" w:hAnsi="Liberation Sans"/>
                <w:b w:val="0"/>
                <w:color w:val="14212B"/>
                <w:sz w:val="16"/>
              </w:rPr>
              <w:t>Must be calibrated and versioned before production.</w:t>
            </w:r>
          </w:p>
        </w:tc>
      </w:tr>
    </w:tbl>
    <w:p>
      <w:pPr>
        <w:spacing w:after="20"/>
      </w:pPr>
    </w:p>
    <w:p/>
    <w:p>
      <w:pPr>
        <w:jc w:val="center"/>
      </w:pPr>
      <w:r>
        <w:rPr>
          <w:rFonts w:ascii="Liberation Serif" w:hAnsi="Liberation Serif"/>
          <w:i/>
          <w:color w:val="A56CFF"/>
          <w:sz w:val="36"/>
        </w:rPr>
        <w:t>Recognition, not diagnosis.</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E6B75"/>
        <w:sz w:val="14"/>
      </w:rPr>
      <w:t>Research &amp; Architecture Foundation  •  July 28, 2026  •  Internal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E6B75"/>
        <w:sz w:val="14"/>
      </w:rPr>
      <w:t>SOULSCOPE™  |  CONSTELLATION BIBLE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iberation Sans" w:hAnsi="Liberation Sans"/>
      <w:color w:val="14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erif" w:hAnsi="Liberation Serif"/>
      <w:b w:val="0"/>
      <w:bCs/>
      <w:color w:val="070D14"/>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6B8BFF"/>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A56C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erif" w:hAnsi="Liberation Serif"/>
      <w:b w:val="0"/>
      <w:color w:val="070D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5E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360" w:hanging="259"/>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360" w:hanging="259"/>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SSmall">
    <w:name w:val="SS Small"/>
    <w:pPr>
      <w:spacing w:after="60"/>
    </w:pPr>
    <w:rPr>
      <w:rFonts w:ascii="Liberation Sans" w:hAnsi="Liberation Sans"/>
      <w:color w:val="5E6B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SoulScope Constellation Bible v0.1</dc:title>
  <dc:subject>Research and architecture foundation for the SoulScope evidence-to-reflection engine</dc:subject>
  <dc:creator>SoulScope</dc:creator>
  <cp:keywords>SoulScope, voice analysis, constellation engine, evidence ledger, resonance signature</cp:keywords>
  <dc:description>generated by python-docx</dc:description>
  <cp:lastModifiedBy/>
  <cp:revision>1</cp:revision>
  <dcterms:created xsi:type="dcterms:W3CDTF">2013-12-23T23:15:00Z</dcterms:created>
  <dcterms:modified xsi:type="dcterms:W3CDTF">2013-12-23T23:15:00Z</dcterms:modified>
  <cp:category/>
</cp:coreProperties>
</file>