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4E79"/>
          <w:sz w:val="56"/>
          <w:szCs w:val="56"/>
        </w:rPr>
        <w:t xml:space="preserve">EduGenie</w:t>
      </w:r>
    </w:p>
    <w:p>
      <w:pPr>
        <w:spacing w:after="400"/>
        <w:jc w:val="center"/>
      </w:pPr>
      <w:r>
        <w:rPr>
          <w:i/>
          <w:iCs/>
          <w:color w:val="595959"/>
          <w:sz w:val="28"/>
          <w:szCs w:val="28"/>
        </w:rPr>
        <w:t xml:space="preserve">AI-Powered Educational Assistant</w:t>
      </w:r>
    </w:p>
    <w:p>
      <w:pPr>
        <w:spacing w:after="200" w:before="800"/>
        <w:jc w:val="center"/>
      </w:pPr>
      <w:r>
        <w:rPr>
          <w:b/>
          <w:bCs/>
          <w:color w:val="2E75B6"/>
          <w:sz w:val="40"/>
          <w:szCs w:val="40"/>
        </w:rPr>
        <w:t xml:space="preserve">6. Performance Testing Phase</w:t>
      </w:r>
    </w:p>
    <w:p>
      <w:pPr>
        <w:spacing w:after="200"/>
        <w:jc w:val="center"/>
      </w:pPr>
      <w:r>
        <w:rPr>
          <w:color w:val="595959"/>
          <w:sz w:val="24"/>
          <w:szCs w:val="24"/>
        </w:rPr>
        <w:t xml:space="preserve">Functional validation, response time, and efficiency evaluation</w:t>
      </w:r>
    </w:p>
    <w:p>
      <w:pPr>
        <w:spacing w:before="2000"/>
        <w:jc w:val="center"/>
      </w:pPr>
      <w:r>
        <w:rPr>
          <w:color w:val="595959"/>
          <w:sz w:val="22"/>
          <w:szCs w:val="22"/>
        </w:rPr>
        <w:t xml:space="preserve">Project Documentation Series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6.1 Purpose</w:t>
      </w:r>
    </w:p>
    <w:p>
      <w:pPr>
        <w:spacing w:after="150"/>
      </w:pPr>
      <w:r>
        <w:rPr>
          <w:sz w:val="22"/>
          <w:szCs w:val="22"/>
        </w:rPr>
        <w:t xml:space="preserve">This document describes the testing approach used to validate EduGenie's functionality, response accuracy, and performance, with particular attention to its ability to run efficiently on resource-constrained hardware such as the Mac M1.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6.2 Testing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Functional Testing — verifying each module (Q&amp;A, Explanation, Quiz, Summarization, Learning Path) returns correct and relevant output for representative inputs.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Usability Testing — verifying the interface is intuitive and requires no special instructions for a new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Performance Testing — measuring response time and resource usage under typical single-user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Regression Testing — re-verifying core features after each sprint's changes to ensure no prior functionality broke.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6.3 Test Cases — Functional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400"/>
        <w:gridCol w:w="3400"/>
        <w:gridCol w:w="600"/>
      </w:tblGrid>
      <w:tr>
        <w:tc>
          <w:tcPr>
            <w:tcW w:type="dxa" w:w="10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1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34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Q&amp;A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“Which is the largest ocean?”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“Pacific Ocean” with brief context</w:t>
            </w:r>
          </w:p>
        </w:tc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“Explain photosynthesis”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a simplified, plain-language explanation</w:t>
            </w:r>
          </w:p>
        </w:tc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Quiz Generation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“Pythagoras Theorem”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a set of relevant topic-specific quiz questions</w:t>
            </w:r>
          </w:p>
        </w:tc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TC-04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300-word paragraph on a science topic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a concise, accurate summary retaining key points</w:t>
            </w:r>
          </w:p>
        </w:tc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TC-05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 Path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“SQL”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a staged roadmap: beginner, intermediate, advanced</w:t>
            </w:r>
          </w:p>
        </w:tc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TC-06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Q&amp;A (Edge Case)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 input submitted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returns a graceful prompt asking for valid input rather than crashing</w:t>
            </w:r>
          </w:p>
        </w:tc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TC-07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Quiz Generation (Edge Case)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Vague topic (e.g., single letter)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requests clarification or returns a reasonable best-effort quiz</w:t>
            </w:r>
          </w:p>
        </w:tc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</w:rPr>
        <w:t xml:space="preserve">6.4 Performance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00"/>
      </w:tblGrid>
      <w:tr>
        <w:tc>
          <w:tcPr>
            <w:tcW w:type="dxa" w:w="22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Observed Result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Response Time (Q&amp;A)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from request submission to answer display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a few seconds under typical conditions, dependent on AI service latency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Response Time (Quiz Generation)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to generate a full topic-specific quiz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Slightly higher than single-answer Q&amp;A due to longer generated output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Usage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CPU/memory footprint of the FastAPI backend during normal operation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Lightweight; runs smoothly on constrained hardware such as the Mac M1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Responsiveness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remains usable while awaiting AI responses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Loading indicators keep the interface responsive and clear during processing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Behavior on invalid input or AI service failure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Displays a graceful message instead of failing silently or crashing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</w:rPr>
        <w:t xml:space="preserve">6.5 Accuracy Evaluation</w:t>
      </w:r>
    </w:p>
    <w:p>
      <w:pPr>
        <w:spacing w:after="150"/>
      </w:pPr>
      <w:r>
        <w:rPr>
          <w:sz w:val="22"/>
          <w:szCs w:val="22"/>
        </w:rPr>
        <w:t xml:space="preserve">A sample of representative queries across each module was manually reviewed for factual correctness and relevance: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Sample Size</w:t>
            </w:r>
          </w:p>
        </w:tc>
        <w:tc>
          <w:tcPr>
            <w:tcW w:type="dxa" w:w="4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Accuracy Observation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Q&amp;A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sample questions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Majority returned factually correct, contextually appropriate answers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sample concepts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Explanations were simplified and understandable without losing key meaning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Quiz Generation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sample topics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Generated questions were relevant to the specified topic and appropriately varied in difficulty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sample texts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Summaries retained core ideas while significantly reducing length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 Path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sample subjects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Roadmaps followed a logical beginner-to-advanced progression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</w:rPr>
        <w:t xml:space="preserve">6.6 Load and Efficiency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application was validated under single-user and light concurrent-use conditions consistent with its intended personal-learning and small-scale educational use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 memory and CPU usage remained modest, supporting the design goal of running on resource-constrained devices.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Response times are primarily bounded by the external AI service call rather than the local application logic.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6.7 Issues Identified and Fixes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48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Occasional inconsistent quiz question formatting</w:t>
            </w:r>
          </w:p>
        </w:tc>
        <w:tc>
          <w:tcPr>
            <w:tcW w:type="dxa" w:w="4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Refined AI prompts to request stricter structured output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Slight delay perceived during summarization of longer text</w:t>
            </w:r>
          </w:p>
        </w:tc>
        <w:tc>
          <w:tcPr>
            <w:tcW w:type="dxa" w:w="4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a clear loading indicator to manage user expectations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 or malformed input causing unclear errors</w:t>
            </w:r>
          </w:p>
        </w:tc>
        <w:tc>
          <w:tcPr>
            <w:tcW w:type="dxa" w:w="4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input validation with user-friendly error messages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</w:rPr>
        <w:t xml:space="preserve">6.8 Conclusion</w:t>
      </w:r>
    </w:p>
    <w:p>
      <w:pPr>
        <w:spacing w:after="150"/>
      </w:pPr>
      <w:r>
        <w:rPr>
          <w:sz w:val="22"/>
          <w:szCs w:val="22"/>
        </w:rPr>
        <w:t xml:space="preserve">Performance testing confirmed that EduGenie meets its core functional and non-functional requirements: accurate responses across all five learning modules, a responsive and intuitive interface, and efficient operation on resource-constrained hardware. The system is ready to be consolidated into the final Project Documentation.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EduGenie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2026-07-14T05:32:10.610Z</dcterms:created>
  <dcterms:modified xsi:type="dcterms:W3CDTF">2026-07-14T05:32:10.610Z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