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6"/>
          <w:szCs w:val="56"/>
        </w:rPr>
        <w:t xml:space="preserve">EduGenie</w:t>
      </w:r>
    </w:p>
    <w:p>
      <w:pPr>
        <w:spacing w:after="400"/>
        <w:jc w:val="center"/>
      </w:pPr>
      <w:r>
        <w:rPr>
          <w:i/>
          <w:iCs/>
          <w:color w:val="595959"/>
          <w:sz w:val="28"/>
          <w:szCs w:val="28"/>
        </w:rPr>
        <w:t xml:space="preserve">AI-Powered Educational Assistant</w:t>
      </w:r>
    </w:p>
    <w:p>
      <w:pPr>
        <w:spacing w:after="200" w:before="800"/>
        <w:jc w:val="center"/>
      </w:pPr>
      <w:r>
        <w:rPr>
          <w:b/>
          <w:bCs/>
          <w:color w:val="2E75B6"/>
          <w:sz w:val="40"/>
          <w:szCs w:val="40"/>
        </w:rPr>
        <w:t xml:space="preserve">7. Project Documentation</w:t>
      </w:r>
    </w:p>
    <w:p>
      <w:pPr>
        <w:spacing w:after="200"/>
        <w:jc w:val="center"/>
      </w:pPr>
      <w:r>
        <w:rPr>
          <w:color w:val="595959"/>
          <w:sz w:val="24"/>
          <w:szCs w:val="24"/>
        </w:rPr>
        <w:t xml:space="preserve">Final consolidated project report</w:t>
      </w:r>
    </w:p>
    <w:p>
      <w:pPr>
        <w:spacing w:before="2000"/>
        <w:jc w:val="center"/>
      </w:pPr>
      <w:r>
        <w:rPr>
          <w:color w:val="595959"/>
          <w:sz w:val="22"/>
          <w:szCs w:val="22"/>
        </w:rPr>
        <w:t xml:space="preserve">Project Documentation Series</w:t>
      </w:r>
    </w:p>
    <w:p>
      <w:r>
        <w:br w:type="page"/>
      </w:r>
    </w:p>
    <w:p>
      <w:pPr>
        <w:pStyle w:val="Heading1"/>
        <w:spacing w:after="200" w:before="400"/>
      </w:pPr>
      <w:r>
        <w:rPr>
          <w:b/>
          <w:bCs/>
          <w:color w:val="1F4E79"/>
        </w:rPr>
        <w:t xml:space="preserve">Table of Contents</w:t>
      </w:r>
    </w:p>
    <w:p>
      <w:pPr>
        <w:spacing w:after="150"/>
      </w:pPr>
      <w:r>
        <w:rPr>
          <w:sz w:val="22"/>
          <w:szCs w:val="22"/>
        </w:rPr>
        <w:t xml:space="preserve">1. Introduction</w:t>
      </w:r>
    </w:p>
    <w:p>
      <w:pPr>
        <w:spacing w:after="150"/>
      </w:pPr>
      <w:r>
        <w:rPr>
          <w:sz w:val="22"/>
          <w:szCs w:val="22"/>
        </w:rPr>
        <w:t xml:space="preserve">2. Ideation Phase Summary</w:t>
      </w:r>
    </w:p>
    <w:p>
      <w:pPr>
        <w:spacing w:after="150"/>
      </w:pPr>
      <w:r>
        <w:rPr>
          <w:sz w:val="22"/>
          <w:szCs w:val="22"/>
        </w:rPr>
        <w:t xml:space="preserve">3. Requirement Analysis Summary</w:t>
      </w:r>
    </w:p>
    <w:p>
      <w:pPr>
        <w:spacing w:after="150"/>
      </w:pPr>
      <w:r>
        <w:rPr>
          <w:sz w:val="22"/>
          <w:szCs w:val="22"/>
        </w:rPr>
        <w:t xml:space="preserve">4. Project Design Summary</w:t>
      </w:r>
    </w:p>
    <w:p>
      <w:pPr>
        <w:spacing w:after="150"/>
      </w:pPr>
      <w:r>
        <w:rPr>
          <w:sz w:val="22"/>
          <w:szCs w:val="22"/>
        </w:rPr>
        <w:t xml:space="preserve">5. Project Planning Summary</w:t>
      </w:r>
    </w:p>
    <w:p>
      <w:pPr>
        <w:spacing w:after="150"/>
      </w:pPr>
      <w:r>
        <w:rPr>
          <w:sz w:val="22"/>
          <w:szCs w:val="22"/>
        </w:rPr>
        <w:t xml:space="preserve">6. Project Development Summary</w:t>
      </w:r>
    </w:p>
    <w:p>
      <w:pPr>
        <w:spacing w:after="150"/>
      </w:pPr>
      <w:r>
        <w:rPr>
          <w:sz w:val="22"/>
          <w:szCs w:val="22"/>
        </w:rPr>
        <w:t xml:space="preserve">7. Performance Testing Summary</w:t>
      </w:r>
    </w:p>
    <w:p>
      <w:pPr>
        <w:spacing w:after="150"/>
      </w:pPr>
      <w:r>
        <w:rPr>
          <w:sz w:val="22"/>
          <w:szCs w:val="22"/>
        </w:rPr>
        <w:t xml:space="preserve">8. Results</w:t>
      </w:r>
    </w:p>
    <w:p>
      <w:pPr>
        <w:spacing w:after="150"/>
      </w:pPr>
      <w:r>
        <w:rPr>
          <w:sz w:val="22"/>
          <w:szCs w:val="22"/>
        </w:rPr>
        <w:t xml:space="preserve">9. Advantages and Disadvantages</w:t>
      </w:r>
    </w:p>
    <w:p>
      <w:pPr>
        <w:spacing w:after="150"/>
      </w:pPr>
      <w:r>
        <w:rPr>
          <w:sz w:val="22"/>
          <w:szCs w:val="22"/>
        </w:rPr>
        <w:t xml:space="preserve">10. Conclusion</w:t>
      </w:r>
    </w:p>
    <w:p>
      <w:pPr>
        <w:spacing w:after="150"/>
      </w:pPr>
      <w:r>
        <w:rPr>
          <w:sz w:val="22"/>
          <w:szCs w:val="22"/>
        </w:rPr>
        <w:t xml:space="preserve">11. Future Scope</w:t>
      </w:r>
    </w:p>
    <w:p>
      <w:pPr>
        <w:spacing w:after="150"/>
      </w:pPr>
      <w:r>
        <w:rPr>
          <w:sz w:val="22"/>
          <w:szCs w:val="22"/>
        </w:rPr>
        <w:t xml:space="preserve">12. Appendix</w:t>
      </w:r>
    </w:p>
    <w:p>
      <w:r>
        <w:br w:type="page"/>
      </w:r>
    </w:p>
    <w:p>
      <w:pPr>
        <w:pStyle w:val="Heading1"/>
        <w:spacing w:after="200" w:before="400"/>
      </w:pPr>
      <w:r>
        <w:rPr>
          <w:b/>
          <w:bCs/>
          <w:color w:val="1F4E79"/>
        </w:rPr>
        <w:t xml:space="preserve">1. Introduction</w:t>
      </w:r>
    </w:p>
    <w:p>
      <w:pPr>
        <w:spacing w:after="150"/>
      </w:pPr>
      <w:r>
        <w:rPr>
          <w:sz w:val="22"/>
          <w:szCs w:val="22"/>
        </w:rPr>
        <w:t xml:space="preserve">EduGenie is a lightweight AI-powered educational assistant designed to simplify and enhance the learning experience through generative AI. Built for students, self-learners, and educators, it provides intelligent educational support: understanding concepts, answering questions, generating quizzes, summarizing learning materials, and offering personalized learning recommendations. The platform is built using FastAPI for the backend and a responsive HTML/CSS/JS frontend, combining lightweight local models and cloud-based AI services to deliver fast, accurate assistance. Its optimized architecture allows it to run efficiently on resource-constrained devices such as the Mac M1, making it suitable for both personal learning and educational projects.</w:t>
      </w:r>
    </w:p>
    <w:p>
      <w:pPr>
        <w:pStyle w:val="Heading2"/>
        <w:spacing w:after="150" w:before="300"/>
      </w:pPr>
      <w:r>
        <w:rPr>
          <w:b/>
          <w:bCs/>
          <w:color w:val="2E75B6"/>
        </w:rPr>
        <w:t xml:space="preserve">1.1 Key Features</w:t>
      </w:r>
    </w:p>
    <w:p>
      <w:pPr>
        <w:pStyle w:val="ListParagraph"/>
        <w:numPr>
          <w:ilvl w:val="0"/>
          <w:numId w:val="2"/>
        </w:numPr>
        <w:spacing w:after="80"/>
      </w:pPr>
      <w:r>
        <w:rPr>
          <w:sz w:val="22"/>
          <w:szCs w:val="22"/>
        </w:rPr>
        <w:t xml:space="preserve">Intelligent Question Answering</w:t>
      </w:r>
    </w:p>
    <w:p>
      <w:pPr>
        <w:pStyle w:val="ListParagraph"/>
        <w:numPr>
          <w:ilvl w:val="0"/>
          <w:numId w:val="2"/>
        </w:numPr>
        <w:spacing w:after="80"/>
      </w:pPr>
      <w:r>
        <w:rPr>
          <w:sz w:val="22"/>
          <w:szCs w:val="22"/>
        </w:rPr>
        <w:t xml:space="preserve">Simplified Concept Explanations</w:t>
      </w:r>
    </w:p>
    <w:p>
      <w:pPr>
        <w:pStyle w:val="ListParagraph"/>
        <w:numPr>
          <w:ilvl w:val="0"/>
          <w:numId w:val="2"/>
        </w:numPr>
        <w:spacing w:after="80"/>
      </w:pPr>
      <w:r>
        <w:rPr>
          <w:sz w:val="22"/>
          <w:szCs w:val="22"/>
        </w:rPr>
        <w:t xml:space="preserve">AI-Powered Quiz Generation</w:t>
      </w:r>
    </w:p>
    <w:p>
      <w:pPr>
        <w:pStyle w:val="ListParagraph"/>
        <w:numPr>
          <w:ilvl w:val="0"/>
          <w:numId w:val="2"/>
        </w:numPr>
        <w:spacing w:after="80"/>
      </w:pPr>
      <w:r>
        <w:rPr>
          <w:sz w:val="22"/>
          <w:szCs w:val="22"/>
        </w:rPr>
        <w:t xml:space="preserve">Educational Text Summarization</w:t>
      </w:r>
    </w:p>
    <w:p>
      <w:pPr>
        <w:pStyle w:val="ListParagraph"/>
        <w:numPr>
          <w:ilvl w:val="0"/>
          <w:numId w:val="2"/>
        </w:numPr>
        <w:spacing w:after="80"/>
      </w:pPr>
      <w:r>
        <w:rPr>
          <w:sz w:val="22"/>
          <w:szCs w:val="22"/>
        </w:rPr>
        <w:t xml:space="preserve">Personalized Learning Path Recommendations</w:t>
      </w:r>
    </w:p>
    <w:p>
      <w:pPr>
        <w:pStyle w:val="ListParagraph"/>
        <w:numPr>
          <w:ilvl w:val="0"/>
          <w:numId w:val="2"/>
        </w:numPr>
        <w:spacing w:after="80"/>
      </w:pPr>
      <w:r>
        <w:rPr>
          <w:sz w:val="22"/>
          <w:szCs w:val="22"/>
        </w:rPr>
        <w:t xml:space="preserve">Interactive and User-Friendly Interface</w:t>
      </w:r>
    </w:p>
    <w:p>
      <w:pPr>
        <w:pStyle w:val="Heading1"/>
        <w:spacing w:after="200" w:before="400"/>
      </w:pPr>
      <w:r>
        <w:rPr>
          <w:b/>
          <w:bCs/>
          <w:color w:val="1F4E79"/>
        </w:rPr>
        <w:t xml:space="preserve">2. Ideation Phase Summary</w:t>
      </w:r>
    </w:p>
    <w:p>
      <w:pPr>
        <w:spacing w:after="150"/>
      </w:pPr>
      <w:r>
        <w:rPr>
          <w:sz w:val="22"/>
          <w:szCs w:val="22"/>
        </w:rPr>
        <w:t xml:space="preserve">The ideation phase identified a core problem: students and self-learners face fragmented resources, slow doubt resolution, and no easy way to self-assess or plan their studies. Through empathy mapping and structured brainstorming, the team converged on EduGenie — a unified AI assistant covering six core capabilities, validated against three representative usage scenarios covering instant Q&amp;A, quiz generation, and personalized learning roadmaps. Full detail is provided in the accompanying Ideation Phase document.</w:t>
      </w:r>
    </w:p>
    <w:p>
      <w:pPr>
        <w:pStyle w:val="Heading1"/>
        <w:spacing w:after="200" w:before="400"/>
      </w:pPr>
      <w:r>
        <w:rPr>
          <w:b/>
          <w:bCs/>
          <w:color w:val="1F4E79"/>
        </w:rPr>
        <w:t xml:space="preserve">3. Requirement Analysis Summary</w:t>
      </w:r>
    </w:p>
    <w:p>
      <w:pPr>
        <w:spacing w:after="150"/>
      </w:pPr>
      <w:r>
        <w:rPr>
          <w:sz w:val="22"/>
          <w:szCs w:val="22"/>
        </w:rPr>
        <w:t xml:space="preserve">Requirement analysis translated the concept into eight functional requirements (spanning Q&amp;A, explanation, quiz generation, summarization, learning paths, UI, session handling, and API structure) and eight non-functional requirements (performance, lightweight footprint, usability, reliability, scalability, portability, maintainability, and security). A customer journey map and data flow diagrams (Level 0 and Level 1) established how learner requests flow through the FastAPI backend to the generative AI service and back. Full detail is provided in the accompanying Requirement Analysis document.</w:t>
      </w:r>
    </w:p>
    <w:p>
      <w:pPr>
        <w:pStyle w:val="Heading1"/>
        <w:spacing w:after="200" w:before="400"/>
      </w:pPr>
      <w:r>
        <w:rPr>
          <w:b/>
          <w:bCs/>
          <w:color w:val="1F4E79"/>
        </w:rPr>
        <w:t xml:space="preserve">4. Project Design Summary</w:t>
      </w:r>
    </w:p>
    <w:p>
      <w:pPr>
        <w:spacing w:after="150"/>
      </w:pPr>
      <w:r>
        <w:rPr>
          <w:sz w:val="22"/>
          <w:szCs w:val="22"/>
        </w:rPr>
        <w:t xml:space="preserve">The design phase established a two-tier architecture: a responsive HTML/CSS/JS frontend and a modular FastAPI backend, with each capability (Q&amp;A, explanation, quiz, summary, learning path) implemented as an independent module communicating with a generative AI service. Seven user stories guided the design, prioritized by learner value, and design principles of simplicity, modularity, performance-consciousness, consistency, and extensibility were applied throughout. Full detail is provided in the accompanying Project Design Phase document.</w:t>
      </w:r>
    </w:p>
    <w:p>
      <w:pPr>
        <w:pStyle w:val="Heading1"/>
        <w:spacing w:after="200" w:before="400"/>
      </w:pPr>
      <w:r>
        <w:rPr>
          <w:b/>
          <w:bCs/>
          <w:color w:val="1F4E79"/>
        </w:rPr>
        <w:t xml:space="preserve">5. Project Planning Summary</w:t>
      </w:r>
    </w:p>
    <w:p>
      <w:pPr>
        <w:spacing w:after="150"/>
      </w:pPr>
      <w:r>
        <w:rPr>
          <w:sz w:val="22"/>
          <w:szCs w:val="22"/>
        </w:rPr>
        <w:t xml:space="preserve">Planning organized the backlog of ten epics/stories (totalling 62 story points) into five sprints, prioritizing backend setup and core Q&amp;A first, followed by explanation and UI, then quiz generation and summarization, then learning paths and optimization, and finally testing and documentation. Key risks — AI service latency, answer accuracy, and hardware performance — were identified with corresponding mitigations. Full detail is provided in the accompanying Project Planning Phase document.</w:t>
      </w:r>
    </w:p>
    <w:p>
      <w:pPr>
        <w:pStyle w:val="Heading1"/>
        <w:spacing w:after="200" w:before="400"/>
      </w:pPr>
      <w:r>
        <w:rPr>
          <w:b/>
          <w:bCs/>
          <w:color w:val="1F4E79"/>
        </w:rPr>
        <w:t xml:space="preserve">6. Project Development Summary</w:t>
      </w:r>
    </w:p>
    <w:p>
      <w:pPr>
        <w:spacing w:after="150"/>
      </w:pPr>
      <w:r>
        <w:rPr>
          <w:sz w:val="22"/>
          <w:szCs w:val="22"/>
        </w:rPr>
        <w:t xml:space="preserve">Development proceeded across the five planned sprints, delivering a modular FastAPI backend (with dedicated routers for Q&amp;A, explanation, quiz generation, summarization, and learning paths, plus a shared AI service client) and a connected HTML/CSS/JS frontend. Each module was implemented with carefully engineered prompts to the generative AI service to ensure structured, relevant output. Full detail is provided in the accompanying Project Development Phase document.</w:t>
      </w:r>
    </w:p>
    <w:p>
      <w:pPr>
        <w:pStyle w:val="Heading1"/>
        <w:spacing w:after="200" w:before="400"/>
      </w:pPr>
      <w:r>
        <w:rPr>
          <w:b/>
          <w:bCs/>
          <w:color w:val="1F4E79"/>
        </w:rPr>
        <w:t xml:space="preserve">7. Performance Testing Summary</w:t>
      </w:r>
    </w:p>
    <w:p>
      <w:pPr>
        <w:spacing w:after="150"/>
      </w:pPr>
      <w:r>
        <w:rPr>
          <w:sz w:val="22"/>
          <w:szCs w:val="22"/>
        </w:rPr>
        <w:t xml:space="preserve">Testing validated functional correctness across all five learning modules using representative test cases, alongside performance metrics for response time, resource usage, and error handling. Accuracy review across sample queries confirmed relevant, correct output, and the application was confirmed to run efficiently on resource-constrained hardware such as the Mac M1. Minor issues in quiz formatting and input validation were identified and resolved. Full detail is provided in the accompanying Performance Testing Phase document.</w:t>
      </w:r>
    </w:p>
    <w:p>
      <w:pPr>
        <w:pStyle w:val="Heading1"/>
        <w:spacing w:after="200" w:before="400"/>
      </w:pPr>
      <w:r>
        <w:rPr>
          <w:b/>
          <w:bCs/>
          <w:color w:val="1F4E79"/>
        </w:rPr>
        <w:t xml:space="preserve">8. Results</w:t>
      </w:r>
    </w:p>
    <w:p>
      <w:pPr>
        <w:spacing w:after="150"/>
      </w:pPr>
      <w:r>
        <w:rPr>
          <w:sz w:val="22"/>
          <w:szCs w:val="22"/>
        </w:rPr>
        <w:t xml:space="preserve">EduGenie successfully delivers on its intended scope as a lightweight, AI-powered educational assistant. Across testing, the system consistently provided:</w:t>
      </w:r>
    </w:p>
    <w:p>
      <w:pPr>
        <w:pStyle w:val="ListParagraph"/>
        <w:numPr>
          <w:ilvl w:val="0"/>
          <w:numId w:val="2"/>
        </w:numPr>
        <w:spacing w:after="80"/>
      </w:pPr>
      <w:r>
        <w:rPr>
          <w:sz w:val="22"/>
          <w:szCs w:val="22"/>
        </w:rPr>
        <w:t xml:space="preserve">Accurate, context-rich answers to factual and conceptual questions.</w:t>
      </w:r>
    </w:p>
    <w:p>
      <w:pPr>
        <w:pStyle w:val="ListParagraph"/>
        <w:numPr>
          <w:ilvl w:val="0"/>
          <w:numId w:val="2"/>
        </w:numPr>
        <w:spacing w:after="80"/>
      </w:pPr>
      <w:r>
        <w:rPr>
          <w:sz w:val="22"/>
          <w:szCs w:val="22"/>
        </w:rPr>
        <w:t xml:space="preserve">Clear, simplified explanations for complex topics.</w:t>
      </w:r>
    </w:p>
    <w:p>
      <w:pPr>
        <w:pStyle w:val="ListParagraph"/>
        <w:numPr>
          <w:ilvl w:val="0"/>
          <w:numId w:val="2"/>
        </w:numPr>
        <w:spacing w:after="80"/>
      </w:pPr>
      <w:r>
        <w:rPr>
          <w:sz w:val="22"/>
          <w:szCs w:val="22"/>
        </w:rPr>
        <w:t xml:space="preserve">Relevant, topic-specific quiz questions supporting self-assessment.</w:t>
      </w:r>
    </w:p>
    <w:p>
      <w:pPr>
        <w:pStyle w:val="ListParagraph"/>
        <w:numPr>
          <w:ilvl w:val="0"/>
          <w:numId w:val="2"/>
        </w:numPr>
        <w:spacing w:after="80"/>
      </w:pPr>
      <w:r>
        <w:rPr>
          <w:sz w:val="22"/>
          <w:szCs w:val="22"/>
        </w:rPr>
        <w:t xml:space="preserve">Concise, faithful summaries of longer study material.</w:t>
      </w:r>
    </w:p>
    <w:p>
      <w:pPr>
        <w:pStyle w:val="ListParagraph"/>
        <w:numPr>
          <w:ilvl w:val="0"/>
          <w:numId w:val="2"/>
        </w:numPr>
        <w:spacing w:after="80"/>
      </w:pPr>
      <w:r>
        <w:rPr>
          <w:sz w:val="22"/>
          <w:szCs w:val="22"/>
        </w:rPr>
        <w:t xml:space="preserve">Logically structured, staged learning roadmaps for new subjects.</w:t>
      </w:r>
    </w:p>
    <w:p>
      <w:pPr>
        <w:spacing w:after="150"/>
      </w:pPr>
      <w:r>
        <w:rPr>
          <w:sz w:val="22"/>
          <w:szCs w:val="22"/>
        </w:rPr>
        <w:t xml:space="preserve">The application also met its non-functional goals of running efficiently on constrained hardware and offering a simple, responsive interface suitable for students, self-learners, and educators.</w:t>
      </w:r>
    </w:p>
    <w:p>
      <w:pPr>
        <w:pStyle w:val="Heading1"/>
        <w:spacing w:after="200" w:before="400"/>
      </w:pPr>
      <w:r>
        <w:rPr>
          <w:b/>
          <w:bCs/>
          <w:color w:val="1F4E79"/>
        </w:rPr>
        <w:t xml:space="preserve">9. Advantages and Disadvantages</w:t>
      </w:r>
    </w:p>
    <w:p>
      <w:pPr>
        <w:pStyle w:val="Heading2"/>
        <w:spacing w:after="150" w:before="300"/>
      </w:pPr>
      <w:r>
        <w:rPr>
          <w:b/>
          <w:bCs/>
          <w:color w:val="2E75B6"/>
        </w:rPr>
        <w:t xml:space="preserve">9.1 Advantages</w:t>
      </w:r>
    </w:p>
    <w:p>
      <w:pPr>
        <w:pStyle w:val="ListParagraph"/>
        <w:numPr>
          <w:ilvl w:val="0"/>
          <w:numId w:val="2"/>
        </w:numPr>
        <w:spacing w:after="80"/>
      </w:pPr>
      <w:r>
        <w:rPr>
          <w:sz w:val="22"/>
          <w:szCs w:val="22"/>
        </w:rPr>
        <w:t xml:space="preserve">Consolidates multiple study needs (Q&amp;A, explanation, quiz, summary, roadmap) into a single lightweight tool.</w:t>
      </w:r>
    </w:p>
    <w:p>
      <w:pPr>
        <w:pStyle w:val="ListParagraph"/>
        <w:numPr>
          <w:ilvl w:val="0"/>
          <w:numId w:val="2"/>
        </w:numPr>
        <w:spacing w:after="80"/>
      </w:pPr>
      <w:r>
        <w:rPr>
          <w:sz w:val="22"/>
          <w:szCs w:val="22"/>
        </w:rPr>
        <w:t xml:space="preserve">Runs efficiently on resource-constrained hardware, lowering the barrier to use.</w:t>
      </w:r>
    </w:p>
    <w:p>
      <w:pPr>
        <w:pStyle w:val="ListParagraph"/>
        <w:numPr>
          <w:ilvl w:val="0"/>
          <w:numId w:val="2"/>
        </w:numPr>
        <w:spacing w:after="80"/>
      </w:pPr>
      <w:r>
        <w:rPr>
          <w:sz w:val="22"/>
          <w:szCs w:val="22"/>
        </w:rPr>
        <w:t xml:space="preserve">Simple, modular architecture that is easy to extend with new features.</w:t>
      </w:r>
    </w:p>
    <w:p>
      <w:pPr>
        <w:pStyle w:val="ListParagraph"/>
        <w:numPr>
          <w:ilvl w:val="0"/>
          <w:numId w:val="2"/>
        </w:numPr>
        <w:spacing w:after="80"/>
      </w:pPr>
      <w:r>
        <w:rPr>
          <w:sz w:val="22"/>
          <w:szCs w:val="22"/>
        </w:rPr>
        <w:t xml:space="preserve">Useful across academic levels and subject domains.</w:t>
      </w:r>
    </w:p>
    <w:p>
      <w:pPr>
        <w:pStyle w:val="Heading2"/>
        <w:spacing w:after="150" w:before="300"/>
      </w:pPr>
      <w:r>
        <w:rPr>
          <w:b/>
          <w:bCs/>
          <w:color w:val="2E75B6"/>
        </w:rPr>
        <w:t xml:space="preserve">9.2 Disadvantages</w:t>
      </w:r>
    </w:p>
    <w:p>
      <w:pPr>
        <w:pStyle w:val="ListParagraph"/>
        <w:numPr>
          <w:ilvl w:val="0"/>
          <w:numId w:val="2"/>
        </w:numPr>
        <w:spacing w:after="80"/>
      </w:pPr>
      <w:r>
        <w:rPr>
          <w:sz w:val="22"/>
          <w:szCs w:val="22"/>
        </w:rPr>
        <w:t xml:space="preserve">Dependent on external generative AI service availability and response time.</w:t>
      </w:r>
    </w:p>
    <w:p>
      <w:pPr>
        <w:pStyle w:val="ListParagraph"/>
        <w:numPr>
          <w:ilvl w:val="0"/>
          <w:numId w:val="2"/>
        </w:numPr>
        <w:spacing w:after="80"/>
      </w:pPr>
      <w:r>
        <w:rPr>
          <w:sz w:val="22"/>
          <w:szCs w:val="22"/>
        </w:rPr>
        <w:t xml:space="preserve">Currently limited to text-based input and output (no voice or image queries).</w:t>
      </w:r>
    </w:p>
    <w:p>
      <w:pPr>
        <w:pStyle w:val="ListParagraph"/>
        <w:numPr>
          <w:ilvl w:val="0"/>
          <w:numId w:val="2"/>
        </w:numPr>
        <w:spacing w:after="80"/>
      </w:pPr>
      <w:r>
        <w:rPr>
          <w:sz w:val="22"/>
          <w:szCs w:val="22"/>
        </w:rPr>
        <w:t xml:space="preserve">Requires internet connectivity when using cloud-based AI services.</w:t>
      </w:r>
    </w:p>
    <w:p>
      <w:pPr>
        <w:pStyle w:val="ListParagraph"/>
        <w:numPr>
          <w:ilvl w:val="0"/>
          <w:numId w:val="2"/>
        </w:numPr>
        <w:spacing w:after="80"/>
      </w:pPr>
      <w:r>
        <w:rPr>
          <w:sz w:val="22"/>
          <w:szCs w:val="22"/>
        </w:rPr>
        <w:t xml:space="preserve">Occasional formatting inconsistencies in AI-generated content may require prompt refinement over time.</w:t>
      </w:r>
    </w:p>
    <w:p>
      <w:pPr>
        <w:pStyle w:val="Heading1"/>
        <w:spacing w:after="200" w:before="400"/>
      </w:pPr>
      <w:r>
        <w:rPr>
          <w:b/>
          <w:bCs/>
          <w:color w:val="1F4E79"/>
        </w:rPr>
        <w:t xml:space="preserve">10. Conclusion</w:t>
      </w:r>
    </w:p>
    <w:p>
      <w:pPr>
        <w:spacing w:after="150"/>
      </w:pPr>
      <w:r>
        <w:rPr>
          <w:sz w:val="22"/>
          <w:szCs w:val="22"/>
        </w:rPr>
        <w:t xml:space="preserve">EduGenie demonstrates how a focused, lightweight application of generative AI can meaningfully improve the self-study experience, unifying doubt resolution, concept explanation, self-assessment, summarization, and learning path planning into one accessible tool. Its modular FastAPI-based architecture, combined with a simple frontend, keeps the system efficient enough to run on constrained hardware while remaining useful for students, self-learners, and educators across subject domains.</w:t>
      </w:r>
    </w:p>
    <w:p>
      <w:pPr>
        <w:pStyle w:val="Heading1"/>
        <w:spacing w:after="200" w:before="400"/>
      </w:pPr>
      <w:r>
        <w:rPr>
          <w:b/>
          <w:bCs/>
          <w:color w:val="1F4E79"/>
        </w:rPr>
        <w:t xml:space="preserve">11. Future Scope</w:t>
      </w:r>
    </w:p>
    <w:p>
      <w:pPr>
        <w:pStyle w:val="ListParagraph"/>
        <w:numPr>
          <w:ilvl w:val="0"/>
          <w:numId w:val="2"/>
        </w:numPr>
        <w:spacing w:after="80"/>
      </w:pPr>
      <w:r>
        <w:rPr>
          <w:sz w:val="22"/>
          <w:szCs w:val="22"/>
        </w:rPr>
        <w:t xml:space="preserve">Support for voice-based queries and multimedia (image/diagram) input.</w:t>
      </w:r>
    </w:p>
    <w:p>
      <w:pPr>
        <w:pStyle w:val="ListParagraph"/>
        <w:numPr>
          <w:ilvl w:val="0"/>
          <w:numId w:val="2"/>
        </w:numPr>
        <w:spacing w:after="80"/>
      </w:pPr>
      <w:r>
        <w:rPr>
          <w:sz w:val="22"/>
          <w:szCs w:val="22"/>
        </w:rPr>
        <w:t xml:space="preserve">Progress tracking and analytics dashboards for learners to visualize improvement over time.</w:t>
      </w:r>
    </w:p>
    <w:p>
      <w:pPr>
        <w:pStyle w:val="ListParagraph"/>
        <w:numPr>
          <w:ilvl w:val="0"/>
          <w:numId w:val="2"/>
        </w:numPr>
        <w:spacing w:after="80"/>
      </w:pPr>
      <w:r>
        <w:rPr>
          <w:sz w:val="22"/>
          <w:szCs w:val="22"/>
        </w:rPr>
        <w:t xml:space="preserve">Expanded local-model support to reduce dependency on cloud AI services and enable offline use.</w:t>
      </w:r>
    </w:p>
    <w:p>
      <w:pPr>
        <w:pStyle w:val="ListParagraph"/>
        <w:numPr>
          <w:ilvl w:val="0"/>
          <w:numId w:val="2"/>
        </w:numPr>
        <w:spacing w:after="80"/>
      </w:pPr>
      <w:r>
        <w:rPr>
          <w:sz w:val="22"/>
          <w:szCs w:val="22"/>
        </w:rPr>
        <w:t xml:space="preserve">Collaborative features allowing educators to assign and review quizzes generated for their students.</w:t>
      </w:r>
    </w:p>
    <w:p>
      <w:pPr>
        <w:pStyle w:val="ListParagraph"/>
        <w:numPr>
          <w:ilvl w:val="0"/>
          <w:numId w:val="2"/>
        </w:numPr>
        <w:spacing w:after="80"/>
      </w:pPr>
      <w:r>
        <w:rPr>
          <w:sz w:val="22"/>
          <w:szCs w:val="22"/>
        </w:rPr>
        <w:t xml:space="preserve">Multi-language support for explanations, summaries, and quizzes.</w:t>
      </w:r>
    </w:p>
    <w:p>
      <w:pPr>
        <w:pStyle w:val="Heading1"/>
        <w:spacing w:after="200" w:before="400"/>
      </w:pPr>
      <w:r>
        <w:rPr>
          <w:b/>
          <w:bCs/>
          <w:color w:val="1F4E79"/>
        </w:rPr>
        <w:t xml:space="preserve">12. Appendix</w:t>
      </w:r>
    </w:p>
    <w:p>
      <w:pPr>
        <w:pStyle w:val="Heading2"/>
        <w:spacing w:after="150" w:before="300"/>
      </w:pPr>
      <w:r>
        <w:rPr>
          <w:b/>
          <w:bCs/>
          <w:color w:val="2E75B6"/>
        </w:rPr>
        <w:t xml:space="preserve">12.1 Glossary</w:t>
      </w:r>
    </w:p>
    <w:p>
      <w:pPr>
        <w:pStyle w:val="ListParagraph"/>
        <w:numPr>
          <w:ilvl w:val="0"/>
          <w:numId w:val="2"/>
        </w:numPr>
        <w:spacing w:after="80"/>
      </w:pPr>
      <w:r>
        <w:rPr>
          <w:sz w:val="22"/>
          <w:szCs w:val="22"/>
        </w:rPr>
        <w:t xml:space="preserve">FastAPI — a modern Python web framework used for building the EduGenie backend API.</w:t>
      </w:r>
    </w:p>
    <w:p>
      <w:pPr>
        <w:pStyle w:val="ListParagraph"/>
        <w:numPr>
          <w:ilvl w:val="0"/>
          <w:numId w:val="2"/>
        </w:numPr>
        <w:spacing w:after="80"/>
      </w:pPr>
      <w:r>
        <w:rPr>
          <w:sz w:val="22"/>
          <w:szCs w:val="22"/>
        </w:rPr>
        <w:t xml:space="preserve">Generative AI — AI models capable of producing new text content, used here to answer questions, explain concepts, and generate quizzes/summaries/roadmaps.</w:t>
      </w:r>
    </w:p>
    <w:p>
      <w:pPr>
        <w:pStyle w:val="ListParagraph"/>
        <w:numPr>
          <w:ilvl w:val="0"/>
          <w:numId w:val="2"/>
        </w:numPr>
        <w:spacing w:after="80"/>
      </w:pPr>
      <w:r>
        <w:rPr>
          <w:sz w:val="22"/>
          <w:szCs w:val="22"/>
        </w:rPr>
        <w:t xml:space="preserve">MVP — Minimum Viable Product, referring to EduGenie's core six-feature scope.</w:t>
      </w:r>
    </w:p>
    <w:p>
      <w:pPr>
        <w:pStyle w:val="Heading2"/>
        <w:spacing w:after="150" w:before="300"/>
      </w:pPr>
      <w:r>
        <w:rPr>
          <w:b/>
          <w:bCs/>
          <w:color w:val="2E75B6"/>
        </w:rPr>
        <w:t xml:space="preserve">12.2 Related Documents</w:t>
      </w:r>
    </w:p>
    <w:p>
      <w:pPr>
        <w:pStyle w:val="ListParagraph"/>
        <w:numPr>
          <w:ilvl w:val="0"/>
          <w:numId w:val="2"/>
        </w:numPr>
        <w:spacing w:after="80"/>
      </w:pPr>
      <w:r>
        <w:rPr>
          <w:sz w:val="22"/>
          <w:szCs w:val="22"/>
        </w:rPr>
        <w:t xml:space="preserve">1. Ideation Phase</w:t>
      </w:r>
    </w:p>
    <w:p>
      <w:pPr>
        <w:pStyle w:val="ListParagraph"/>
        <w:numPr>
          <w:ilvl w:val="0"/>
          <w:numId w:val="2"/>
        </w:numPr>
        <w:spacing w:after="80"/>
      </w:pPr>
      <w:r>
        <w:rPr>
          <w:sz w:val="22"/>
          <w:szCs w:val="22"/>
        </w:rPr>
        <w:t xml:space="preserve">2. Requirement Analysis</w:t>
      </w:r>
    </w:p>
    <w:p>
      <w:pPr>
        <w:pStyle w:val="ListParagraph"/>
        <w:numPr>
          <w:ilvl w:val="0"/>
          <w:numId w:val="2"/>
        </w:numPr>
        <w:spacing w:after="80"/>
      </w:pPr>
      <w:r>
        <w:rPr>
          <w:sz w:val="22"/>
          <w:szCs w:val="22"/>
        </w:rPr>
        <w:t xml:space="preserve">3. Project Design Phase</w:t>
      </w:r>
    </w:p>
    <w:p>
      <w:pPr>
        <w:pStyle w:val="ListParagraph"/>
        <w:numPr>
          <w:ilvl w:val="0"/>
          <w:numId w:val="2"/>
        </w:numPr>
        <w:spacing w:after="80"/>
      </w:pPr>
      <w:r>
        <w:rPr>
          <w:sz w:val="22"/>
          <w:szCs w:val="22"/>
        </w:rPr>
        <w:t xml:space="preserve">4. Project Planning Phase</w:t>
      </w:r>
    </w:p>
    <w:p>
      <w:pPr>
        <w:pStyle w:val="ListParagraph"/>
        <w:numPr>
          <w:ilvl w:val="0"/>
          <w:numId w:val="2"/>
        </w:numPr>
        <w:spacing w:after="80"/>
      </w:pPr>
      <w:r>
        <w:rPr>
          <w:sz w:val="22"/>
          <w:szCs w:val="22"/>
        </w:rPr>
        <w:t xml:space="preserve">5. Project Development Phase</w:t>
      </w:r>
    </w:p>
    <w:p>
      <w:pPr>
        <w:pStyle w:val="ListParagraph"/>
        <w:numPr>
          <w:ilvl w:val="0"/>
          <w:numId w:val="2"/>
        </w:numPr>
        <w:spacing w:after="80"/>
      </w:pPr>
      <w:r>
        <w:rPr>
          <w:sz w:val="22"/>
          <w:szCs w:val="22"/>
        </w:rPr>
        <w:t xml:space="preserve">6. Performance Testing Phase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EduGenie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2026-07-14T05:32:41.994Z</dcterms:created>
  <dcterms:modified xsi:type="dcterms:W3CDTF">2026-07-14T05:32:41.994Z</dcterms:modified>
</cp:coreProperties>
</file>

<file path=docProps/custom.xml><?xml version="1.0" encoding="utf-8"?>
<Properties xmlns="http://schemas.openxmlformats.org/officeDocument/2006/custom-properties" xmlns:vt="http://schemas.openxmlformats.org/officeDocument/2006/docPropsVTypes"/>
</file>