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17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02-11-2024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Topics Covered: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Workflow Jobs: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and running jobs on Azure Databricks.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 Configurations: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Notifications through email, webhook, or Slack.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Submitting Jobs Using Job Clusters: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jobs in Databricks Job Clusters.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Jobs on Databricks Using Notebooks: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Schedule button to create and manage scheduled notebook jobs.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Hands-on Tasks: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jobs on ingestion load tutorial cluster.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parameters for notebooks using Delta or PySpark programs.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Scheduling notebooks as jobs.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Key Concepts: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Databricks Jobs: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Definition: Primary unit for scheduling and orchestrating workloads.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Composition: Consists of one or more tasks.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Capabilities: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custom logic (e.g., Spark, SQL, Python, ML).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compute resources.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schedules and triggers.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conditional logic for task relationships.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Procedural (e.g., control flow between tasks).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(e.g., Delta Live Tables pipelines).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Minimum Job Configuration: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code (e.g., notebooks).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resources (serverless, classic jobs compute, or all-purpose compute).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or manual trigger.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name.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Tasks in Jobs: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 individual logic steps (e.g., notebooks, SQL, JAR files, DLT pipelines).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order controlled through dependencies.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context using task values.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 Flow Options: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Triggers, retries, conditional tasks (If/Else, For Each), duration thresholds, concurrency.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Trigger Types: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Scheduled: Automatically based on set intervals.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Arrival: Triggered when a file is detected.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Continuous: For real-time processing.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Rarely used for migrations or infrequent workloads.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Validated with external orchestration tools or manual interventions.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Infrastructure-as-Code (IaC) Approach: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Databricks Asset Bundles (DABs):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YAML definitions for jobs.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Managed via Databricks CLI.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Shareable across environments (development, staging, production).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Key Concepts of Azure Data Lake Storage (ADLS):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Blob Storage: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Stores unstructured data in a flat namespace.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Organizes blobs using "/" characters for virtual "folders."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via HTTP or HTTPS.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ADLS Gen2: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Built on blob storage; adds a hierarchical namespace: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Organizes blobs into directories.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metadata for each directory and file.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Performs atomic operations (e.g., directory renames and deletes).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performance for analytical workloads.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costs for data analysis compared to flat namespaces.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Hierarchy Configuration: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Disabled:</w:t>
      </w:r>
    </w:p>
    <w:p w:rsidR="00000000" w:rsidDel="00000000" w:rsidP="00000000" w:rsidRDefault="00000000" w:rsidRPr="00000000" w14:paraId="0000004A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Acts as standard Azure Blob storage.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Suitable for data archiving or storing web assets (e.g., images, media).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Enabled: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spacing w:after="24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for analytics; integrates Blob and ADLS Gen2 APIs.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360" w:lineRule="auto"/>
        <w:jc w:val="both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="360" w:lineRule="auto"/>
        <w:jc w:val="both"/>
        <w:rPr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Stages of Big Data Processing: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Ingest: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Acquires source data from files, logs, and unstructured formats.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Technology choice depends on data transfer frequency: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Ingestion: Azure Synapse Analytics or Azure Data Factory.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spacing w:after="24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Ingestion: Apache Kafka (HDInsight) or Stream Analytics.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Places ingested data in scalable and secure solutions like Azure Data Lake Storage Gen2.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Compatible with common big data processing tools.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 and Train: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Prepares data and trains ML models.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technologies: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Synapse Analytics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Databricks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HDInsight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spacing w:after="24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Azure Machine Learning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and Serve: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Presents processed data to users.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Technologies include: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 tools (e.g., Microsoft Power BI).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spacing w:after="0" w:before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Analytical data stores (e.g., Azure Synapse Analytics).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Combines multiple tools based on business needs.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color w:val="000000"/>
          <w:rtl w:val="0"/>
        </w:rPr>
        <w:t xml:space="preserve">Tips: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Blob Storage for simple storage needs (no analysis).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ADLS Gen2 for analytics-focused solutions with hierarchical namespace enabled.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