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 Analysis – Farm-to-Table Disruptions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Stakeholder</w:t>
            </w:r>
          </w:p>
        </w:tc>
        <w:tc>
          <w:tcPr>
            <w:tcW w:type="dxa" w:w="1728"/>
          </w:tcPr>
          <w:p>
            <w:r>
              <w:t>Interest</w:t>
            </w:r>
          </w:p>
        </w:tc>
        <w:tc>
          <w:tcPr>
            <w:tcW w:type="dxa" w:w="1728"/>
          </w:tcPr>
          <w:p>
            <w:r>
              <w:t>Expectations</w:t>
            </w:r>
          </w:p>
        </w:tc>
        <w:tc>
          <w:tcPr>
            <w:tcW w:type="dxa" w:w="1728"/>
          </w:tcPr>
          <w:p>
            <w:r>
              <w:t>Influence Level</w:t>
            </w:r>
          </w:p>
        </w:tc>
        <w:tc>
          <w:tcPr>
            <w:tcW w:type="dxa" w:w="1728"/>
          </w:tcPr>
          <w:p>
            <w:r>
              <w:t>Communication Strategy</w:t>
            </w:r>
          </w:p>
        </w:tc>
      </w:tr>
      <w:tr>
        <w:tc>
          <w:tcPr>
            <w:tcW w:type="dxa" w:w="1728"/>
          </w:tcPr>
          <w:p>
            <w:r>
              <w:t>USDA / Govt Agencies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Policy guidance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Dashboards, Briefs</w:t>
            </w:r>
          </w:p>
        </w:tc>
      </w:tr>
      <w:tr>
        <w:tc>
          <w:tcPr>
            <w:tcW w:type="dxa" w:w="1728"/>
          </w:tcPr>
          <w:p>
            <w:r>
              <w:t>Agribusiness Executives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Risk planning &amp; strategy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Dashboards, Reports</w:t>
            </w:r>
          </w:p>
        </w:tc>
      </w:tr>
      <w:tr>
        <w:tc>
          <w:tcPr>
            <w:tcW w:type="dxa" w:w="1728"/>
          </w:tcPr>
          <w:p>
            <w:r>
              <w:t>Farm Owners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Labor impact understanding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Regional visualizations</w:t>
            </w:r>
          </w:p>
        </w:tc>
      </w:tr>
      <w:tr>
        <w:tc>
          <w:tcPr>
            <w:tcW w:type="dxa" w:w="1728"/>
          </w:tcPr>
          <w:p>
            <w:r>
              <w:t>Supply Chain Managers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Operational planning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Trend forecasting</w:t>
            </w:r>
          </w:p>
        </w:tc>
      </w:tr>
      <w:tr>
        <w:tc>
          <w:tcPr>
            <w:tcW w:type="dxa" w:w="1728"/>
          </w:tcPr>
          <w:p>
            <w:r>
              <w:t>Labor Advocates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Protect migrant rights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Policy briefs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