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4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Yearly/monthly sales</w:t>
      </w:r>
    </w:p>
    <w:p>
      <w:pPr>
        <w:pStyle w:val="Default"/>
        <w:bidi w:val="0"/>
        <w:spacing w:before="0" w:line="340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34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The top</w:t>
      </w:r>
      <w:r>
        <w:rPr>
          <w:rFonts w:ascii="Arial" w:hAnsi="Arial"/>
          <w:rtl w:val="0"/>
          <w:lang w:val="en-US"/>
        </w:rPr>
        <w:t xml:space="preserve"> chart shows the yearly and monthly sales for average house prices in Austin. We can see</w:t>
      </w:r>
      <w:r>
        <w:rPr>
          <w:rFonts w:ascii="Arial" w:hAnsi="Arial"/>
          <w:rtl w:val="0"/>
          <w:lang w:val="en-US"/>
        </w:rPr>
        <w:t xml:space="preserve"> a stark</w:t>
      </w:r>
      <w:r>
        <w:rPr>
          <w:rFonts w:ascii="Arial" w:hAnsi="Arial"/>
          <w:rtl w:val="0"/>
          <w:lang w:val="en-US"/>
        </w:rPr>
        <w:t xml:space="preserve"> increase between 2019 and 2021. Additionally, there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 a stark decrease in prices in June and a sharp increase in July and December.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  <w:lang w:val="en-US"/>
        </w:rPr>
        <w:t>It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interesting how there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an increase of sales in the latter half of the year. While we were not able to specifically see why, as a resident of Austin, we have many events in the year in the latter half - from ACL to F1 to nationally popular Christmas lig ht shows and other such events. In addition, the weather begins to cool and people aren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t feeling so much of the brunt of the summer.</w:t>
      </w:r>
    </w:p>
    <w:p>
      <w:pPr>
        <w:pStyle w:val="Default"/>
        <w:bidi w:val="0"/>
        <w:spacing w:before="0" w:line="340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1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110506"/>
          <w:sz w:val="29"/>
          <w:szCs w:val="29"/>
          <w:rtl w:val="0"/>
          <w14:textFill>
            <w14:solidFill>
              <w14:srgbClr w14:val="110607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10506"/>
          <w:sz w:val="29"/>
          <w:szCs w:val="29"/>
          <w:rtl w:val="0"/>
          <w:lang w:val="en-US"/>
          <w14:textFill>
            <w14:solidFill>
              <w14:srgbClr w14:val="110607"/>
            </w14:solidFill>
          </w14:textFill>
        </w:rPr>
        <w:t>Bathrooms, schools, and square feet vs. price</w:t>
      </w:r>
    </w:p>
    <w:p>
      <w:pPr>
        <w:pStyle w:val="Default"/>
        <w:bidi w:val="0"/>
        <w:spacing w:before="0" w:line="34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3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>These</w:t>
      </w:r>
      <w:r>
        <w:rPr>
          <w:rFonts w:ascii="Arial" w:hAnsi="Arial"/>
          <w:rtl w:val="0"/>
          <w:lang w:val="en-US"/>
        </w:rPr>
        <w:t xml:space="preserve"> chart</w:t>
      </w:r>
      <w:r>
        <w:rPr>
          <w:rFonts w:ascii="Arial" w:hAnsi="Arial"/>
          <w:rtl w:val="0"/>
          <w:lang w:val="en-US"/>
        </w:rPr>
        <w:t>s</w:t>
      </w:r>
      <w:r>
        <w:rPr>
          <w:rFonts w:ascii="Arial" w:hAnsi="Arial"/>
          <w:rtl w:val="0"/>
          <w:lang w:val="en-US"/>
        </w:rPr>
        <w:t xml:space="preserve"> shows how different features (like increase of the living area square feet, nearby schools ratings, and number of bathrooms in the house) affect the price. We can see that generally a larger house </w:t>
      </w:r>
      <w:r>
        <w:rPr>
          <w:rFonts w:ascii="Arial" w:hAnsi="Arial"/>
          <w:rtl w:val="0"/>
          <w:lang w:val="en-US"/>
        </w:rPr>
        <w:t xml:space="preserve">(in Sq Ft) </w:t>
      </w:r>
      <w:r>
        <w:rPr>
          <w:rFonts w:ascii="Arial" w:hAnsi="Arial"/>
          <w:rtl w:val="0"/>
          <w:lang w:val="en-US"/>
        </w:rPr>
        <w:t xml:space="preserve">has a higher price. The price for schools ratings </w:t>
      </w:r>
      <w:r>
        <w:rPr>
          <w:rFonts w:ascii="Arial" w:hAnsi="Arial"/>
          <w:rtl w:val="0"/>
          <w:lang w:val="en-US"/>
        </w:rPr>
        <w:t>is interesting - while a rating of 9 or 10 doesn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t show an increase of house prices, </w:t>
      </w:r>
      <w:r>
        <w:rPr>
          <w:rFonts w:ascii="Arial" w:hAnsi="Arial"/>
          <w:rtl w:val="0"/>
          <w:lang w:val="en-US"/>
        </w:rPr>
        <w:t>an 8 is significantly higher</w:t>
      </w:r>
      <w:r>
        <w:rPr>
          <w:rFonts w:ascii="Arial" w:hAnsi="Arial"/>
          <w:rtl w:val="0"/>
          <w:lang w:val="en-US"/>
        </w:rPr>
        <w:t xml:space="preserve"> in price</w:t>
      </w:r>
      <w:r>
        <w:rPr>
          <w:rFonts w:ascii="Arial" w:hAnsi="Arial"/>
          <w:rtl w:val="0"/>
          <w:lang w:val="en-US"/>
        </w:rPr>
        <w:t xml:space="preserve"> than lower school ratings. In addition, the price for a house with ten or more bathrooms </w:t>
      </w:r>
      <w:r>
        <w:rPr>
          <w:rFonts w:ascii="Arial" w:hAnsi="Arial"/>
          <w:rtl w:val="0"/>
          <w:lang w:val="en-US"/>
        </w:rPr>
        <w:t>shows a stark increase</w:t>
      </w:r>
      <w:r>
        <w:rPr>
          <w:rFonts w:ascii="Arial" w:hAnsi="Arial"/>
          <w:rtl w:val="0"/>
          <w:lang w:val="en-US"/>
        </w:rPr>
        <w:t xml:space="preserve"> higher than houses with </w:t>
      </w:r>
      <w:r>
        <w:rPr>
          <w:rFonts w:ascii="Arial" w:hAnsi="Arial"/>
          <w:rtl w:val="0"/>
          <w:lang w:val="en-US"/>
        </w:rPr>
        <w:t xml:space="preserve">fewer </w:t>
      </w:r>
      <w:r>
        <w:rPr>
          <w:rFonts w:ascii="Arial" w:hAnsi="Arial"/>
          <w:rtl w:val="0"/>
          <w:lang w:val="en-US"/>
        </w:rPr>
        <w:t>bathrooms.</w:t>
      </w:r>
    </w:p>
    <w:p>
      <w:pPr>
        <w:pStyle w:val="Default"/>
        <w:bidi w:val="0"/>
        <w:spacing w:before="0" w:line="340" w:lineRule="atLeast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