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E1CC" w14:textId="29AEE5AE" w:rsidR="000C1ED2" w:rsidRDefault="00C36230">
      <w:r>
        <w:t xml:space="preserve">Buiten een stroommeting moet er ook nog een andere controle vorm zijn om te zien of de </w:t>
      </w:r>
      <w:proofErr w:type="spellStart"/>
      <w:r>
        <w:t>leds</w:t>
      </w:r>
      <w:proofErr w:type="spellEnd"/>
      <w:r>
        <w:t xml:space="preserve"> branden, dit gaat waarschijnlijk hardware matig moete gebeuren, ge hebt hier dan een aantal mogelijkheden om dit te doen, je kunt een fotodiode, een fototransistor, fotometer en zelfs een luxmeter gebruiken.</w:t>
      </w:r>
    </w:p>
    <w:sectPr w:rsidR="000C1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0"/>
    <w:rsid w:val="000C1ED2"/>
    <w:rsid w:val="00C36230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D176"/>
  <w15:chartTrackingRefBased/>
  <w15:docId w15:val="{0986AE40-641C-4FD0-80D9-4FF77FB9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1</cp:revision>
  <dcterms:created xsi:type="dcterms:W3CDTF">2023-03-13T14:37:00Z</dcterms:created>
  <dcterms:modified xsi:type="dcterms:W3CDTF">2023-03-13T14:40:00Z</dcterms:modified>
</cp:coreProperties>
</file>