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6D28D9"/>
          <w:sz w:val="60"/>
          <w:szCs w:val="60"/>
        </w:rPr>
        <w:t xml:space="preserve">BugAI</w:t>
      </w:r>
    </w:p>
    <w:p>
      <w:pPr>
        <w:spacing w:before="0" w:after="20"/>
        <w:jc w:val="center"/>
      </w:pPr>
      <w:r>
        <w:rPr>
          <w:rFonts w:ascii="Arial" w:cs="Arial" w:eastAsia="Arial" w:hAnsi="Arial"/>
          <w:b/>
          <w:bCs/>
          <w:color w:val="0A0A0F"/>
          <w:sz w:val="22"/>
          <w:szCs w:val="22"/>
        </w:rPr>
        <w:t xml:space="preserve">CONTRATO DE PRESTACIÓN DE SERVICIOS DE AUTOMATIZACIÓN</w:t>
      </w:r>
    </w:p>
    <w:p>
      <w:pPr>
        <w:spacing w:before="0" w:after="60"/>
        <w:jc w:val="center"/>
      </w:pPr>
      <w:r>
        <w:rPr>
          <w:rFonts w:ascii="Arial" w:cs="Arial" w:eastAsia="Arial" w:hAnsi="Arial"/>
          <w:color w:val="6B7280"/>
          <w:sz w:val="18"/>
          <w:szCs w:val="18"/>
        </w:rPr>
        <w:t xml:space="preserve">Aplicable en España · LATAM · USA — Operación 100% Remota</w:t>
      </w:r>
    </w:p>
    <w:p>
      <w:pPr>
        <w:pBdr>
          <w:bottom w:val="single" w:color="6D28D9" w:sz="6" w:space="1"/>
        </w:pBdr>
        <w:spacing w:before="220" w:after="220"/>
      </w:pPr>
    </w:p>
    <w:p>
      <w:pPr>
        <w:pStyle w:val="Heading1"/>
        <w:spacing w:before="360" w:after="100"/>
      </w:pPr>
      <w:r>
        <w:rPr>
          <w:rFonts w:ascii="Arial" w:cs="Arial" w:eastAsia="Arial" w:hAnsi="Arial"/>
          <w:b/>
          <w:bCs/>
          <w:color w:val="6D28D9"/>
          <w:sz w:val="26"/>
          <w:szCs w:val="26"/>
        </w:rPr>
        <w:t xml:space="preserve">DATOS DE LAS PARTES</w:t>
      </w:r>
    </w:p>
    <w:p>
      <w:pPr>
        <w:spacing w:before="80" w:after="80"/>
        <w:jc w:val="both"/>
      </w:pPr>
      <w:r>
        <w:rPr>
          <w:rFonts w:ascii="Arial" w:cs="Arial" w:eastAsia="Arial" w:hAnsi="Arial"/>
          <w:b/>
          <w:bCs/>
          <w:color w:val="0A0A0F"/>
          <w:sz w:val="20"/>
          <w:szCs w:val="20"/>
        </w:rPr>
        <w:t xml:space="preserve">Entre los suscritos, a saber:</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b/>
          <w:bCs/>
          <w:color w:val="0A0A0F"/>
          <w:sz w:val="20"/>
          <w:szCs w:val="20"/>
        </w:rPr>
        <w:t xml:space="preserve">EL PRESTADOR DE SERVICIOS (BugAI):</w:t>
      </w:r>
    </w:p>
    <w:p>
      <w:pPr>
        <w:pBdr>
          <w:bottom w:val="single" w:color="D1D5DB" w:sz="2" w:space="1"/>
        </w:pBdr>
        <w:spacing w:before="100" w:after="40"/>
      </w:pPr>
      <w:r>
        <w:rPr>
          <w:rFonts w:ascii="Arial" w:cs="Arial" w:eastAsia="Arial" w:hAnsi="Arial"/>
          <w:color w:val="6B7280"/>
          <w:sz w:val="20"/>
          <w:szCs w:val="20"/>
        </w:rPr>
        <w:t xml:space="preserve">Nombre / Razón Social:  </w:t>
      </w:r>
    </w:p>
    <w:p>
      <w:pPr>
        <w:pBdr>
          <w:bottom w:val="single" w:color="D1D5DB" w:sz="2" w:space="1"/>
        </w:pBdr>
        <w:spacing w:before="100" w:after="40"/>
      </w:pPr>
      <w:r>
        <w:rPr>
          <w:rFonts w:ascii="Arial" w:cs="Arial" w:eastAsia="Arial" w:hAnsi="Arial"/>
          <w:color w:val="6B7280"/>
          <w:sz w:val="20"/>
          <w:szCs w:val="20"/>
        </w:rPr>
        <w:t xml:space="preserve">NIF / RFC / RUT / EIN:  </w:t>
      </w:r>
    </w:p>
    <w:p>
      <w:pPr>
        <w:pBdr>
          <w:bottom w:val="single" w:color="D1D5DB" w:sz="2" w:space="1"/>
        </w:pBdr>
        <w:spacing w:before="100" w:after="40"/>
      </w:pPr>
      <w:r>
        <w:rPr>
          <w:rFonts w:ascii="Arial" w:cs="Arial" w:eastAsia="Arial" w:hAnsi="Arial"/>
          <w:color w:val="6B7280"/>
          <w:sz w:val="20"/>
          <w:szCs w:val="20"/>
        </w:rPr>
        <w:t xml:space="preserve">País de constitución:  </w:t>
      </w:r>
    </w:p>
    <w:p>
      <w:pPr>
        <w:pBdr>
          <w:bottom w:val="single" w:color="D1D5DB" w:sz="2" w:space="1"/>
        </w:pBdr>
        <w:spacing w:before="100" w:after="40"/>
      </w:pPr>
      <w:r>
        <w:rPr>
          <w:rFonts w:ascii="Arial" w:cs="Arial" w:eastAsia="Arial" w:hAnsi="Arial"/>
          <w:color w:val="6B7280"/>
          <w:sz w:val="20"/>
          <w:szCs w:val="20"/>
        </w:rPr>
        <w:t xml:space="preserve">Correo electrónico:  </w:t>
      </w:r>
    </w:p>
    <w:p>
      <w:pPr>
        <w:pBdr>
          <w:bottom w:val="single" w:color="D1D5DB" w:sz="2" w:space="1"/>
        </w:pBdr>
        <w:spacing w:before="100" w:after="40"/>
      </w:pPr>
      <w:r>
        <w:rPr>
          <w:rFonts w:ascii="Arial" w:cs="Arial" w:eastAsia="Arial" w:hAnsi="Arial"/>
          <w:color w:val="6B7280"/>
          <w:sz w:val="20"/>
          <w:szCs w:val="20"/>
        </w:rPr>
        <w:t xml:space="preserve">Teléfono / WhatsApp:  </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b/>
          <w:bCs/>
          <w:color w:val="0A0A0F"/>
          <w:sz w:val="20"/>
          <w:szCs w:val="20"/>
        </w:rPr>
        <w:t xml:space="preserve">EL CLIENTE:</w:t>
      </w:r>
    </w:p>
    <w:p>
      <w:pPr>
        <w:pBdr>
          <w:bottom w:val="single" w:color="D1D5DB" w:sz="2" w:space="1"/>
        </w:pBdr>
        <w:spacing w:before="100" w:after="40"/>
      </w:pPr>
      <w:r>
        <w:rPr>
          <w:rFonts w:ascii="Arial" w:cs="Arial" w:eastAsia="Arial" w:hAnsi="Arial"/>
          <w:color w:val="6B7280"/>
          <w:sz w:val="20"/>
          <w:szCs w:val="20"/>
        </w:rPr>
        <w:t xml:space="preserve">Nombre / Razón Social:  </w:t>
      </w:r>
    </w:p>
    <w:p>
      <w:pPr>
        <w:pBdr>
          <w:bottom w:val="single" w:color="D1D5DB" w:sz="2" w:space="1"/>
        </w:pBdr>
        <w:spacing w:before="100" w:after="40"/>
      </w:pPr>
      <w:r>
        <w:rPr>
          <w:rFonts w:ascii="Arial" w:cs="Arial" w:eastAsia="Arial" w:hAnsi="Arial"/>
          <w:color w:val="6B7280"/>
          <w:sz w:val="20"/>
          <w:szCs w:val="20"/>
        </w:rPr>
        <w:t xml:space="preserve">NIF / RFC / RUT / EIN / SSN:  </w:t>
      </w:r>
    </w:p>
    <w:p>
      <w:pPr>
        <w:pBdr>
          <w:bottom w:val="single" w:color="D1D5DB" w:sz="2" w:space="1"/>
        </w:pBdr>
        <w:spacing w:before="100" w:after="40"/>
      </w:pPr>
      <w:r>
        <w:rPr>
          <w:rFonts w:ascii="Arial" w:cs="Arial" w:eastAsia="Arial" w:hAnsi="Arial"/>
          <w:color w:val="6B7280"/>
          <w:sz w:val="20"/>
          <w:szCs w:val="20"/>
        </w:rPr>
        <w:t xml:space="preserve">País de residencia fiscal:  </w:t>
      </w:r>
    </w:p>
    <w:p>
      <w:pPr>
        <w:pBdr>
          <w:bottom w:val="single" w:color="D1D5DB" w:sz="2" w:space="1"/>
        </w:pBdr>
        <w:spacing w:before="100" w:after="40"/>
      </w:pPr>
      <w:r>
        <w:rPr>
          <w:rFonts w:ascii="Arial" w:cs="Arial" w:eastAsia="Arial" w:hAnsi="Arial"/>
          <w:color w:val="6B7280"/>
          <w:sz w:val="20"/>
          <w:szCs w:val="20"/>
        </w:rPr>
        <w:t xml:space="preserve">Correo electrónico:  </w:t>
      </w:r>
    </w:p>
    <w:p>
      <w:pPr>
        <w:pBdr>
          <w:bottom w:val="single" w:color="D1D5DB" w:sz="2" w:space="1"/>
        </w:pBdr>
        <w:spacing w:before="100" w:after="40"/>
      </w:pPr>
      <w:r>
        <w:rPr>
          <w:rFonts w:ascii="Arial" w:cs="Arial" w:eastAsia="Arial" w:hAnsi="Arial"/>
          <w:color w:val="6B7280"/>
          <w:sz w:val="20"/>
          <w:szCs w:val="20"/>
        </w:rPr>
        <w:t xml:space="preserve">Teléfono:  </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color w:val="0A0A0F"/>
          <w:sz w:val="20"/>
          <w:szCs w:val="20"/>
        </w:rPr>
        <w:t xml:space="preserve">Ambas partes, reconociéndose plena capacidad legal para contratar, acuerdan el siguiente Contrato de Prestación de Servicios de carácter mercantil, que se regirá por sus cláusulas y, de forma supletoria, por la legislación aplicable según el domicilio fiscal del cliente (España: Código Civil y normativa mercantil española; LATAM: legislación local aplicable; USA: leyes del estado acordado).</w:t>
      </w:r>
    </w:p>
    <w:p>
      <w:pPr>
        <w:pBdr>
          <w:bottom w:val="single" w:color="6D28D9" w:sz="6" w:space="1"/>
        </w:pBdr>
        <w:spacing w:before="220" w:after="220"/>
      </w:pPr>
    </w:p>
    <w:p>
      <w:pPr>
        <w:pStyle w:val="Heading1"/>
        <w:spacing w:before="360" w:after="100"/>
      </w:pPr>
      <w:r>
        <w:rPr>
          <w:rFonts w:ascii="Arial" w:cs="Arial" w:eastAsia="Arial" w:hAnsi="Arial"/>
          <w:b/>
          <w:bCs/>
          <w:color w:val="6D28D9"/>
          <w:sz w:val="26"/>
          <w:szCs w:val="26"/>
        </w:rPr>
        <w:t xml:space="preserve">PRIMERA — OBJETO</w:t>
      </w:r>
    </w:p>
    <w:p>
      <w:pPr>
        <w:spacing w:before="80" w:after="80"/>
        <w:jc w:val="both"/>
      </w:pPr>
      <w:r>
        <w:rPr>
          <w:rFonts w:ascii="Arial" w:cs="Arial" w:eastAsia="Arial" w:hAnsi="Arial"/>
          <w:color w:val="0A0A0F"/>
          <w:sz w:val="20"/>
          <w:szCs w:val="20"/>
        </w:rPr>
        <w:t xml:space="preserve">BugAI se compromete a diseñar, desarrollar e implementar flujos de automatización digital con o sin inteligencia artificial, según las especificaciones detalladas en el Anexo Técnico que forma parte integral de este contrato. El servicio se presta 100% de forma remota, sin necesidad de presencia física en ningún momento.</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SEGUNDA — DURACIÓN</w:t>
      </w:r>
    </w:p>
    <w:p>
      <w:pPr>
        <w:spacing w:before="80" w:after="80"/>
        <w:jc w:val="both"/>
      </w:pPr>
      <w:r>
        <w:rPr>
          <w:rFonts w:ascii="Arial" w:cs="Arial" w:eastAsia="Arial" w:hAnsi="Arial"/>
          <w:color w:val="0A0A0F"/>
          <w:sz w:val="20"/>
          <w:szCs w:val="20"/>
        </w:rPr>
        <w:t xml:space="preserve">El contrato entrará en vigor en la fecha de firma y se mantendrá hasta la entrega y aceptación de los entregables pactados. Si incluye plan de mantenimiento, se renovará automáticamente mes a mes salvo comunicación de cancelación con 15 días naturales de antelación enviada por correo electrónico a hola@bugai.io.</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TERCERA — PRECIO Y FORMA DE PAGO</w:t>
      </w:r>
    </w:p>
    <w:p>
      <w:pPr>
        <w:spacing w:before="80" w:after="80"/>
        <w:jc w:val="both"/>
      </w:pPr>
      <w:r>
        <w:rPr>
          <w:rFonts w:ascii="Arial" w:cs="Arial" w:eastAsia="Arial" w:hAnsi="Arial"/>
          <w:color w:val="0A0A0F"/>
          <w:sz w:val="20"/>
          <w:szCs w:val="20"/>
        </w:rPr>
        <w:t xml:space="preserve">El valor total del servicio contratado es de:</w:t>
      </w:r>
    </w:p>
    <w:p>
      <w:pPr>
        <w:spacing w:before="80" w:after="80"/>
        <w:jc w:val="both"/>
      </w:pPr>
      <w:r>
        <w:rPr>
          <w:rFonts w:ascii="Arial" w:cs="Arial" w:eastAsia="Arial" w:hAnsi="Arial"/>
          <w:color w:val="0A0A0F"/>
          <w:sz w:val="20"/>
          <w:szCs w:val="20"/>
        </w:rPr>
        <w:t xml:space="preserve">EUR: € ____________  /  USD: $ ____________  /  Otra moneda: ____________</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b/>
          <w:bCs/>
          <w:color w:val="0A0A0F"/>
          <w:sz w:val="20"/>
          <w:szCs w:val="20"/>
        </w:rPr>
        <w:t xml:space="preserve">Forma de pago:</w:t>
      </w:r>
    </w:p>
    <w:p>
      <w:pPr>
        <w:spacing w:before="80" w:after="80"/>
        <w:jc w:val="both"/>
      </w:pPr>
      <w:r>
        <w:rPr>
          <w:rFonts w:ascii="Arial" w:cs="Arial" w:eastAsia="Arial" w:hAnsi="Arial"/>
          <w:color w:val="0A0A0F"/>
          <w:sz w:val="20"/>
          <w:szCs w:val="20"/>
        </w:rPr>
        <w:t xml:space="preserve">50% al inicio: Pago del 50% antes del inicio del desarrollo, a la firma del presente contrato.</w:t>
      </w:r>
    </w:p>
    <w:p>
      <w:pPr>
        <w:spacing w:before="80" w:after="80"/>
        <w:jc w:val="both"/>
      </w:pPr>
      <w:r>
        <w:rPr>
          <w:rFonts w:ascii="Arial" w:cs="Arial" w:eastAsia="Arial" w:hAnsi="Arial"/>
          <w:color w:val="0A0A0F"/>
          <w:sz w:val="20"/>
          <w:szCs w:val="20"/>
        </w:rPr>
        <w:t xml:space="preserve">50% a la entrega: Pago del saldo restante a la entrega y aceptación satisfactoria por el CLIENTE.</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color w:val="0A0A0F"/>
          <w:sz w:val="20"/>
          <w:szCs w:val="20"/>
        </w:rPr>
        <w:t xml:space="preserve">Medios de pago aceptados: Transferencia bancaria SEPA o SWIFT, Stripe, PayPal, Wise, o criptomonedas estables (USDC / USDT en red ERC-20 o TRC-20). Los gastos bancarios o comisiones de plataforma corren a cargo del CLIENTE.</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color w:val="0A0A0F"/>
          <w:sz w:val="20"/>
          <w:szCs w:val="20"/>
        </w:rPr>
        <w:t xml:space="preserve">Para el plan de mantenimiento mensual, el cargo correspondiente se realizará los primeros 5 días hábiles de cada mes. El impago faculta a BugAI para suspender el servicio sin penalidad hasta la regularización.</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color w:val="0A0A0F"/>
          <w:sz w:val="20"/>
          <w:szCs w:val="20"/>
        </w:rPr>
        <w:t xml:space="preserve">IVA / Impuestos: Clientes en España están sujetos al IVA vigente (21% para servicios digitales). Clientes en LATAM y USA recibirán factura sin IVA europeo; cada cliente es responsable de sus obligaciones fiscales locales.</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CUARTA — OBLIGACIONES DE BUGAI</w:t>
      </w:r>
    </w:p>
    <w:p>
      <w:pPr>
        <w:pStyle w:val="ListParagraph"/>
        <w:numPr>
          <w:ilvl w:val="0"/>
          <w:numId w:val="2"/>
        </w:numPr>
        <w:spacing w:before="60" w:after="60"/>
      </w:pPr>
      <w:r>
        <w:rPr>
          <w:rFonts w:ascii="Arial" w:cs="Arial" w:eastAsia="Arial" w:hAnsi="Arial"/>
          <w:color w:val="0A0A0F"/>
          <w:sz w:val="20"/>
          <w:szCs w:val="20"/>
        </w:rPr>
        <w:t xml:space="preserve">Diseñar e implementar las automatizaciones conforme al Anexo Técnico aprobado.</w:t>
      </w:r>
    </w:p>
    <w:p>
      <w:pPr>
        <w:pStyle w:val="ListParagraph"/>
        <w:numPr>
          <w:ilvl w:val="0"/>
          <w:numId w:val="2"/>
        </w:numPr>
        <w:spacing w:before="60" w:after="60"/>
      </w:pPr>
      <w:r>
        <w:rPr>
          <w:rFonts w:ascii="Arial" w:cs="Arial" w:eastAsia="Arial" w:hAnsi="Arial"/>
          <w:color w:val="0A0A0F"/>
          <w:sz w:val="20"/>
          <w:szCs w:val="20"/>
        </w:rPr>
        <w:t xml:space="preserve">Mantener comunicación proactiva con el CLIENTE durante todo el proyecto.</w:t>
      </w:r>
    </w:p>
    <w:p>
      <w:pPr>
        <w:pStyle w:val="ListParagraph"/>
        <w:numPr>
          <w:ilvl w:val="0"/>
          <w:numId w:val="2"/>
        </w:numPr>
        <w:spacing w:before="60" w:after="60"/>
      </w:pPr>
      <w:r>
        <w:rPr>
          <w:rFonts w:ascii="Arial" w:cs="Arial" w:eastAsia="Arial" w:hAnsi="Arial"/>
          <w:color w:val="0A0A0F"/>
          <w:sz w:val="20"/>
          <w:szCs w:val="20"/>
        </w:rPr>
        <w:t xml:space="preserve">Entregar los flujos funcionales en los plazos acordados.</w:t>
      </w:r>
    </w:p>
    <w:p>
      <w:pPr>
        <w:pStyle w:val="ListParagraph"/>
        <w:numPr>
          <w:ilvl w:val="0"/>
          <w:numId w:val="2"/>
        </w:numPr>
        <w:spacing w:before="60" w:after="60"/>
      </w:pPr>
      <w:r>
        <w:rPr>
          <w:rFonts w:ascii="Arial" w:cs="Arial" w:eastAsia="Arial" w:hAnsi="Arial"/>
          <w:color w:val="0A0A0F"/>
          <w:sz w:val="20"/>
          <w:szCs w:val="20"/>
        </w:rPr>
        <w:t xml:space="preserve">Brindar soporte técnico durante el período de garantía incluido en el paquete.</w:t>
      </w:r>
    </w:p>
    <w:p>
      <w:pPr>
        <w:pStyle w:val="ListParagraph"/>
        <w:numPr>
          <w:ilvl w:val="0"/>
          <w:numId w:val="2"/>
        </w:numPr>
        <w:spacing w:before="60" w:after="60"/>
      </w:pPr>
      <w:r>
        <w:rPr>
          <w:rFonts w:ascii="Arial" w:cs="Arial" w:eastAsia="Arial" w:hAnsi="Arial"/>
          <w:color w:val="0A0A0F"/>
          <w:sz w:val="20"/>
          <w:szCs w:val="20"/>
        </w:rPr>
        <w:t xml:space="preserve">Guardar confidencialidad absoluta sobre los datos e información del CLIENTE.</w:t>
      </w:r>
    </w:p>
    <w:p>
      <w:pPr>
        <w:pStyle w:val="ListParagraph"/>
        <w:numPr>
          <w:ilvl w:val="0"/>
          <w:numId w:val="2"/>
        </w:numPr>
        <w:spacing w:before="60" w:after="60"/>
      </w:pPr>
      <w:r>
        <w:rPr>
          <w:rFonts w:ascii="Arial" w:cs="Arial" w:eastAsia="Arial" w:hAnsi="Arial"/>
          <w:color w:val="0A0A0F"/>
          <w:sz w:val="20"/>
          <w:szCs w:val="20"/>
        </w:rPr>
        <w:t xml:space="preserve">No subcontratar el desarrollo a terceros sin autorización expresa del CLIENTE.</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QUINTA — OBLIGACIONES DEL CLIENTE</w:t>
      </w:r>
    </w:p>
    <w:p>
      <w:pPr>
        <w:pStyle w:val="ListParagraph"/>
        <w:numPr>
          <w:ilvl w:val="0"/>
          <w:numId w:val="2"/>
        </w:numPr>
        <w:spacing w:before="60" w:after="60"/>
      </w:pPr>
      <w:r>
        <w:rPr>
          <w:rFonts w:ascii="Arial" w:cs="Arial" w:eastAsia="Arial" w:hAnsi="Arial"/>
          <w:color w:val="0A0A0F"/>
          <w:sz w:val="20"/>
          <w:szCs w:val="20"/>
        </w:rPr>
        <w:t xml:space="preserve">Proporcionar acceso a las herramientas, plataformas y credenciales necesarias para el desarrollo.</w:t>
      </w:r>
    </w:p>
    <w:p>
      <w:pPr>
        <w:pStyle w:val="ListParagraph"/>
        <w:numPr>
          <w:ilvl w:val="0"/>
          <w:numId w:val="2"/>
        </w:numPr>
        <w:spacing w:before="60" w:after="60"/>
      </w:pPr>
      <w:r>
        <w:rPr>
          <w:rFonts w:ascii="Arial" w:cs="Arial" w:eastAsia="Arial" w:hAnsi="Arial"/>
          <w:color w:val="0A0A0F"/>
          <w:sz w:val="20"/>
          <w:szCs w:val="20"/>
        </w:rPr>
        <w:t xml:space="preserve">Responder solicitudes de información en un máximo de 48 horas hábiles.</w:t>
      </w:r>
    </w:p>
    <w:p>
      <w:pPr>
        <w:pStyle w:val="ListParagraph"/>
        <w:numPr>
          <w:ilvl w:val="0"/>
          <w:numId w:val="2"/>
        </w:numPr>
        <w:spacing w:before="60" w:after="60"/>
      </w:pPr>
      <w:r>
        <w:rPr>
          <w:rFonts w:ascii="Arial" w:cs="Arial" w:eastAsia="Arial" w:hAnsi="Arial"/>
          <w:color w:val="0A0A0F"/>
          <w:sz w:val="20"/>
          <w:szCs w:val="20"/>
        </w:rPr>
        <w:t xml:space="preserve">Efectuar los pagos en los plazos y medios acordados.</w:t>
      </w:r>
    </w:p>
    <w:p>
      <w:pPr>
        <w:pStyle w:val="ListParagraph"/>
        <w:numPr>
          <w:ilvl w:val="0"/>
          <w:numId w:val="2"/>
        </w:numPr>
        <w:spacing w:before="60" w:after="60"/>
      </w:pPr>
      <w:r>
        <w:rPr>
          <w:rFonts w:ascii="Arial" w:cs="Arial" w:eastAsia="Arial" w:hAnsi="Arial"/>
          <w:color w:val="0A0A0F"/>
          <w:sz w:val="20"/>
          <w:szCs w:val="20"/>
        </w:rPr>
        <w:t xml:space="preserve">Designar un interlocutor responsable del proyecto.</w:t>
      </w:r>
    </w:p>
    <w:p>
      <w:pPr>
        <w:pStyle w:val="ListParagraph"/>
        <w:numPr>
          <w:ilvl w:val="0"/>
          <w:numId w:val="2"/>
        </w:numPr>
        <w:spacing w:before="60" w:after="60"/>
      </w:pPr>
      <w:r>
        <w:rPr>
          <w:rFonts w:ascii="Arial" w:cs="Arial" w:eastAsia="Arial" w:hAnsi="Arial"/>
          <w:color w:val="0A0A0F"/>
          <w:sz w:val="20"/>
          <w:szCs w:val="20"/>
        </w:rPr>
        <w:t xml:space="preserve">Asumir los costos de suscripciones a plataformas de terceros (Make, Zapier, OpenAI, etc.) salvo pacto expreso en contrario.</w:t>
      </w:r>
    </w:p>
    <w:p>
      <w:pPr>
        <w:pStyle w:val="ListParagraph"/>
        <w:numPr>
          <w:ilvl w:val="0"/>
          <w:numId w:val="2"/>
        </w:numPr>
        <w:spacing w:before="60" w:after="60"/>
      </w:pPr>
      <w:r>
        <w:rPr>
          <w:rFonts w:ascii="Arial" w:cs="Arial" w:eastAsia="Arial" w:hAnsi="Arial"/>
          <w:color w:val="0A0A0F"/>
          <w:sz w:val="20"/>
          <w:szCs w:val="20"/>
        </w:rPr>
        <w:t xml:space="preserve">No intentar replicar, revender ni sublicenciar las automatizaciones sin autorización escrita de BugAI.</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SEXTA — GARANTÍA</w:t>
      </w:r>
    </w:p>
    <w:p>
      <w:pPr>
        <w:spacing w:before="80" w:after="80"/>
        <w:jc w:val="both"/>
      </w:pPr>
      <w:r>
        <w:rPr>
          <w:rFonts w:ascii="Arial" w:cs="Arial" w:eastAsia="Arial" w:hAnsi="Arial"/>
          <w:color w:val="0A0A0F"/>
          <w:sz w:val="20"/>
          <w:szCs w:val="20"/>
        </w:rPr>
        <w:t xml:space="preserve">BugAI otorga una garantía de _______ días hábiles desde la fecha de aceptación de los entregables. Durante este período, cualquier fallo técnico imputable al desarrollo será corregido sin costo. La garantía no cubre: modificaciones solicitadas por el CLIENTE, fallos por cambios en APIs de terceros, ni mal uso de las herramientas.</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SÉPTIMA — PROPIEDAD INTELECTUAL Y LICENCIA</w:t>
      </w:r>
    </w:p>
    <w:p>
      <w:pPr>
        <w:spacing w:before="80" w:after="80"/>
        <w:jc w:val="both"/>
      </w:pPr>
      <w:r>
        <w:rPr>
          <w:rFonts w:ascii="Arial" w:cs="Arial" w:eastAsia="Arial" w:hAnsi="Arial"/>
          <w:color w:val="0A0A0F"/>
          <w:sz w:val="20"/>
          <w:szCs w:val="20"/>
        </w:rPr>
        <w:t xml:space="preserve">Los flujos, automatizaciones y desarrollos son de uso exclusivo del CLIENTE tras el pago completo del contrato. BugAI retiene el derecho de mencionar el proyecto en su portafolio (sin datos confidenciales) salvo solicitud expresa de confidencialidad total. El código y configuraciones de terceros (Make, n8n, Zapier, etc.) se rigen por las licencias propias de dichas plataformas.</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OCTAVA — PROTECCIÓN DE DATOS</w:t>
      </w:r>
    </w:p>
    <w:p>
      <w:pPr>
        <w:spacing w:before="80" w:after="80"/>
        <w:jc w:val="both"/>
      </w:pPr>
      <w:r>
        <w:rPr>
          <w:rFonts w:ascii="Arial" w:cs="Arial" w:eastAsia="Arial" w:hAnsi="Arial"/>
          <w:color w:val="0A0A0F"/>
          <w:sz w:val="20"/>
          <w:szCs w:val="20"/>
        </w:rPr>
        <w:t xml:space="preserve">BugAI tratará los datos personales del CLIENTE y sus clientes de conformidad con el RGPD (UE) para clientes en España/Europa, la legislación de protección de datos aplicable en LATAM, y la normativa estatal/federal en USA (CCPA y otras). BugAI actuará como encargado del tratamiento y únicamente procesará los datos para la ejecución del servicio contratado.</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NOVENA — CONFIDENCIALIDAD</w:t>
      </w:r>
    </w:p>
    <w:p>
      <w:pPr>
        <w:spacing w:before="80" w:after="80"/>
        <w:jc w:val="both"/>
      </w:pPr>
      <w:r>
        <w:rPr>
          <w:rFonts w:ascii="Arial" w:cs="Arial" w:eastAsia="Arial" w:hAnsi="Arial"/>
          <w:color w:val="0A0A0F"/>
          <w:sz w:val="20"/>
          <w:szCs w:val="20"/>
        </w:rPr>
        <w:t xml:space="preserve">Ambas partes se comprometen a no divulgar información confidencial intercambiada durante el proyecto. Esta obligación persiste por 3 años tras la terminación del contrato. Se exceptúa la información de dominio público o requerida por mandato judicial.</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DÉCIMA — TERMINACIÓN ANTICIPADA</w:t>
      </w:r>
    </w:p>
    <w:p>
      <w:pPr>
        <w:spacing w:before="80" w:after="80"/>
        <w:jc w:val="both"/>
      </w:pPr>
      <w:r>
        <w:rPr>
          <w:rFonts w:ascii="Arial" w:cs="Arial" w:eastAsia="Arial" w:hAnsi="Arial"/>
          <w:color w:val="0A0A0F"/>
          <w:sz w:val="20"/>
          <w:szCs w:val="20"/>
        </w:rPr>
        <w:t xml:space="preserve">Cualquiera de las partes puede resolver el contrato con 15 días naturales de aviso. Si la resolución es por decisión unilateral del CLIENTE sin causa imputable a BugAI, el pago inicial (50%) no será reembolsable. Si la resolución es por causa imputable a BugAI, este reembolsará los importes proporcionales al trabajo no entregado.</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UNDÉCIMA — LEY APLICABLE Y RESOLUCIÓN DE CONFLICTOS</w:t>
      </w:r>
    </w:p>
    <w:p>
      <w:pPr>
        <w:spacing w:before="80" w:after="80"/>
        <w:jc w:val="both"/>
      </w:pPr>
      <w:r>
        <w:rPr>
          <w:rFonts w:ascii="Arial" w:cs="Arial" w:eastAsia="Arial" w:hAnsi="Arial"/>
          <w:color w:val="0A0A0F"/>
          <w:sz w:val="20"/>
          <w:szCs w:val="20"/>
        </w:rPr>
        <w:t xml:space="preserve">Para clientes en España: legislación española; mediación previa y, si procede, juzgados de Madrid. Para clientes en LATAM: legislación del país de residencia del cliente; arbitraje internacional (UNCITRAL) como primera instancia. Para clientes en USA: leyes del Estado de ____________; arbitraje vinculante bajo las reglas de la AAA. En todos los casos, las partes acuerdan intentar resolución amistosa en un plazo de 30 días antes de iniciar cualquier proceso formal. Idioma de los procedimientos: español o inglés según acuerdo de las partes.</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DUODÉCIMA — VERSIÓN LINGÜÍSTICA</w:t>
      </w:r>
    </w:p>
    <w:p>
      <w:pPr>
        <w:spacing w:before="80" w:after="80"/>
        <w:jc w:val="both"/>
      </w:pPr>
      <w:r>
        <w:rPr>
          <w:rFonts w:ascii="Arial" w:cs="Arial" w:eastAsia="Arial" w:hAnsi="Arial"/>
          <w:color w:val="0A0A0F"/>
          <w:sz w:val="20"/>
          <w:szCs w:val="20"/>
        </w:rPr>
        <w:t xml:space="preserve">Este contrato puede firmarse en español e inglés. En caso de discrepancia interpretativa, la versión en español prevalecerá para clientes en España y LATAM; la versión en inglés prevalecerá para clientes en USA.</w:t>
      </w:r>
    </w:p>
    <w:p>
      <w:pPr>
        <w:pBdr>
          <w:bottom w:val="single" w:color="6D28D9" w:sz="6" w:space="1"/>
        </w:pBdr>
        <w:spacing w:before="220" w:after="220"/>
      </w:pPr>
    </w:p>
    <w:p>
      <w:pPr>
        <w:pStyle w:val="Heading1"/>
        <w:spacing w:before="360" w:after="100"/>
      </w:pPr>
      <w:r>
        <w:rPr>
          <w:rFonts w:ascii="Arial" w:cs="Arial" w:eastAsia="Arial" w:hAnsi="Arial"/>
          <w:b/>
          <w:bCs/>
          <w:color w:val="6D28D9"/>
          <w:sz w:val="26"/>
          <w:szCs w:val="26"/>
        </w:rPr>
        <w:t xml:space="preserve">FIRMAS</w:t>
      </w:r>
    </w:p>
    <w:p>
      <w:pPr>
        <w:spacing w:before="80" w:after="80"/>
        <w:jc w:val="both"/>
      </w:pPr>
      <w:r>
        <w:rPr>
          <w:rFonts w:ascii="Arial" w:cs="Arial" w:eastAsia="Arial" w:hAnsi="Arial"/>
          <w:color w:val="0A0A0F"/>
          <w:sz w:val="20"/>
          <w:szCs w:val="20"/>
        </w:rPr>
        <w:t xml:space="preserve">En prueba de conformidad, las partes firman el presente contrato en formato digital (firma electrónica válida) o en papel, en la fecha indicada a continuación.</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color w:val="0A0A0F"/>
          <w:sz w:val="20"/>
          <w:szCs w:val="20"/>
        </w:rPr>
        <w:t xml:space="preserve">Fecha: _______________________________</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color w:val="0A0A0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600"/>
        <w:gridCol w:w="4380"/>
      </w:tblGrid>
      <w:tr>
        <w:tc>
          <w:tcPr>
            <w:tcW w:type="dxa" w:w="438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sz w:val="20"/>
                <w:szCs w:val="20"/>
              </w:rPr>
              <w:t xml:space="preserve">______________________________</w:t>
            </w:r>
          </w:p>
          <w:p>
            <w:pPr>
              <w:jc w:val="center"/>
            </w:pPr>
            <w:r>
              <w:rPr>
                <w:rFonts w:ascii="Arial" w:cs="Arial" w:eastAsia="Arial" w:hAnsi="Arial"/>
                <w:b/>
                <w:bCs/>
                <w:color w:val="6D28D9"/>
                <w:sz w:val="20"/>
                <w:szCs w:val="20"/>
              </w:rPr>
              <w:t xml:space="preserve">BUGAI — PRESTADOR DE SERVICIOS</w:t>
            </w:r>
          </w:p>
          <w:p>
            <w:pPr>
              <w:jc w:val="center"/>
            </w:pPr>
            <w:r>
              <w:rPr>
                <w:rFonts w:ascii="Arial" w:cs="Arial" w:eastAsia="Arial" w:hAnsi="Arial"/>
                <w:color w:val="6B7280"/>
                <w:sz w:val="18"/>
                <w:szCs w:val="18"/>
              </w:rPr>
              <w:t xml:space="preserve">NIF/EIN: ___________________</w:t>
            </w:r>
          </w:p>
        </w:tc>
        <w:tc>
          <w:tcPr>
            <w:tcW w:type="dxa" w:w="600"/>
            <w:tcBorders>
              <w:top w:val="none" w:color="FFFFFF" w:sz="0"/>
              <w:left w:val="none" w:color="FFFFFF" w:sz="0"/>
              <w:bottom w:val="none" w:color="FFFFFF" w:sz="0"/>
              <w:right w:val="none" w:color="FFFFFF" w:sz="0"/>
            </w:tcBorders>
          </w:tcPr>
          <w:p/>
        </w:tc>
        <w:tc>
          <w:tcPr>
            <w:tcW w:type="dxa" w:w="438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sz w:val="20"/>
                <w:szCs w:val="20"/>
              </w:rPr>
              <w:t xml:space="preserve">______________________________</w:t>
            </w:r>
          </w:p>
          <w:p>
            <w:pPr>
              <w:jc w:val="center"/>
            </w:pPr>
            <w:r>
              <w:rPr>
                <w:rFonts w:ascii="Arial" w:cs="Arial" w:eastAsia="Arial" w:hAnsi="Arial"/>
                <w:b/>
                <w:bCs/>
                <w:color w:val="6D28D9"/>
                <w:sz w:val="20"/>
                <w:szCs w:val="20"/>
              </w:rPr>
              <w:t xml:space="preserve">EL CLIENTE</w:t>
            </w:r>
          </w:p>
          <w:p>
            <w:pPr>
              <w:jc w:val="center"/>
            </w:pPr>
            <w:r>
              <w:rPr>
                <w:rFonts w:ascii="Arial" w:cs="Arial" w:eastAsia="Arial" w:hAnsi="Arial"/>
                <w:color w:val="6B7280"/>
                <w:sz w:val="18"/>
                <w:szCs w:val="18"/>
              </w:rPr>
              <w:t xml:space="preserve">Nombre: _____________________</w:t>
            </w:r>
          </w:p>
          <w:p>
            <w:pPr>
              <w:jc w:val="center"/>
            </w:pPr>
            <w:r>
              <w:rPr>
                <w:rFonts w:ascii="Arial" w:cs="Arial" w:eastAsia="Arial" w:hAnsi="Arial"/>
                <w:color w:val="6B7280"/>
                <w:sz w:val="18"/>
                <w:szCs w:val="18"/>
              </w:rPr>
              <w:t xml:space="preserve">NIF/RUT/EIN: _______________</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D28D9" w:sz="4" w:space="1"/>
      </w:pBdr>
      <w:spacing w:before="120"/>
      <w:jc w:val="center"/>
    </w:pPr>
    <w:r>
      <w:rPr>
        <w:rFonts w:ascii="Arial" w:cs="Arial" w:eastAsia="Arial" w:hAnsi="Arial"/>
        <w:color w:val="6B7280"/>
        <w:sz w:val="16"/>
        <w:szCs w:val="16"/>
      </w:rPr>
      <w:t xml:space="preserve">BugAI — Contrato de Prestación de Servicios | hola@bugai.io | www.bugai.io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2026-02-27T19:07:39.812Z</dcterms:created>
  <dcterms:modified xsi:type="dcterms:W3CDTF">2026-02-27T19:07:39.814Z</dcterms:modified>
</cp:coreProperties>
</file>

<file path=docProps/custom.xml><?xml version="1.0" encoding="utf-8"?>
<Properties xmlns="http://schemas.openxmlformats.org/officeDocument/2006/custom-properties" xmlns:vt="http://schemas.openxmlformats.org/officeDocument/2006/docPropsVTypes"/>
</file>