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C8E" w:rsidRPr="00D07C8E" w:rsidRDefault="00D07C8E" w:rsidP="00D07C8E">
      <w:pPr>
        <w:spacing w:line="288" w:lineRule="auto"/>
        <w:jc w:val="center"/>
        <w:rPr>
          <w:rFonts w:ascii="Arial" w:eastAsia="MS Mincho" w:hAnsi="Arial" w:cs="Arial"/>
          <w:b/>
          <w:bCs/>
          <w:sz w:val="32"/>
          <w:szCs w:val="32"/>
        </w:rPr>
      </w:pPr>
      <w:r w:rsidRPr="00D07C8E">
        <w:rPr>
          <w:rFonts w:ascii="Arial" w:eastAsia="MS Mincho" w:hAnsi="Arial" w:cs="Arial"/>
          <w:b/>
          <w:bCs/>
          <w:sz w:val="32"/>
          <w:szCs w:val="32"/>
        </w:rPr>
        <w:t xml:space="preserve">Predictive Model Plan </w:t>
      </w:r>
    </w:p>
    <w:p w:rsidR="00D07C8E" w:rsidRPr="00D07C8E" w:rsidRDefault="00D07C8E" w:rsidP="00D07C8E">
      <w:pPr>
        <w:pBdr>
          <w:top w:val="single" w:sz="8" w:space="0" w:color="B2B2B2"/>
          <w:left w:val="single" w:sz="8" w:space="0" w:color="B2B2B2"/>
          <w:bottom w:val="single" w:sz="8" w:space="0" w:color="B2B2B2"/>
          <w:right w:val="single" w:sz="8" w:space="0" w:color="B2B2B2"/>
        </w:pBdr>
        <w:shd w:val="clear" w:color="auto" w:fill="EFEFEF"/>
        <w:spacing w:before="480" w:after="100" w:line="268" w:lineRule="auto"/>
        <w:contextualSpacing/>
        <w:outlineLvl w:val="0"/>
        <w:rPr>
          <w:rFonts w:ascii="Arial" w:eastAsia="MS Gothic" w:hAnsi="Arial" w:cs="Arial"/>
          <w:b/>
          <w:bCs/>
          <w:color w:val="000000"/>
        </w:rPr>
      </w:pPr>
      <w:r w:rsidRPr="00D07C8E">
        <w:rPr>
          <w:rFonts w:ascii="Arial" w:eastAsia="MS Gothic" w:hAnsi="Arial" w:cs="Arial"/>
          <w:b/>
          <w:bCs/>
          <w:color w:val="000000"/>
        </w:rPr>
        <w:t>1. Model Logic (Generated with Gen</w:t>
      </w:r>
      <w:r w:rsidR="009D7C05">
        <w:rPr>
          <w:rFonts w:ascii="Arial" w:eastAsia="MS Gothic" w:hAnsi="Arial" w:cs="Arial"/>
          <w:b/>
          <w:bCs/>
          <w:color w:val="000000"/>
        </w:rPr>
        <w:t xml:space="preserve"> </w:t>
      </w:r>
      <w:r w:rsidRPr="00D07C8E">
        <w:rPr>
          <w:rFonts w:ascii="Arial" w:eastAsia="MS Gothic" w:hAnsi="Arial" w:cs="Arial"/>
          <w:b/>
          <w:bCs/>
          <w:color w:val="000000"/>
        </w:rPr>
        <w:t>AI)</w:t>
      </w:r>
    </w:p>
    <w:p w:rsidR="00D07C8E" w:rsidRPr="00D07C8E" w:rsidRDefault="00D07C8E" w:rsidP="00D07C8E">
      <w:pPr>
        <w:spacing w:line="288" w:lineRule="auto"/>
        <w:rPr>
          <w:rFonts w:ascii="Arial" w:eastAsia="MS Mincho" w:hAnsi="Arial" w:cs="Arial"/>
          <w:color w:val="000000"/>
          <w:sz w:val="20"/>
          <w:szCs w:val="20"/>
        </w:rPr>
      </w:pPr>
      <w:r w:rsidRPr="00D07C8E">
        <w:rPr>
          <w:rFonts w:ascii="Arial" w:eastAsia="MS Mincho" w:hAnsi="Arial" w:cs="Arial"/>
          <w:color w:val="000000"/>
          <w:sz w:val="20"/>
          <w:szCs w:val="20"/>
        </w:rPr>
        <w:t>Use a Gen</w:t>
      </w:r>
      <w:r w:rsidR="009D7C05">
        <w:rPr>
          <w:rFonts w:ascii="Arial" w:eastAsia="MS Mincho" w:hAnsi="Arial" w:cs="Arial"/>
          <w:color w:val="000000"/>
          <w:sz w:val="20"/>
          <w:szCs w:val="20"/>
        </w:rPr>
        <w:t xml:space="preserve"> </w:t>
      </w:r>
      <w:r w:rsidRPr="00D07C8E">
        <w:rPr>
          <w:rFonts w:ascii="Arial" w:eastAsia="MS Mincho" w:hAnsi="Arial" w:cs="Arial"/>
          <w:color w:val="000000"/>
          <w:sz w:val="20"/>
          <w:szCs w:val="20"/>
        </w:rPr>
        <w:t>AI tool (e.g., Chat</w:t>
      </w:r>
      <w:r w:rsidR="009D7C05">
        <w:rPr>
          <w:rFonts w:ascii="Arial" w:eastAsia="MS Mincho" w:hAnsi="Arial" w:cs="Arial"/>
          <w:color w:val="000000"/>
          <w:sz w:val="20"/>
          <w:szCs w:val="20"/>
        </w:rPr>
        <w:t xml:space="preserve"> </w:t>
      </w:r>
      <w:r w:rsidRPr="00D07C8E">
        <w:rPr>
          <w:rFonts w:ascii="Arial" w:eastAsia="MS Mincho" w:hAnsi="Arial" w:cs="Arial"/>
          <w:color w:val="000000"/>
          <w:sz w:val="20"/>
          <w:szCs w:val="20"/>
        </w:rPr>
        <w:t>GPT, Gemini) to generate the logic or structure of your predictive model.</w:t>
      </w:r>
      <w:r w:rsidRPr="00D07C8E">
        <w:rPr>
          <w:rFonts w:ascii="Arial" w:eastAsia="MS Mincho" w:hAnsi="Arial" w:cs="Arial"/>
          <w:color w:val="000000"/>
          <w:sz w:val="20"/>
          <w:szCs w:val="20"/>
        </w:rPr>
        <w:br/>
        <w:t>- You may include pseudo-code, a step-by-step process, or a simplified code snippet.</w:t>
      </w:r>
      <w:r w:rsidRPr="00D07C8E">
        <w:rPr>
          <w:rFonts w:ascii="Arial" w:eastAsia="MS Mincho" w:hAnsi="Arial" w:cs="Arial"/>
          <w:color w:val="000000"/>
          <w:sz w:val="20"/>
          <w:szCs w:val="20"/>
        </w:rPr>
        <w:br/>
        <w:t>- Briefly explain what the model is designed to do.</w:t>
      </w:r>
    </w:p>
    <w:p w:rsidR="009D7C05" w:rsidRDefault="00D07C8E" w:rsidP="009D7C05">
      <w:pPr>
        <w:spacing w:line="288" w:lineRule="auto"/>
        <w:rPr>
          <w:rFonts w:ascii="Arial" w:eastAsia="MS Mincho" w:hAnsi="Arial" w:cs="Arial"/>
          <w:color w:val="000000"/>
          <w:sz w:val="20"/>
          <w:szCs w:val="20"/>
        </w:rPr>
      </w:pPr>
      <w:r w:rsidRPr="00D07C8E">
        <w:rPr>
          <w:rFonts w:ascii="Arial" w:eastAsia="MS Mincho" w:hAnsi="Arial" w:cs="Arial"/>
          <w:color w:val="000000"/>
          <w:sz w:val="20"/>
          <w:szCs w:val="20"/>
        </w:rPr>
        <w:t>Paste your Gen</w:t>
      </w:r>
      <w:r w:rsidR="009D7C05">
        <w:rPr>
          <w:rFonts w:ascii="Arial" w:eastAsia="MS Mincho" w:hAnsi="Arial" w:cs="Arial"/>
          <w:color w:val="000000"/>
          <w:sz w:val="20"/>
          <w:szCs w:val="20"/>
        </w:rPr>
        <w:t xml:space="preserve"> </w:t>
      </w:r>
      <w:r w:rsidRPr="00D07C8E">
        <w:rPr>
          <w:rFonts w:ascii="Arial" w:eastAsia="MS Mincho" w:hAnsi="Arial" w:cs="Arial"/>
          <w:color w:val="000000"/>
          <w:sz w:val="20"/>
          <w:szCs w:val="20"/>
        </w:rPr>
        <w:t>AI-generated output below or describe the logic in your own words:</w:t>
      </w:r>
    </w:p>
    <w:p w:rsidR="009D7C05" w:rsidRPr="009D7C05" w:rsidRDefault="00D07C8E" w:rsidP="009D7C05">
      <w:pPr>
        <w:spacing w:line="288" w:lineRule="auto"/>
        <w:rPr>
          <w:rFonts w:ascii="Arial" w:eastAsia="MS Mincho" w:hAnsi="Arial" w:cs="Arial"/>
          <w:b/>
          <w:color w:val="000000"/>
          <w:sz w:val="20"/>
          <w:szCs w:val="20"/>
        </w:rPr>
      </w:pPr>
      <w:r w:rsidRPr="00D07C8E">
        <w:rPr>
          <w:rFonts w:ascii="Arial" w:eastAsia="MS Gothic" w:hAnsi="Arial" w:cs="Arial"/>
          <w:b/>
          <w:bCs/>
          <w:color w:val="000000"/>
          <w:sz w:val="20"/>
          <w:szCs w:val="20"/>
        </w:rPr>
        <w:br/>
      </w:r>
      <w:r w:rsidR="009D7C05" w:rsidRPr="009D7C05">
        <w:rPr>
          <w:rFonts w:ascii="Arial" w:eastAsia="Times New Roman" w:hAnsi="Arial" w:cs="Arial"/>
          <w:b/>
          <w:color w:val="0F1115"/>
          <w:sz w:val="20"/>
          <w:szCs w:val="20"/>
        </w:rPr>
        <w:t>Chosen Model &amp; Top Features</w:t>
      </w:r>
    </w:p>
    <w:p w:rsidR="009D7C05" w:rsidRDefault="009D7C05" w:rsidP="009D7C05">
      <w:pPr>
        <w:shd w:val="clear" w:color="auto" w:fill="FFFFFF"/>
        <w:spacing w:before="240" w:after="240" w:line="240" w:lineRule="auto"/>
        <w:rPr>
          <w:rFonts w:ascii="Arial" w:eastAsia="Times New Roman" w:hAnsi="Arial" w:cs="Arial"/>
          <w:b/>
          <w:bCs/>
          <w:color w:val="0F1115"/>
          <w:sz w:val="20"/>
          <w:szCs w:val="20"/>
        </w:rPr>
      </w:pPr>
      <w:r w:rsidRPr="009D7C05">
        <w:rPr>
          <w:rFonts w:ascii="Arial" w:eastAsia="Times New Roman" w:hAnsi="Arial" w:cs="Arial"/>
          <w:b/>
          <w:bCs/>
          <w:color w:val="0F1115"/>
          <w:sz w:val="20"/>
          <w:szCs w:val="20"/>
        </w:rPr>
        <w:t xml:space="preserve">Chosen Model: </w:t>
      </w:r>
    </w:p>
    <w:p w:rsidR="00682635" w:rsidRDefault="00682635" w:rsidP="009D7C05">
      <w:pPr>
        <w:shd w:val="clear" w:color="auto" w:fill="FFFFFF"/>
        <w:spacing w:before="240" w:after="240" w:line="240" w:lineRule="auto"/>
        <w:rPr>
          <w:rFonts w:ascii="Arial" w:eastAsia="Times New Roman" w:hAnsi="Arial" w:cs="Arial"/>
          <w:b/>
          <w:bCs/>
          <w:color w:val="0F1115"/>
          <w:sz w:val="20"/>
          <w:szCs w:val="20"/>
        </w:rPr>
      </w:pPr>
      <w:r>
        <w:rPr>
          <w:rFonts w:ascii="Arial" w:eastAsia="Times New Roman" w:hAnsi="Arial" w:cs="Arial"/>
          <w:b/>
          <w:bCs/>
          <w:color w:val="0F1115"/>
          <w:sz w:val="20"/>
          <w:szCs w:val="20"/>
        </w:rPr>
        <w:t>Logistic Regression</w:t>
      </w:r>
    </w:p>
    <w:p w:rsidR="009D7C05" w:rsidRDefault="00682635" w:rsidP="009D7C05">
      <w:pPr>
        <w:shd w:val="clear" w:color="auto" w:fill="FFFFFF"/>
        <w:spacing w:before="240" w:after="240" w:line="240" w:lineRule="auto"/>
        <w:rPr>
          <w:rFonts w:ascii="Arial" w:eastAsia="Times New Roman" w:hAnsi="Arial" w:cs="Arial"/>
          <w:b/>
          <w:bCs/>
          <w:color w:val="0F1115"/>
          <w:sz w:val="20"/>
          <w:szCs w:val="20"/>
        </w:rPr>
      </w:pPr>
      <w:r w:rsidRPr="00682635">
        <w:rPr>
          <w:rStyle w:val="Strong"/>
          <w:rFonts w:ascii="Arial" w:hAnsi="Arial" w:cs="Arial"/>
          <w:b w:val="0"/>
          <w:color w:val="0F1115"/>
          <w:sz w:val="20"/>
          <w:szCs w:val="20"/>
          <w:shd w:val="clear" w:color="auto" w:fill="FFFFFF"/>
        </w:rPr>
        <w:t>We have chosen Logistic Regression for our delinquency prediction model.</w:t>
      </w:r>
      <w:r w:rsidRPr="00682635">
        <w:rPr>
          <w:rFonts w:ascii="Arial" w:hAnsi="Arial" w:cs="Arial"/>
          <w:color w:val="0F1115"/>
          <w:sz w:val="20"/>
          <w:szCs w:val="20"/>
          <w:shd w:val="clear" w:color="auto" w:fill="FFFFFF"/>
        </w:rPr>
        <w:t> It provides clear, interpretable coefficients that show exactly how each risk factor (like missed payments or high credit utilization) increases the probability of delinquency, which is essential for regulatory compliance and business decision-making. While simpler than tree-based models, its transparency and stability make it ideal for a risk management context where explaining predictions is as important as accuracy.</w:t>
      </w:r>
      <w:r w:rsidR="009D7C05" w:rsidRPr="009D7C05">
        <w:rPr>
          <w:rFonts w:ascii="Arial" w:eastAsia="Times New Roman" w:hAnsi="Arial" w:cs="Arial"/>
          <w:color w:val="0F1115"/>
          <w:sz w:val="20"/>
          <w:szCs w:val="20"/>
        </w:rPr>
        <w:br/>
      </w:r>
      <w:r w:rsidR="009D7C05" w:rsidRPr="009D7C05">
        <w:rPr>
          <w:rFonts w:ascii="Arial" w:eastAsia="Times New Roman" w:hAnsi="Arial" w:cs="Arial"/>
          <w:b/>
          <w:bCs/>
          <w:color w:val="0F1115"/>
          <w:sz w:val="20"/>
          <w:szCs w:val="20"/>
        </w:rPr>
        <w:t>Top 5 Input Features:</w:t>
      </w:r>
    </w:p>
    <w:p w:rsidR="00B829E0" w:rsidRPr="00B829E0" w:rsidRDefault="00B829E0" w:rsidP="00B829E0">
      <w:pPr>
        <w:pStyle w:val="ds-markdown-paragraph"/>
        <w:numPr>
          <w:ilvl w:val="0"/>
          <w:numId w:val="2"/>
        </w:numPr>
        <w:shd w:val="clear" w:color="auto" w:fill="FFFFFF"/>
        <w:spacing w:after="0" w:afterAutospacing="0"/>
        <w:ind w:left="0"/>
        <w:rPr>
          <w:rFonts w:ascii="Arial" w:hAnsi="Arial" w:cs="Arial"/>
          <w:color w:val="0F1115"/>
          <w:sz w:val="20"/>
          <w:szCs w:val="20"/>
        </w:rPr>
      </w:pPr>
      <w:r w:rsidRPr="00B829E0">
        <w:rPr>
          <w:rStyle w:val="Strong"/>
          <w:rFonts w:ascii="Arial" w:hAnsi="Arial" w:cs="Arial"/>
          <w:color w:val="0F1115"/>
          <w:sz w:val="20"/>
          <w:szCs w:val="20"/>
        </w:rPr>
        <w:t>Missed_Payments</w:t>
      </w:r>
      <w:r w:rsidRPr="00B829E0">
        <w:rPr>
          <w:rFonts w:ascii="Arial" w:hAnsi="Arial" w:cs="Arial"/>
          <w:color w:val="0F1115"/>
          <w:sz w:val="20"/>
          <w:szCs w:val="20"/>
        </w:rPr>
        <w:br/>
        <w:t>The strongest direct predictor, as delinquency is fundamentally defined by payment failure. Higher counts almost universally increase risk.</w:t>
      </w:r>
    </w:p>
    <w:p w:rsidR="00B829E0" w:rsidRPr="00B829E0" w:rsidRDefault="00B829E0" w:rsidP="00B829E0">
      <w:pPr>
        <w:pStyle w:val="ds-markdown-paragraph"/>
        <w:numPr>
          <w:ilvl w:val="0"/>
          <w:numId w:val="2"/>
        </w:numPr>
        <w:shd w:val="clear" w:color="auto" w:fill="FFFFFF"/>
        <w:spacing w:after="0" w:afterAutospacing="0"/>
        <w:ind w:left="0"/>
        <w:rPr>
          <w:rFonts w:ascii="Arial" w:hAnsi="Arial" w:cs="Arial"/>
          <w:color w:val="0F1115"/>
          <w:sz w:val="20"/>
          <w:szCs w:val="20"/>
        </w:rPr>
      </w:pPr>
      <w:r w:rsidRPr="00B829E0">
        <w:rPr>
          <w:rStyle w:val="Strong"/>
          <w:rFonts w:ascii="Arial" w:hAnsi="Arial" w:cs="Arial"/>
          <w:color w:val="0F1115"/>
          <w:sz w:val="20"/>
          <w:szCs w:val="20"/>
        </w:rPr>
        <w:t>Credit_Utilization</w:t>
      </w:r>
      <w:r w:rsidRPr="00B829E0">
        <w:rPr>
          <w:rFonts w:ascii="Arial" w:hAnsi="Arial" w:cs="Arial"/>
          <w:color w:val="0F1115"/>
          <w:sz w:val="20"/>
          <w:szCs w:val="20"/>
        </w:rPr>
        <w:br/>
        <w:t>A real-time indicator of financial stress; values above 70–80% signal over-leverage and strongly correlate with payment difficulties.</w:t>
      </w:r>
    </w:p>
    <w:p w:rsidR="00B829E0" w:rsidRPr="00B829E0" w:rsidRDefault="00B829E0" w:rsidP="00B829E0">
      <w:pPr>
        <w:pStyle w:val="ds-markdown-paragraph"/>
        <w:numPr>
          <w:ilvl w:val="0"/>
          <w:numId w:val="2"/>
        </w:numPr>
        <w:shd w:val="clear" w:color="auto" w:fill="FFFFFF"/>
        <w:spacing w:after="0" w:afterAutospacing="0"/>
        <w:ind w:left="0"/>
        <w:rPr>
          <w:rFonts w:ascii="Arial" w:hAnsi="Arial" w:cs="Arial"/>
          <w:color w:val="0F1115"/>
          <w:sz w:val="20"/>
          <w:szCs w:val="20"/>
        </w:rPr>
      </w:pPr>
      <w:r w:rsidRPr="00B829E0">
        <w:rPr>
          <w:rStyle w:val="Strong"/>
          <w:rFonts w:ascii="Arial" w:hAnsi="Arial" w:cs="Arial"/>
          <w:color w:val="0F1115"/>
          <w:sz w:val="20"/>
          <w:szCs w:val="20"/>
        </w:rPr>
        <w:t>Debt_to_Income_Ratio</w:t>
      </w:r>
      <w:r w:rsidRPr="00B829E0">
        <w:rPr>
          <w:rFonts w:ascii="Arial" w:hAnsi="Arial" w:cs="Arial"/>
          <w:color w:val="0F1115"/>
          <w:sz w:val="20"/>
          <w:szCs w:val="20"/>
        </w:rPr>
        <w:br/>
        <w:t>Measures overall debt burden relative to income. A high DTI (&gt;40%) indicates limited capacity to absorb new financial shocks.</w:t>
      </w:r>
    </w:p>
    <w:p w:rsidR="00B829E0" w:rsidRPr="00B829E0" w:rsidRDefault="00B829E0" w:rsidP="00B829E0">
      <w:pPr>
        <w:pStyle w:val="ds-markdown-paragraph"/>
        <w:numPr>
          <w:ilvl w:val="0"/>
          <w:numId w:val="2"/>
        </w:numPr>
        <w:shd w:val="clear" w:color="auto" w:fill="FFFFFF"/>
        <w:spacing w:after="0" w:afterAutospacing="0"/>
        <w:ind w:left="0"/>
        <w:rPr>
          <w:rFonts w:ascii="Arial" w:hAnsi="Arial" w:cs="Arial"/>
          <w:color w:val="0F1115"/>
          <w:sz w:val="20"/>
          <w:szCs w:val="20"/>
        </w:rPr>
      </w:pPr>
      <w:r w:rsidRPr="00B829E0">
        <w:rPr>
          <w:rStyle w:val="Strong"/>
          <w:rFonts w:ascii="Arial" w:hAnsi="Arial" w:cs="Arial"/>
          <w:color w:val="0F1115"/>
          <w:sz w:val="20"/>
          <w:szCs w:val="20"/>
        </w:rPr>
        <w:t>Income</w:t>
      </w:r>
      <w:r w:rsidRPr="00B829E0">
        <w:rPr>
          <w:rFonts w:ascii="Arial" w:hAnsi="Arial" w:cs="Arial"/>
          <w:color w:val="0F1115"/>
          <w:sz w:val="20"/>
          <w:szCs w:val="20"/>
        </w:rPr>
        <w:br/>
        <w:t>Foundational to ability-to-pay. Lower income, especially when combined with high debt or utilization, raises delinquency risk.</w:t>
      </w:r>
    </w:p>
    <w:p w:rsidR="00B829E0" w:rsidRPr="00B829E0" w:rsidRDefault="00B829E0" w:rsidP="00B829E0">
      <w:pPr>
        <w:pStyle w:val="ds-markdown-paragraph"/>
        <w:numPr>
          <w:ilvl w:val="0"/>
          <w:numId w:val="2"/>
        </w:numPr>
        <w:shd w:val="clear" w:color="auto" w:fill="FFFFFF"/>
        <w:spacing w:after="0" w:afterAutospacing="0"/>
        <w:ind w:left="0"/>
        <w:rPr>
          <w:rFonts w:ascii="Arial" w:hAnsi="Arial" w:cs="Arial"/>
          <w:color w:val="0F1115"/>
          <w:sz w:val="20"/>
          <w:szCs w:val="20"/>
        </w:rPr>
      </w:pPr>
      <w:r w:rsidRPr="00B829E0">
        <w:rPr>
          <w:rStyle w:val="Strong"/>
          <w:rFonts w:ascii="Arial" w:hAnsi="Arial" w:cs="Arial"/>
          <w:color w:val="0F1115"/>
          <w:sz w:val="20"/>
          <w:szCs w:val="20"/>
        </w:rPr>
        <w:t>Account_Tenure</w:t>
      </w:r>
      <w:r w:rsidRPr="00B829E0">
        <w:rPr>
          <w:rFonts w:ascii="Arial" w:hAnsi="Arial" w:cs="Arial"/>
          <w:color w:val="0F1115"/>
          <w:sz w:val="20"/>
          <w:szCs w:val="20"/>
        </w:rPr>
        <w:br/>
        <w:t>Newer accounts (&lt;12 months) represent higher uncertainty due to limited behavioral history, making them a useful risk proxy.</w:t>
      </w:r>
    </w:p>
    <w:p w:rsidR="00682635" w:rsidRPr="00682635" w:rsidRDefault="009D7C05" w:rsidP="00682635">
      <w:pPr>
        <w:shd w:val="clear" w:color="auto" w:fill="FFFFFF"/>
        <w:spacing w:before="100" w:beforeAutospacing="1" w:after="0" w:line="240" w:lineRule="auto"/>
        <w:rPr>
          <w:rFonts w:ascii="Arial" w:eastAsia="Times New Roman" w:hAnsi="Arial" w:cs="Arial"/>
          <w:b/>
          <w:color w:val="0F1115"/>
          <w:sz w:val="20"/>
          <w:szCs w:val="20"/>
        </w:rPr>
      </w:pPr>
      <w:r w:rsidRPr="009D7C05">
        <w:rPr>
          <w:rFonts w:ascii="Arial" w:eastAsia="Times New Roman" w:hAnsi="Arial" w:cs="Arial"/>
          <w:b/>
          <w:iCs/>
          <w:color w:val="0F1115"/>
          <w:sz w:val="20"/>
          <w:szCs w:val="20"/>
        </w:rPr>
        <w:t>Pseudo-Code for Credit Risk Prediction Model</w:t>
      </w:r>
      <w:r>
        <w:rPr>
          <w:rFonts w:ascii="Arial" w:eastAsia="Times New Roman" w:hAnsi="Arial" w:cs="Arial"/>
          <w:b/>
          <w:iCs/>
          <w:color w:val="0F1115"/>
          <w:sz w:val="20"/>
          <w:szCs w:val="20"/>
        </w:rPr>
        <w: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import pandas as pd</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import numpy as np</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from sklearn.model_selection import train_test_split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from sklearn.preprocessing import StandardScaler</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from sklearn.linear_model import LogisticRegression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from sklearn.metrics import roc_auc_score, classification_report, confusion_matrix</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lastRenderedPageBreak/>
        <w:t>from imblearn.over_sampling import SMOTE</w:t>
      </w:r>
    </w:p>
    <w:p w:rsidR="00682635" w:rsidRPr="00682635"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682635">
        <w:rPr>
          <w:rFonts w:ascii="Arial" w:eastAsia="Times New Roman" w:hAnsi="Arial" w:cs="Arial"/>
          <w:b/>
          <w:i/>
          <w:iCs/>
          <w:color w:val="0F1115"/>
          <w:sz w:val="16"/>
          <w:szCs w:val="16"/>
          <w:highlight w:val="yellow"/>
        </w:rPr>
        <w:t># 1. Load and prepare cleaned data</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df = pd.read_csv('cleaned_delinquency_data.csv')</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iCs/>
          <w:color w:val="0F1115"/>
          <w:sz w:val="16"/>
          <w:szCs w:val="16"/>
          <w:highlight w:val="yellow"/>
        </w:rPr>
        <w:t># Top 5 features for logistic regression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features = ['Credit_Utilization', 'Missed_Payments', </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            'Debt_to_Income_Ratio', 'Income', 'Account_Tenure']</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target = 'Delinquent_Account'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X = df[features]</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y = df[target]</w:t>
      </w:r>
    </w:p>
    <w:p w:rsidR="00682635" w:rsidRPr="00B829E0"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B829E0">
        <w:rPr>
          <w:rFonts w:ascii="Arial" w:eastAsia="Times New Roman" w:hAnsi="Arial" w:cs="Arial"/>
          <w:b/>
          <w:i/>
          <w:iCs/>
          <w:color w:val="0F1115"/>
          <w:sz w:val="16"/>
          <w:szCs w:val="16"/>
          <w:highlight w:val="yellow"/>
        </w:rPr>
        <w:t># 2. Train/Test Split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X_train, X_test, y_train, y_test = train_test_split(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    X, y, test_size=0.2, random_state=42, stratify=y</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w:t>
      </w:r>
    </w:p>
    <w:p w:rsidR="00682635" w:rsidRPr="00B829E0"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B829E0">
        <w:rPr>
          <w:rFonts w:ascii="Arial" w:eastAsia="Times New Roman" w:hAnsi="Arial" w:cs="Arial"/>
          <w:b/>
          <w:i/>
          <w:iCs/>
          <w:color w:val="0F1115"/>
          <w:sz w:val="16"/>
          <w:szCs w:val="16"/>
          <w:highlight w:val="yellow"/>
        </w:rPr>
        <w:t># 3. Scale features (critical for logistic regression)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scaler = StandardScaler()</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X_train_scaled = scaler.fit_transform(X_train)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X_test_scaled = scaler.transform(X_test)</w:t>
      </w:r>
    </w:p>
    <w:p w:rsidR="00682635" w:rsidRPr="00B829E0"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B829E0">
        <w:rPr>
          <w:rFonts w:ascii="Arial" w:eastAsia="Times New Roman" w:hAnsi="Arial" w:cs="Arial"/>
          <w:b/>
          <w:i/>
          <w:iCs/>
          <w:color w:val="0F1115"/>
          <w:sz w:val="16"/>
          <w:szCs w:val="16"/>
          <w:highlight w:val="yellow"/>
        </w:rPr>
        <w:t># 4. Handle Class Imbalance on TRAINING SET only</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smote = SMOTE(random_state=42)</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X_train_bal, y_train_bal = smote.fit_resample(X_train_scaled, y_train)</w:t>
      </w:r>
    </w:p>
    <w:p w:rsidR="00682635" w:rsidRPr="00B829E0"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B829E0">
        <w:rPr>
          <w:rFonts w:ascii="Arial" w:eastAsia="Times New Roman" w:hAnsi="Arial" w:cs="Arial"/>
          <w:b/>
          <w:i/>
          <w:iCs/>
          <w:color w:val="0F1115"/>
          <w:sz w:val="16"/>
          <w:szCs w:val="16"/>
          <w:highlight w:val="yellow"/>
        </w:rPr>
        <w:t># 5. Train Logistic Regression Model with regularization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iCs/>
          <w:color w:val="0F1115"/>
          <w:sz w:val="16"/>
          <w:szCs w:val="16"/>
          <w:highlight w:val="yellow"/>
        </w:rPr>
        <w:t># L1 regularization (lasso) can perform feature selection by zeroing out coefficients</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model = LogisticRegression(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    penalty='l1',           </w:t>
      </w:r>
      <w:r w:rsidRPr="00682635">
        <w:rPr>
          <w:rFonts w:ascii="Arial" w:eastAsia="Times New Roman" w:hAnsi="Arial" w:cs="Arial"/>
          <w:i/>
          <w:iCs/>
          <w:color w:val="0F1115"/>
          <w:sz w:val="16"/>
          <w:szCs w:val="16"/>
          <w:highlight w:val="yellow"/>
        </w:rPr>
        <w:t># L1 regularization for feature selection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    C=0.1,                  </w:t>
      </w:r>
      <w:r w:rsidRPr="00682635">
        <w:rPr>
          <w:rFonts w:ascii="Arial" w:eastAsia="Times New Roman" w:hAnsi="Arial" w:cs="Arial"/>
          <w:i/>
          <w:iCs/>
          <w:color w:val="0F1115"/>
          <w:sz w:val="16"/>
          <w:szCs w:val="16"/>
          <w:highlight w:val="yellow"/>
        </w:rPr>
        <w:t># Inverse regularization strength (lower = stronger)</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    solver='liblinear',     </w:t>
      </w:r>
      <w:r w:rsidRPr="00682635">
        <w:rPr>
          <w:rFonts w:ascii="Arial" w:eastAsia="Times New Roman" w:hAnsi="Arial" w:cs="Arial"/>
          <w:i/>
          <w:iCs/>
          <w:color w:val="0F1115"/>
          <w:sz w:val="16"/>
          <w:szCs w:val="16"/>
          <w:highlight w:val="yellow"/>
        </w:rPr>
        <w:t># Works well with L1 regularization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    random_state=42,</w:t>
      </w:r>
    </w:p>
    <w:p w:rsidR="00B829E0"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    max_iter=1000</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lastRenderedPageBreak/>
        <w: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model.fit(X_train_bal, y_train_bal)</w:t>
      </w:r>
    </w:p>
    <w:p w:rsidR="00682635" w:rsidRPr="00B829E0"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B829E0">
        <w:rPr>
          <w:rFonts w:ascii="Arial" w:eastAsia="Times New Roman" w:hAnsi="Arial" w:cs="Arial"/>
          <w:b/>
          <w:i/>
          <w:iCs/>
          <w:color w:val="0F1115"/>
          <w:sz w:val="16"/>
          <w:szCs w:val="16"/>
          <w:highlight w:val="yellow"/>
        </w:rPr>
        <w:t># 6. Examine model coefficients for interpretability</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print("Feature Coefficients:")</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for feature, coef in zip(features, model.coef_[0]):</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    print(f"{feature}: {coef:.4f}")</w:t>
      </w:r>
    </w:p>
    <w:p w:rsidR="00682635" w:rsidRPr="00B829E0"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B829E0">
        <w:rPr>
          <w:rFonts w:ascii="Arial" w:eastAsia="Times New Roman" w:hAnsi="Arial" w:cs="Arial"/>
          <w:b/>
          <w:i/>
          <w:iCs/>
          <w:color w:val="0F1115"/>
          <w:sz w:val="16"/>
          <w:szCs w:val="16"/>
          <w:highlight w:val="yellow"/>
        </w:rPr>
        <w:t># 7. Evaluate on the ORIGINAL, unseen test set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y_pred_proba = model.predict_proba(X_test_scaled)[:, 1]</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 xml:space="preserve">y_pred_class = (y_pred_proba &gt; 0.3).astype(int)  </w:t>
      </w:r>
      <w:r w:rsidRPr="00682635">
        <w:rPr>
          <w:rFonts w:ascii="Arial" w:eastAsia="Times New Roman" w:hAnsi="Arial" w:cs="Arial"/>
          <w:i/>
          <w:iCs/>
          <w:color w:val="0F1115"/>
          <w:sz w:val="16"/>
          <w:szCs w:val="16"/>
          <w:highlight w:val="yellow"/>
        </w:rPr>
        <w:t># Lower threshold for imbalanced data</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iCs/>
          <w:color w:val="0F1115"/>
          <w:sz w:val="16"/>
          <w:szCs w:val="16"/>
          <w:highlight w:val="yellow"/>
        </w:rPr>
        <w:t># Calculate performance metrics</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auc = roc_auc_score(y_test, y_pred_proba)</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print(f"\nTest AUC-ROC: {auc:.3f}")</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print("\nClassification Report:")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print(classification_report(y_test, y_pred_class))</w:t>
      </w:r>
    </w:p>
    <w:p w:rsidR="00682635" w:rsidRPr="00B829E0"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B829E0">
        <w:rPr>
          <w:rFonts w:ascii="Arial" w:eastAsia="Times New Roman" w:hAnsi="Arial" w:cs="Arial"/>
          <w:b/>
          <w:i/>
          <w:iCs/>
          <w:color w:val="0F1115"/>
          <w:sz w:val="16"/>
          <w:szCs w:val="16"/>
          <w:highlight w:val="yellow"/>
        </w:rPr>
        <w:t># 8. Interpret predictions for a sample customer</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sample_idx = 0</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sample_features = X_test.iloc[sample_idx]</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sample_scaled = X_test_scaled[sample_idx]</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print(f"\nSample Customer Prediction:")</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print(f"Features: {dict(sample_features)}")</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print(f"Delinquency Probability: {y_pred_proba[sample_idx]:.2%}")</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print(f"Risk Classification: {'HIGH RISK' if y_pred_class[sample_idx] == 1 else 'LOW RISK'}")</w:t>
      </w:r>
    </w:p>
    <w:p w:rsidR="00682635" w:rsidRPr="00B829E0" w:rsidRDefault="00682635" w:rsidP="00682635">
      <w:pPr>
        <w:shd w:val="clear" w:color="auto" w:fill="FFFFFF"/>
        <w:spacing w:before="100" w:beforeAutospacing="1" w:after="0" w:line="240" w:lineRule="auto"/>
        <w:rPr>
          <w:rFonts w:ascii="Arial" w:eastAsia="Times New Roman" w:hAnsi="Arial" w:cs="Arial"/>
          <w:b/>
          <w:i/>
          <w:color w:val="0F1115"/>
          <w:sz w:val="16"/>
          <w:szCs w:val="16"/>
          <w:highlight w:val="yellow"/>
        </w:rPr>
      </w:pPr>
      <w:r w:rsidRPr="00B829E0">
        <w:rPr>
          <w:rFonts w:ascii="Arial" w:eastAsia="Times New Roman" w:hAnsi="Arial" w:cs="Arial"/>
          <w:b/>
          <w:i/>
          <w:iCs/>
          <w:color w:val="0F1115"/>
          <w:sz w:val="16"/>
          <w:szCs w:val="16"/>
          <w:highlight w:val="yellow"/>
        </w:rPr>
        <w:t># 9. Save model and scaler for deployment</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import joblib</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highlight w:val="yellow"/>
        </w:rPr>
      </w:pPr>
      <w:r w:rsidRPr="00682635">
        <w:rPr>
          <w:rFonts w:ascii="Arial" w:eastAsia="Times New Roman" w:hAnsi="Arial" w:cs="Arial"/>
          <w:i/>
          <w:color w:val="0F1115"/>
          <w:sz w:val="16"/>
          <w:szCs w:val="16"/>
          <w:highlight w:val="yellow"/>
        </w:rPr>
        <w:t>joblib.dump(model, 'logistic_regression_model.pkl')</w:t>
      </w:r>
    </w:p>
    <w:p w:rsidR="00682635" w:rsidRPr="00682635" w:rsidRDefault="00682635" w:rsidP="00682635">
      <w:pPr>
        <w:shd w:val="clear" w:color="auto" w:fill="FFFFFF"/>
        <w:spacing w:before="100" w:beforeAutospacing="1" w:after="0" w:line="240" w:lineRule="auto"/>
        <w:rPr>
          <w:rFonts w:ascii="Arial" w:eastAsia="Times New Roman" w:hAnsi="Arial" w:cs="Arial"/>
          <w:i/>
          <w:color w:val="0F1115"/>
          <w:sz w:val="16"/>
          <w:szCs w:val="16"/>
        </w:rPr>
      </w:pPr>
      <w:r w:rsidRPr="00682635">
        <w:rPr>
          <w:rFonts w:ascii="Arial" w:eastAsia="Times New Roman" w:hAnsi="Arial" w:cs="Arial"/>
          <w:i/>
          <w:color w:val="0F1115"/>
          <w:sz w:val="16"/>
          <w:szCs w:val="16"/>
          <w:highlight w:val="yellow"/>
        </w:rPr>
        <w:t>joblib.dump(scaler, 'feature_scaler.pkl')</w:t>
      </w:r>
    </w:p>
    <w:p w:rsidR="009D7C05" w:rsidRPr="00D07C8E" w:rsidRDefault="009D7C05" w:rsidP="009D7C05">
      <w:pPr>
        <w:shd w:val="clear" w:color="auto" w:fill="FFFFFF"/>
        <w:spacing w:before="100" w:beforeAutospacing="1" w:after="0" w:line="240" w:lineRule="auto"/>
        <w:rPr>
          <w:rFonts w:ascii="Arial" w:eastAsia="Times New Roman" w:hAnsi="Arial" w:cs="Arial"/>
          <w:i/>
          <w:color w:val="0F1115"/>
          <w:sz w:val="20"/>
          <w:szCs w:val="20"/>
        </w:rPr>
      </w:pPr>
    </w:p>
    <w:p w:rsidR="00D07C8E" w:rsidRPr="00D07C8E" w:rsidRDefault="00D07C8E" w:rsidP="00D07C8E">
      <w:pPr>
        <w:pBdr>
          <w:top w:val="single" w:sz="8" w:space="0" w:color="B2B2B2"/>
          <w:left w:val="single" w:sz="8" w:space="0" w:color="B2B2B2"/>
          <w:bottom w:val="single" w:sz="8" w:space="0" w:color="B2B2B2"/>
          <w:right w:val="single" w:sz="8" w:space="0" w:color="B2B2B2"/>
        </w:pBdr>
        <w:shd w:val="clear" w:color="auto" w:fill="EFEFEF"/>
        <w:spacing w:before="480" w:after="100" w:line="268" w:lineRule="auto"/>
        <w:contextualSpacing/>
        <w:outlineLvl w:val="0"/>
        <w:rPr>
          <w:rFonts w:ascii="Arial" w:eastAsia="MS Gothic" w:hAnsi="Arial" w:cs="Arial"/>
          <w:b/>
          <w:bCs/>
          <w:color w:val="000000"/>
        </w:rPr>
      </w:pPr>
      <w:r w:rsidRPr="00D07C8E">
        <w:rPr>
          <w:rFonts w:ascii="Arial" w:eastAsia="MS Gothic" w:hAnsi="Arial" w:cs="Arial"/>
          <w:b/>
          <w:bCs/>
          <w:color w:val="000000"/>
        </w:rPr>
        <w:t>2. Justification for Model Choice</w:t>
      </w:r>
    </w:p>
    <w:p w:rsidR="00D61552" w:rsidRDefault="00D07C8E" w:rsidP="00D07C8E">
      <w:pPr>
        <w:spacing w:line="288" w:lineRule="auto"/>
        <w:rPr>
          <w:rFonts w:ascii="Arial" w:eastAsia="MS Mincho" w:hAnsi="Arial" w:cs="Arial"/>
          <w:color w:val="000000"/>
          <w:sz w:val="20"/>
          <w:szCs w:val="20"/>
        </w:rPr>
      </w:pPr>
      <w:r w:rsidRPr="00D07C8E">
        <w:rPr>
          <w:rFonts w:ascii="Arial" w:eastAsia="MS Mincho" w:hAnsi="Arial" w:cs="Arial"/>
          <w:color w:val="000000"/>
          <w:sz w:val="20"/>
          <w:szCs w:val="20"/>
        </w:rPr>
        <w:lastRenderedPageBreak/>
        <w:t>Explain why you selected this specific model type (e.g., logistic regression, decision tree, neural network). Consider</w:t>
      </w:r>
      <w:r w:rsidR="009D7C05" w:rsidRPr="00D07C8E">
        <w:rPr>
          <w:rFonts w:ascii="Arial" w:eastAsia="MS Mincho" w:hAnsi="Arial" w:cs="Arial"/>
          <w:color w:val="000000"/>
          <w:sz w:val="20"/>
          <w:szCs w:val="20"/>
        </w:rPr>
        <w:t xml:space="preserve">: </w:t>
      </w:r>
      <w:r w:rsidRPr="00D07C8E">
        <w:rPr>
          <w:rFonts w:ascii="Arial" w:eastAsia="MS Mincho" w:hAnsi="Arial" w:cs="Arial"/>
          <w:color w:val="000000"/>
          <w:sz w:val="20"/>
          <w:szCs w:val="20"/>
        </w:rPr>
        <w:br/>
        <w:t>- Accuracy</w:t>
      </w:r>
      <w:r w:rsidRPr="00D07C8E">
        <w:rPr>
          <w:rFonts w:ascii="Arial" w:eastAsia="MS Mincho" w:hAnsi="Arial" w:cs="Arial"/>
          <w:color w:val="000000"/>
          <w:sz w:val="20"/>
          <w:szCs w:val="20"/>
        </w:rPr>
        <w:br/>
        <w:t>- Transparency</w:t>
      </w:r>
      <w:r w:rsidRPr="00D07C8E">
        <w:rPr>
          <w:rFonts w:ascii="Arial" w:eastAsia="MS Mincho" w:hAnsi="Arial" w:cs="Arial"/>
          <w:color w:val="000000"/>
          <w:sz w:val="20"/>
          <w:szCs w:val="20"/>
        </w:rPr>
        <w:br/>
        <w:t>- Ease of use or implementation</w:t>
      </w:r>
      <w:r w:rsidRPr="00D07C8E">
        <w:rPr>
          <w:rFonts w:ascii="Arial" w:eastAsia="MS Mincho" w:hAnsi="Arial" w:cs="Arial"/>
          <w:color w:val="000000"/>
          <w:sz w:val="20"/>
          <w:szCs w:val="20"/>
        </w:rPr>
        <w:br/>
        <w:t>- Relevance for financial prediction</w:t>
      </w:r>
      <w:r w:rsidRPr="00D07C8E">
        <w:rPr>
          <w:rFonts w:ascii="Arial" w:eastAsia="MS Mincho" w:hAnsi="Arial" w:cs="Arial"/>
          <w:color w:val="000000"/>
          <w:sz w:val="20"/>
          <w:szCs w:val="20"/>
        </w:rPr>
        <w:br/>
        <w:t>- Suitability for Geldium’s business needs</w:t>
      </w:r>
    </w:p>
    <w:p w:rsidR="00D07C8E" w:rsidRPr="00D07C8E" w:rsidRDefault="00D61552" w:rsidP="00D07C8E">
      <w:pPr>
        <w:spacing w:line="288" w:lineRule="auto"/>
        <w:rPr>
          <w:rFonts w:ascii="Arial" w:eastAsia="MS Mincho" w:hAnsi="Arial" w:cs="Arial"/>
          <w:color w:val="000000"/>
          <w:sz w:val="20"/>
          <w:szCs w:val="20"/>
        </w:rPr>
      </w:pPr>
      <w:r w:rsidRPr="00D61552">
        <w:rPr>
          <w:rFonts w:ascii="Arial" w:eastAsia="MS Mincho" w:hAnsi="Arial" w:cs="Arial"/>
          <w:b/>
          <w:color w:val="000000"/>
          <w:sz w:val="20"/>
          <w:szCs w:val="20"/>
        </w:rPr>
        <w:t xml:space="preserve">Justification for Model Choice: </w:t>
      </w:r>
      <w:r w:rsidR="00D07C8E" w:rsidRPr="00D07C8E">
        <w:rPr>
          <w:rFonts w:ascii="Arial" w:eastAsia="MS Mincho" w:hAnsi="Arial" w:cs="Arial"/>
          <w:b/>
          <w:color w:val="000000"/>
          <w:sz w:val="20"/>
          <w:szCs w:val="20"/>
        </w:rPr>
        <w:br/>
      </w:r>
      <w:r w:rsidR="00D07C8E" w:rsidRPr="00D07C8E">
        <w:rPr>
          <w:rFonts w:ascii="Arial" w:eastAsia="MS Mincho" w:hAnsi="Arial" w:cs="Arial"/>
          <w:b/>
          <w:color w:val="000000"/>
          <w:sz w:val="20"/>
          <w:szCs w:val="20"/>
        </w:rPr>
        <w:br/>
      </w:r>
      <w:r w:rsidRPr="00D61552">
        <w:rPr>
          <w:rFonts w:ascii="Arial" w:eastAsia="MS Mincho" w:hAnsi="Arial" w:cs="Arial"/>
          <w:color w:val="000000"/>
          <w:sz w:val="20"/>
          <w:szCs w:val="20"/>
        </w:rPr>
        <w:t>Geldium should implement </w:t>
      </w:r>
      <w:r w:rsidRPr="00D61552">
        <w:rPr>
          <w:rFonts w:ascii="Arial" w:eastAsia="MS Mincho" w:hAnsi="Arial" w:cs="Arial"/>
          <w:b/>
          <w:bCs/>
          <w:color w:val="000000"/>
          <w:sz w:val="20"/>
          <w:szCs w:val="20"/>
        </w:rPr>
        <w:t>logistic regression</w:t>
      </w:r>
      <w:r w:rsidRPr="00D61552">
        <w:rPr>
          <w:rFonts w:ascii="Arial" w:eastAsia="MS Mincho" w:hAnsi="Arial" w:cs="Arial"/>
          <w:color w:val="000000"/>
          <w:sz w:val="20"/>
          <w:szCs w:val="20"/>
        </w:rPr>
        <w:t> as its primary delinquency model. For a financial institution, regulatory compliance and transparent decision-making are non-negotiable—stakeholders and auditors need to understand exactly </w:t>
      </w:r>
      <w:r w:rsidRPr="00D61552">
        <w:rPr>
          <w:rFonts w:ascii="Arial" w:eastAsia="MS Mincho" w:hAnsi="Arial" w:cs="Arial"/>
          <w:i/>
          <w:iCs/>
          <w:color w:val="000000"/>
          <w:sz w:val="20"/>
          <w:szCs w:val="20"/>
        </w:rPr>
        <w:t>why</w:t>
      </w:r>
      <w:r w:rsidRPr="00D61552">
        <w:rPr>
          <w:rFonts w:ascii="Arial" w:eastAsia="MS Mincho" w:hAnsi="Arial" w:cs="Arial"/>
          <w:color w:val="000000"/>
          <w:sz w:val="20"/>
          <w:szCs w:val="20"/>
        </w:rPr>
        <w:t> a customer is flagged as high-risk, which logistic regression's clear coefficients provide directly. While slightly less accurate than complex ensembles in theory, its stability, speed, and auditability align perfectly with operational needs for real-time scoring and risk governance. This approach ensures Geldium can explain decisions to regulators, adjust risk thresholds business-wide, and maintain customer trust while still effectively identifying delinquent accounts.</w:t>
      </w:r>
    </w:p>
    <w:p w:rsidR="00D07C8E" w:rsidRPr="00D07C8E" w:rsidRDefault="00D07C8E" w:rsidP="00D07C8E">
      <w:pPr>
        <w:pBdr>
          <w:top w:val="single" w:sz="8" w:space="0" w:color="B2B2B2"/>
          <w:left w:val="single" w:sz="8" w:space="0" w:color="B2B2B2"/>
          <w:bottom w:val="single" w:sz="8" w:space="0" w:color="B2B2B2"/>
          <w:right w:val="single" w:sz="8" w:space="0" w:color="B2B2B2"/>
        </w:pBdr>
        <w:shd w:val="clear" w:color="auto" w:fill="EFEFEF"/>
        <w:spacing w:before="480" w:after="100" w:line="268" w:lineRule="auto"/>
        <w:contextualSpacing/>
        <w:outlineLvl w:val="0"/>
        <w:rPr>
          <w:rFonts w:ascii="Arial" w:eastAsia="MS Gothic" w:hAnsi="Arial" w:cs="Arial"/>
          <w:b/>
          <w:bCs/>
          <w:color w:val="000000"/>
        </w:rPr>
      </w:pPr>
      <w:r w:rsidRPr="00D07C8E">
        <w:rPr>
          <w:rFonts w:ascii="Arial" w:eastAsia="MS Gothic" w:hAnsi="Arial" w:cs="Arial"/>
          <w:b/>
          <w:bCs/>
          <w:color w:val="000000"/>
        </w:rPr>
        <w:t>3. Evaluation Strategy</w:t>
      </w:r>
    </w:p>
    <w:p w:rsidR="00D07C8E" w:rsidRPr="00D07C8E" w:rsidRDefault="00D07C8E" w:rsidP="00D07C8E">
      <w:pPr>
        <w:spacing w:line="288" w:lineRule="auto"/>
        <w:rPr>
          <w:rFonts w:ascii="Arial" w:eastAsia="MS Mincho" w:hAnsi="Arial" w:cs="Arial"/>
          <w:color w:val="000000"/>
          <w:sz w:val="20"/>
          <w:szCs w:val="20"/>
        </w:rPr>
      </w:pPr>
      <w:r w:rsidRPr="00D07C8E">
        <w:rPr>
          <w:rFonts w:ascii="Arial" w:eastAsia="MS Mincho" w:hAnsi="Arial" w:cs="Arial"/>
          <w:color w:val="000000"/>
          <w:sz w:val="20"/>
          <w:szCs w:val="20"/>
        </w:rPr>
        <w:t>Outline how you would evaluate your model’s performance. Include:</w:t>
      </w:r>
      <w:r w:rsidRPr="00D07C8E">
        <w:rPr>
          <w:rFonts w:ascii="Arial" w:eastAsia="MS Mincho" w:hAnsi="Arial" w:cs="Arial"/>
          <w:color w:val="000000"/>
          <w:sz w:val="20"/>
          <w:szCs w:val="20"/>
        </w:rPr>
        <w:br/>
        <w:t>- Which metrics you would use (e.g., accuracy, precision, recall, F1 score, AUC)</w:t>
      </w:r>
      <w:r w:rsidRPr="00D07C8E">
        <w:rPr>
          <w:rFonts w:ascii="Arial" w:eastAsia="MS Mincho" w:hAnsi="Arial" w:cs="Arial"/>
          <w:color w:val="000000"/>
          <w:sz w:val="20"/>
          <w:szCs w:val="20"/>
        </w:rPr>
        <w:br/>
        <w:t>- How you would interpret those metrics</w:t>
      </w:r>
      <w:r w:rsidRPr="00D07C8E">
        <w:rPr>
          <w:rFonts w:ascii="Arial" w:eastAsia="MS Mincho" w:hAnsi="Arial" w:cs="Arial"/>
          <w:color w:val="000000"/>
          <w:sz w:val="20"/>
          <w:szCs w:val="20"/>
        </w:rPr>
        <w:br/>
        <w:t>- Any plans to detect or reduce bias in your model</w:t>
      </w:r>
      <w:r w:rsidRPr="00D07C8E">
        <w:rPr>
          <w:rFonts w:ascii="Arial" w:eastAsia="MS Mincho" w:hAnsi="Arial" w:cs="Arial"/>
          <w:color w:val="000000"/>
          <w:sz w:val="20"/>
          <w:szCs w:val="20"/>
        </w:rPr>
        <w:br/>
        <w:t>- Ethical considerations in making predictions about customer financial behavior</w:t>
      </w:r>
    </w:p>
    <w:p w:rsidR="00D61552" w:rsidRPr="00D61552" w:rsidRDefault="00D61552" w:rsidP="00D61552">
      <w:pPr>
        <w:spacing w:line="288" w:lineRule="auto"/>
        <w:rPr>
          <w:rFonts w:ascii="Arial" w:eastAsia="MS Mincho" w:hAnsi="Arial" w:cs="Arial"/>
          <w:b/>
          <w:bCs/>
          <w:color w:val="000000"/>
          <w:sz w:val="20"/>
          <w:szCs w:val="20"/>
        </w:rPr>
      </w:pPr>
      <w:r w:rsidRPr="00D61552">
        <w:rPr>
          <w:rFonts w:ascii="Arial" w:eastAsia="MS Mincho" w:hAnsi="Arial" w:cs="Arial"/>
          <w:b/>
          <w:bCs/>
          <w:color w:val="000000"/>
          <w:sz w:val="20"/>
          <w:szCs w:val="20"/>
        </w:rPr>
        <w:t>Model Performance Evaluation Plan</w:t>
      </w:r>
    </w:p>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A robust evaluation strategy must measure both predictive power and fairness to ensure the model is accurate and equitable.</w:t>
      </w:r>
    </w:p>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1. Key Evaluation Metrics &amp; Interpretation</w:t>
      </w:r>
    </w:p>
    <w:tbl>
      <w:tblPr>
        <w:tblW w:w="11280" w:type="dxa"/>
        <w:tblCellMar>
          <w:top w:w="15" w:type="dxa"/>
          <w:left w:w="15" w:type="dxa"/>
          <w:bottom w:w="15" w:type="dxa"/>
          <w:right w:w="15" w:type="dxa"/>
        </w:tblCellMar>
        <w:tblLook w:val="04A0" w:firstRow="1" w:lastRow="0" w:firstColumn="1" w:lastColumn="0" w:noHBand="0" w:noVBand="1"/>
      </w:tblPr>
      <w:tblGrid>
        <w:gridCol w:w="2772"/>
        <w:gridCol w:w="3359"/>
        <w:gridCol w:w="5149"/>
      </w:tblGrid>
      <w:tr w:rsidR="00D61552" w:rsidRPr="00D61552" w:rsidTr="00D61552">
        <w:trPr>
          <w:tblHeader/>
        </w:trPr>
        <w:tc>
          <w:tcPr>
            <w:tcW w:w="0" w:type="auto"/>
            <w:tcBorders>
              <w:top w:val="nil"/>
            </w:tcBorders>
            <w:tcMar>
              <w:top w:w="150" w:type="dxa"/>
              <w:left w:w="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Metric</w:t>
            </w:r>
          </w:p>
        </w:tc>
        <w:tc>
          <w:tcPr>
            <w:tcW w:w="0" w:type="auto"/>
            <w:tcBorders>
              <w:top w:val="nil"/>
            </w:tcBorders>
            <w:tcMar>
              <w:top w:w="150" w:type="dxa"/>
              <w:left w:w="24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Purpose</w:t>
            </w:r>
          </w:p>
        </w:tc>
        <w:tc>
          <w:tcPr>
            <w:tcW w:w="0" w:type="auto"/>
            <w:tcBorders>
              <w:top w:val="nil"/>
            </w:tcBorders>
            <w:tcMar>
              <w:top w:w="150" w:type="dxa"/>
              <w:left w:w="24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Interpretation &amp; Target</w:t>
            </w:r>
          </w:p>
        </w:tc>
      </w:tr>
      <w:tr w:rsidR="00D61552" w:rsidRPr="00D61552" w:rsidTr="00D61552">
        <w:tc>
          <w:tcPr>
            <w:tcW w:w="0" w:type="auto"/>
            <w:tcMar>
              <w:top w:w="150" w:type="dxa"/>
              <w:left w:w="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AUC-ROC</w:t>
            </w:r>
          </w:p>
        </w:tc>
        <w:tc>
          <w:tcPr>
            <w:tcW w:w="0" w:type="auto"/>
            <w:tcMar>
              <w:top w:w="150" w:type="dxa"/>
              <w:left w:w="24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Primary metric for ranking/model discrimination</w:t>
            </w:r>
          </w:p>
        </w:tc>
        <w:tc>
          <w:tcPr>
            <w:tcW w:w="0" w:type="auto"/>
            <w:tcMar>
              <w:top w:w="150" w:type="dxa"/>
              <w:left w:w="240" w:type="dxa"/>
              <w:bottom w:w="150" w:type="dxa"/>
              <w:right w:w="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Measures ability to separate delinquent vs. non-delinquent customers. </w:t>
            </w:r>
            <w:r w:rsidRPr="00D61552">
              <w:rPr>
                <w:rFonts w:ascii="Arial" w:eastAsia="MS Mincho" w:hAnsi="Arial" w:cs="Arial"/>
                <w:b/>
                <w:bCs/>
                <w:color w:val="000000"/>
                <w:sz w:val="20"/>
                <w:szCs w:val="20"/>
              </w:rPr>
              <w:t>Target: &gt;0.75</w:t>
            </w:r>
          </w:p>
        </w:tc>
      </w:tr>
      <w:tr w:rsidR="00D61552" w:rsidRPr="00D61552" w:rsidTr="00D61552">
        <w:tc>
          <w:tcPr>
            <w:tcW w:w="0" w:type="auto"/>
            <w:tcMar>
              <w:top w:w="150" w:type="dxa"/>
              <w:left w:w="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Precision-Recall Curve &amp; Average Precision (AP)</w:t>
            </w:r>
          </w:p>
        </w:tc>
        <w:tc>
          <w:tcPr>
            <w:tcW w:w="0" w:type="auto"/>
            <w:tcMar>
              <w:top w:w="150" w:type="dxa"/>
              <w:left w:w="24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Better suited for imbalanced classes than accuracy</w:t>
            </w:r>
          </w:p>
        </w:tc>
        <w:tc>
          <w:tcPr>
            <w:tcW w:w="0" w:type="auto"/>
            <w:tcMar>
              <w:top w:w="150" w:type="dxa"/>
              <w:left w:w="240" w:type="dxa"/>
              <w:bottom w:w="150" w:type="dxa"/>
              <w:right w:w="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Focuses on the minority (delinquent) class. </w:t>
            </w:r>
            <w:r w:rsidRPr="00D61552">
              <w:rPr>
                <w:rFonts w:ascii="Arial" w:eastAsia="MS Mincho" w:hAnsi="Arial" w:cs="Arial"/>
                <w:b/>
                <w:bCs/>
                <w:color w:val="000000"/>
                <w:sz w:val="20"/>
                <w:szCs w:val="20"/>
              </w:rPr>
              <w:t>Target: AP &gt;0.5</w:t>
            </w:r>
          </w:p>
        </w:tc>
      </w:tr>
      <w:tr w:rsidR="00D61552" w:rsidRPr="00D61552" w:rsidTr="00D61552">
        <w:tc>
          <w:tcPr>
            <w:tcW w:w="0" w:type="auto"/>
            <w:tcMar>
              <w:top w:w="150" w:type="dxa"/>
              <w:left w:w="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F2-Score</w:t>
            </w:r>
            <w:r w:rsidRPr="00D61552">
              <w:rPr>
                <w:rFonts w:ascii="Arial" w:eastAsia="MS Mincho" w:hAnsi="Arial" w:cs="Arial"/>
                <w:color w:val="000000"/>
                <w:sz w:val="20"/>
                <w:szCs w:val="20"/>
              </w:rPr>
              <w:t> (Beta=2)</w:t>
            </w:r>
          </w:p>
        </w:tc>
        <w:tc>
          <w:tcPr>
            <w:tcW w:w="0" w:type="auto"/>
            <w:tcMar>
              <w:top w:w="150" w:type="dxa"/>
              <w:left w:w="24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Emphasizes recall over precision to catch more true delinquencies</w:t>
            </w:r>
          </w:p>
        </w:tc>
        <w:tc>
          <w:tcPr>
            <w:tcW w:w="0" w:type="auto"/>
            <w:tcMar>
              <w:top w:w="150" w:type="dxa"/>
              <w:left w:w="240" w:type="dxa"/>
              <w:bottom w:w="150" w:type="dxa"/>
              <w:right w:w="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We want to minimize false negatives (missed delinquencies). </w:t>
            </w:r>
            <w:r w:rsidRPr="00D61552">
              <w:rPr>
                <w:rFonts w:ascii="Arial" w:eastAsia="MS Mincho" w:hAnsi="Arial" w:cs="Arial"/>
                <w:b/>
                <w:bCs/>
                <w:color w:val="000000"/>
                <w:sz w:val="20"/>
                <w:szCs w:val="20"/>
              </w:rPr>
              <w:t>Target: Maximize</w:t>
            </w:r>
          </w:p>
        </w:tc>
      </w:tr>
      <w:tr w:rsidR="00D61552" w:rsidRPr="00D61552" w:rsidTr="00D61552">
        <w:tc>
          <w:tcPr>
            <w:tcW w:w="0" w:type="auto"/>
            <w:tcMar>
              <w:top w:w="150" w:type="dxa"/>
              <w:left w:w="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lastRenderedPageBreak/>
              <w:t>Accuracy</w:t>
            </w:r>
          </w:p>
        </w:tc>
        <w:tc>
          <w:tcPr>
            <w:tcW w:w="0" w:type="auto"/>
            <w:tcMar>
              <w:top w:w="150" w:type="dxa"/>
              <w:left w:w="24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Overall correct prediction rate</w:t>
            </w:r>
          </w:p>
        </w:tc>
        <w:tc>
          <w:tcPr>
            <w:tcW w:w="0" w:type="auto"/>
            <w:tcMar>
              <w:top w:w="150" w:type="dxa"/>
              <w:left w:w="240" w:type="dxa"/>
              <w:bottom w:w="150" w:type="dxa"/>
              <w:right w:w="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Contextual only</w:t>
            </w:r>
            <w:r w:rsidRPr="00D61552">
              <w:rPr>
                <w:rFonts w:ascii="Arial" w:eastAsia="MS Mincho" w:hAnsi="Arial" w:cs="Arial"/>
                <w:color w:val="000000"/>
                <w:sz w:val="20"/>
                <w:szCs w:val="20"/>
              </w:rPr>
              <w:t>—misleading with imbalanced data (e.g., 95% accuracy if only 5% are delinquent).</w:t>
            </w:r>
          </w:p>
        </w:tc>
      </w:tr>
      <w:tr w:rsidR="00D61552" w:rsidRPr="00D61552" w:rsidTr="00D61552">
        <w:tc>
          <w:tcPr>
            <w:tcW w:w="0" w:type="auto"/>
            <w:tcMar>
              <w:top w:w="150" w:type="dxa"/>
              <w:left w:w="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Confusion Matrix</w:t>
            </w:r>
          </w:p>
        </w:tc>
        <w:tc>
          <w:tcPr>
            <w:tcW w:w="0" w:type="auto"/>
            <w:tcMar>
              <w:top w:w="150" w:type="dxa"/>
              <w:left w:w="240" w:type="dxa"/>
              <w:bottom w:w="150" w:type="dxa"/>
              <w:right w:w="24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Detailed breakdown of error types</w:t>
            </w:r>
          </w:p>
        </w:tc>
        <w:tc>
          <w:tcPr>
            <w:tcW w:w="0" w:type="auto"/>
            <w:tcMar>
              <w:top w:w="150" w:type="dxa"/>
              <w:left w:w="240" w:type="dxa"/>
              <w:bottom w:w="150" w:type="dxa"/>
              <w:right w:w="0" w:type="dxa"/>
            </w:tcMar>
            <w:vAlign w:val="center"/>
            <w:hideMark/>
          </w:tcPr>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color w:val="000000"/>
                <w:sz w:val="20"/>
                <w:szCs w:val="20"/>
              </w:rPr>
              <w:t>Analyze trade-offs between False Positives (good customers denied) and False Negatives (missed delinquencies).</w:t>
            </w:r>
          </w:p>
        </w:tc>
      </w:tr>
    </w:tbl>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2. Fairness &amp; Bias Assessment</w:t>
      </w:r>
      <w:r w:rsidRPr="00D61552">
        <w:rPr>
          <w:rFonts w:ascii="Arial" w:eastAsia="MS Mincho" w:hAnsi="Arial" w:cs="Arial"/>
          <w:color w:val="000000"/>
          <w:sz w:val="20"/>
          <w:szCs w:val="20"/>
        </w:rPr>
        <w:br/>
        <w:t>We will check for disparate impact across protected or sensitive customer groups (e.g., by age bracket, location, or encoded demographic proxies).</w:t>
      </w:r>
      <w:bookmarkStart w:id="0" w:name="_GoBack"/>
      <w:bookmarkEnd w:id="0"/>
    </w:p>
    <w:p w:rsidR="00D61552" w:rsidRPr="00D61552" w:rsidRDefault="00D61552" w:rsidP="00D61552">
      <w:pPr>
        <w:numPr>
          <w:ilvl w:val="0"/>
          <w:numId w:val="3"/>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Fairness Metrics:</w:t>
      </w:r>
    </w:p>
    <w:p w:rsidR="00D61552" w:rsidRPr="00D61552" w:rsidRDefault="00D61552" w:rsidP="00D61552">
      <w:pPr>
        <w:numPr>
          <w:ilvl w:val="1"/>
          <w:numId w:val="3"/>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Disparate Impact Ratio:</w:t>
      </w:r>
      <w:r w:rsidRPr="00D61552">
        <w:rPr>
          <w:rFonts w:ascii="Arial" w:eastAsia="MS Mincho" w:hAnsi="Arial" w:cs="Arial"/>
          <w:color w:val="000000"/>
          <w:sz w:val="20"/>
          <w:szCs w:val="20"/>
        </w:rPr>
        <w:t> (PD for Group A) / (PD for Group B), where PD is positive (high-risk) prediction rate. A ratio between </w:t>
      </w:r>
      <w:r w:rsidRPr="00D61552">
        <w:rPr>
          <w:rFonts w:ascii="Arial" w:eastAsia="MS Mincho" w:hAnsi="Arial" w:cs="Arial"/>
          <w:b/>
          <w:bCs/>
          <w:color w:val="000000"/>
          <w:sz w:val="20"/>
          <w:szCs w:val="20"/>
        </w:rPr>
        <w:t>0.8 and 1.25</w:t>
      </w:r>
      <w:r w:rsidRPr="00D61552">
        <w:rPr>
          <w:rFonts w:ascii="Arial" w:eastAsia="MS Mincho" w:hAnsi="Arial" w:cs="Arial"/>
          <w:color w:val="000000"/>
          <w:sz w:val="20"/>
          <w:szCs w:val="20"/>
        </w:rPr>
        <w:t> is often used as a fairness threshold.</w:t>
      </w:r>
    </w:p>
    <w:p w:rsidR="00D61552" w:rsidRPr="00D61552" w:rsidRDefault="00D61552" w:rsidP="00D61552">
      <w:pPr>
        <w:numPr>
          <w:ilvl w:val="1"/>
          <w:numId w:val="3"/>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Equal Opportunity Difference:</w:t>
      </w:r>
      <w:r w:rsidRPr="00D61552">
        <w:rPr>
          <w:rFonts w:ascii="Arial" w:eastAsia="MS Mincho" w:hAnsi="Arial" w:cs="Arial"/>
          <w:color w:val="000000"/>
          <w:sz w:val="20"/>
          <w:szCs w:val="20"/>
        </w:rPr>
        <w:t> Difference in True Positive Rates (recall) between groups. Should be near </w:t>
      </w:r>
      <w:r w:rsidRPr="00D61552">
        <w:rPr>
          <w:rFonts w:ascii="Arial" w:eastAsia="MS Mincho" w:hAnsi="Arial" w:cs="Arial"/>
          <w:b/>
          <w:bCs/>
          <w:color w:val="000000"/>
          <w:sz w:val="20"/>
          <w:szCs w:val="20"/>
        </w:rPr>
        <w:t>zero</w:t>
      </w:r>
      <w:r w:rsidRPr="00D61552">
        <w:rPr>
          <w:rFonts w:ascii="Arial" w:eastAsia="MS Mincho" w:hAnsi="Arial" w:cs="Arial"/>
          <w:color w:val="000000"/>
          <w:sz w:val="20"/>
          <w:szCs w:val="20"/>
        </w:rPr>
        <w:t>.</w:t>
      </w:r>
    </w:p>
    <w:p w:rsidR="00D61552" w:rsidRPr="00D61552" w:rsidRDefault="00D61552" w:rsidP="00D61552">
      <w:pPr>
        <w:numPr>
          <w:ilvl w:val="0"/>
          <w:numId w:val="3"/>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Method:</w:t>
      </w:r>
      <w:r w:rsidRPr="00D61552">
        <w:rPr>
          <w:rFonts w:ascii="Arial" w:eastAsia="MS Mincho" w:hAnsi="Arial" w:cs="Arial"/>
          <w:color w:val="000000"/>
          <w:sz w:val="20"/>
          <w:szCs w:val="20"/>
        </w:rPr>
        <w:t> Calculate these metrics for groups defined by Age (e.g., young adults vs. seniors), Location, and Employment_Status.</w:t>
      </w:r>
    </w:p>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3. Reliability &amp; Calibration Check</w:t>
      </w:r>
    </w:p>
    <w:p w:rsidR="00D61552" w:rsidRPr="00D61552" w:rsidRDefault="00D61552" w:rsidP="00D61552">
      <w:pPr>
        <w:numPr>
          <w:ilvl w:val="0"/>
          <w:numId w:val="4"/>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Calibration Plot:</w:t>
      </w:r>
      <w:r w:rsidRPr="00D61552">
        <w:rPr>
          <w:rFonts w:ascii="Arial" w:eastAsia="MS Mincho" w:hAnsi="Arial" w:cs="Arial"/>
          <w:color w:val="000000"/>
          <w:sz w:val="20"/>
          <w:szCs w:val="20"/>
        </w:rPr>
        <w:t> Assess if the predicted probability of delinquency (e.g., 30%) matches the true observed rate. A well-calibrated model is crucial for setting consistent risk thresholds.</w:t>
      </w:r>
    </w:p>
    <w:p w:rsidR="00D61552" w:rsidRPr="00D61552" w:rsidRDefault="00D61552" w:rsidP="00D61552">
      <w:p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4. Decision Rule for Model Improvement</w:t>
      </w:r>
      <w:r w:rsidRPr="00D61552">
        <w:rPr>
          <w:rFonts w:ascii="Arial" w:eastAsia="MS Mincho" w:hAnsi="Arial" w:cs="Arial"/>
          <w:color w:val="000000"/>
          <w:sz w:val="20"/>
          <w:szCs w:val="20"/>
        </w:rPr>
        <w:br/>
        <w:t>The model will be flagged for retraining or adjustment if:</w:t>
      </w:r>
    </w:p>
    <w:p w:rsidR="00D61552" w:rsidRPr="00D61552" w:rsidRDefault="00D61552" w:rsidP="00D61552">
      <w:pPr>
        <w:numPr>
          <w:ilvl w:val="0"/>
          <w:numId w:val="5"/>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Performance:</w:t>
      </w:r>
      <w:r w:rsidRPr="00D61552">
        <w:rPr>
          <w:rFonts w:ascii="Arial" w:eastAsia="MS Mincho" w:hAnsi="Arial" w:cs="Arial"/>
          <w:color w:val="000000"/>
          <w:sz w:val="20"/>
          <w:szCs w:val="20"/>
        </w:rPr>
        <w:t> Test set AUC-ROC falls below 0.70, or the F2-Score deteriorates significantly.</w:t>
      </w:r>
    </w:p>
    <w:p w:rsidR="00D61552" w:rsidRPr="00D61552" w:rsidRDefault="00D61552" w:rsidP="00D61552">
      <w:pPr>
        <w:numPr>
          <w:ilvl w:val="0"/>
          <w:numId w:val="5"/>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Fairness:</w:t>
      </w:r>
      <w:r w:rsidRPr="00D61552">
        <w:rPr>
          <w:rFonts w:ascii="Arial" w:eastAsia="MS Mincho" w:hAnsi="Arial" w:cs="Arial"/>
          <w:color w:val="000000"/>
          <w:sz w:val="20"/>
          <w:szCs w:val="20"/>
        </w:rPr>
        <w:t> Any Disparate Impact Ratio falls outside the 0.8–1.25 range.</w:t>
      </w:r>
    </w:p>
    <w:p w:rsidR="00D61552" w:rsidRPr="00D61552" w:rsidRDefault="00D61552" w:rsidP="00D61552">
      <w:pPr>
        <w:numPr>
          <w:ilvl w:val="0"/>
          <w:numId w:val="5"/>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Bias:</w:t>
      </w:r>
      <w:r w:rsidRPr="00D61552">
        <w:rPr>
          <w:rFonts w:ascii="Arial" w:eastAsia="MS Mincho" w:hAnsi="Arial" w:cs="Arial"/>
          <w:color w:val="000000"/>
          <w:sz w:val="20"/>
          <w:szCs w:val="20"/>
        </w:rPr>
        <w:t> A significant and unjustified Equal Opportunity Difference (&gt;0.1) is found across major customer segments.</w:t>
      </w:r>
    </w:p>
    <w:p w:rsidR="00D61552" w:rsidRPr="00D61552" w:rsidRDefault="00D61552" w:rsidP="00D61552">
      <w:pPr>
        <w:numPr>
          <w:ilvl w:val="0"/>
          <w:numId w:val="5"/>
        </w:numPr>
        <w:spacing w:line="288" w:lineRule="auto"/>
        <w:rPr>
          <w:rFonts w:ascii="Arial" w:eastAsia="MS Mincho" w:hAnsi="Arial" w:cs="Arial"/>
          <w:color w:val="000000"/>
          <w:sz w:val="20"/>
          <w:szCs w:val="20"/>
        </w:rPr>
      </w:pPr>
      <w:r w:rsidRPr="00D61552">
        <w:rPr>
          <w:rFonts w:ascii="Arial" w:eastAsia="MS Mincho" w:hAnsi="Arial" w:cs="Arial"/>
          <w:b/>
          <w:bCs/>
          <w:color w:val="000000"/>
          <w:sz w:val="20"/>
          <w:szCs w:val="20"/>
        </w:rPr>
        <w:t>Drift:</w:t>
      </w:r>
      <w:r w:rsidRPr="00D61552">
        <w:rPr>
          <w:rFonts w:ascii="Arial" w:eastAsia="MS Mincho" w:hAnsi="Arial" w:cs="Arial"/>
          <w:color w:val="000000"/>
          <w:sz w:val="20"/>
          <w:szCs w:val="20"/>
        </w:rPr>
        <w:t> Monitoring detects significant feature or prediction drift in production over time.</w:t>
      </w:r>
    </w:p>
    <w:p w:rsidR="00D07C8E" w:rsidRPr="00D07C8E" w:rsidRDefault="00D07C8E" w:rsidP="00D07C8E">
      <w:pPr>
        <w:spacing w:line="288" w:lineRule="auto"/>
        <w:rPr>
          <w:rFonts w:ascii="Arial" w:eastAsia="MS Mincho" w:hAnsi="Arial" w:cs="Arial"/>
          <w:color w:val="000000"/>
          <w:sz w:val="20"/>
          <w:szCs w:val="20"/>
        </w:rPr>
      </w:pPr>
    </w:p>
    <w:p w:rsidR="00E1460B" w:rsidRDefault="00E1460B"/>
    <w:sectPr w:rsidR="00E14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564C3"/>
    <w:multiLevelType w:val="multilevel"/>
    <w:tmpl w:val="A986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564290"/>
    <w:multiLevelType w:val="multilevel"/>
    <w:tmpl w:val="A05A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4EC2E68"/>
    <w:multiLevelType w:val="multilevel"/>
    <w:tmpl w:val="1CBE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B22578C"/>
    <w:multiLevelType w:val="multilevel"/>
    <w:tmpl w:val="E1680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CE63C0"/>
    <w:multiLevelType w:val="multilevel"/>
    <w:tmpl w:val="1AC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C8E"/>
    <w:rsid w:val="002B79EC"/>
    <w:rsid w:val="00682635"/>
    <w:rsid w:val="009D7C05"/>
    <w:rsid w:val="00B1014B"/>
    <w:rsid w:val="00B829E0"/>
    <w:rsid w:val="00D07C8E"/>
    <w:rsid w:val="00D61552"/>
    <w:rsid w:val="00E14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D7C0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D7C05"/>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82635"/>
    <w:rPr>
      <w:b/>
      <w:bCs/>
    </w:rPr>
  </w:style>
  <w:style w:type="paragraph" w:customStyle="1" w:styleId="ds-markdown-paragraph">
    <w:name w:val="ds-markdown-paragraph"/>
    <w:basedOn w:val="Normal"/>
    <w:rsid w:val="00B829E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D7C0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D7C05"/>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82635"/>
    <w:rPr>
      <w:b/>
      <w:bCs/>
    </w:rPr>
  </w:style>
  <w:style w:type="paragraph" w:customStyle="1" w:styleId="ds-markdown-paragraph">
    <w:name w:val="ds-markdown-paragraph"/>
    <w:basedOn w:val="Normal"/>
    <w:rsid w:val="00B829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12360">
      <w:bodyDiv w:val="1"/>
      <w:marLeft w:val="0"/>
      <w:marRight w:val="0"/>
      <w:marTop w:val="0"/>
      <w:marBottom w:val="0"/>
      <w:divBdr>
        <w:top w:val="none" w:sz="0" w:space="0" w:color="auto"/>
        <w:left w:val="none" w:sz="0" w:space="0" w:color="auto"/>
        <w:bottom w:val="none" w:sz="0" w:space="0" w:color="auto"/>
        <w:right w:val="none" w:sz="0" w:space="0" w:color="auto"/>
      </w:divBdr>
      <w:divsChild>
        <w:div w:id="1061253410">
          <w:marLeft w:val="0"/>
          <w:marRight w:val="0"/>
          <w:marTop w:val="0"/>
          <w:marBottom w:val="0"/>
          <w:divBdr>
            <w:top w:val="none" w:sz="0" w:space="0" w:color="auto"/>
            <w:left w:val="none" w:sz="0" w:space="0" w:color="auto"/>
            <w:bottom w:val="none" w:sz="0" w:space="0" w:color="auto"/>
            <w:right w:val="none" w:sz="0" w:space="0" w:color="auto"/>
          </w:divBdr>
          <w:divsChild>
            <w:div w:id="1343094866">
              <w:marLeft w:val="0"/>
              <w:marRight w:val="0"/>
              <w:marTop w:val="0"/>
              <w:marBottom w:val="0"/>
              <w:divBdr>
                <w:top w:val="none" w:sz="0" w:space="0" w:color="auto"/>
                <w:left w:val="none" w:sz="0" w:space="0" w:color="auto"/>
                <w:bottom w:val="none" w:sz="0" w:space="0" w:color="auto"/>
                <w:right w:val="none" w:sz="0" w:space="0" w:color="auto"/>
              </w:divBdr>
              <w:divsChild>
                <w:div w:id="201421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787471">
      <w:bodyDiv w:val="1"/>
      <w:marLeft w:val="0"/>
      <w:marRight w:val="0"/>
      <w:marTop w:val="0"/>
      <w:marBottom w:val="0"/>
      <w:divBdr>
        <w:top w:val="none" w:sz="0" w:space="0" w:color="auto"/>
        <w:left w:val="none" w:sz="0" w:space="0" w:color="auto"/>
        <w:bottom w:val="none" w:sz="0" w:space="0" w:color="auto"/>
        <w:right w:val="none" w:sz="0" w:space="0" w:color="auto"/>
      </w:divBdr>
    </w:div>
    <w:div w:id="387414084">
      <w:bodyDiv w:val="1"/>
      <w:marLeft w:val="0"/>
      <w:marRight w:val="0"/>
      <w:marTop w:val="0"/>
      <w:marBottom w:val="0"/>
      <w:divBdr>
        <w:top w:val="none" w:sz="0" w:space="0" w:color="auto"/>
        <w:left w:val="none" w:sz="0" w:space="0" w:color="auto"/>
        <w:bottom w:val="none" w:sz="0" w:space="0" w:color="auto"/>
        <w:right w:val="none" w:sz="0" w:space="0" w:color="auto"/>
      </w:divBdr>
      <w:divsChild>
        <w:div w:id="1746413534">
          <w:marLeft w:val="0"/>
          <w:marRight w:val="0"/>
          <w:marTop w:val="0"/>
          <w:marBottom w:val="0"/>
          <w:divBdr>
            <w:top w:val="none" w:sz="0" w:space="0" w:color="auto"/>
            <w:left w:val="none" w:sz="0" w:space="0" w:color="auto"/>
            <w:bottom w:val="none" w:sz="0" w:space="0" w:color="auto"/>
            <w:right w:val="none" w:sz="0" w:space="0" w:color="auto"/>
          </w:divBdr>
          <w:divsChild>
            <w:div w:id="2752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644">
      <w:bodyDiv w:val="1"/>
      <w:marLeft w:val="0"/>
      <w:marRight w:val="0"/>
      <w:marTop w:val="0"/>
      <w:marBottom w:val="0"/>
      <w:divBdr>
        <w:top w:val="none" w:sz="0" w:space="0" w:color="auto"/>
        <w:left w:val="none" w:sz="0" w:space="0" w:color="auto"/>
        <w:bottom w:val="none" w:sz="0" w:space="0" w:color="auto"/>
        <w:right w:val="none" w:sz="0" w:space="0" w:color="auto"/>
      </w:divBdr>
    </w:div>
    <w:div w:id="826241924">
      <w:bodyDiv w:val="1"/>
      <w:marLeft w:val="0"/>
      <w:marRight w:val="0"/>
      <w:marTop w:val="0"/>
      <w:marBottom w:val="0"/>
      <w:divBdr>
        <w:top w:val="none" w:sz="0" w:space="0" w:color="auto"/>
        <w:left w:val="none" w:sz="0" w:space="0" w:color="auto"/>
        <w:bottom w:val="none" w:sz="0" w:space="0" w:color="auto"/>
        <w:right w:val="none" w:sz="0" w:space="0" w:color="auto"/>
      </w:divBdr>
    </w:div>
    <w:div w:id="979069384">
      <w:bodyDiv w:val="1"/>
      <w:marLeft w:val="0"/>
      <w:marRight w:val="0"/>
      <w:marTop w:val="0"/>
      <w:marBottom w:val="0"/>
      <w:divBdr>
        <w:top w:val="none" w:sz="0" w:space="0" w:color="auto"/>
        <w:left w:val="none" w:sz="0" w:space="0" w:color="auto"/>
        <w:bottom w:val="none" w:sz="0" w:space="0" w:color="auto"/>
        <w:right w:val="none" w:sz="0" w:space="0" w:color="auto"/>
      </w:divBdr>
    </w:div>
    <w:div w:id="1078747874">
      <w:bodyDiv w:val="1"/>
      <w:marLeft w:val="0"/>
      <w:marRight w:val="0"/>
      <w:marTop w:val="0"/>
      <w:marBottom w:val="0"/>
      <w:divBdr>
        <w:top w:val="none" w:sz="0" w:space="0" w:color="auto"/>
        <w:left w:val="none" w:sz="0" w:space="0" w:color="auto"/>
        <w:bottom w:val="none" w:sz="0" w:space="0" w:color="auto"/>
        <w:right w:val="none" w:sz="0" w:space="0" w:color="auto"/>
      </w:divBdr>
    </w:div>
    <w:div w:id="1209074981">
      <w:bodyDiv w:val="1"/>
      <w:marLeft w:val="0"/>
      <w:marRight w:val="0"/>
      <w:marTop w:val="0"/>
      <w:marBottom w:val="0"/>
      <w:divBdr>
        <w:top w:val="none" w:sz="0" w:space="0" w:color="auto"/>
        <w:left w:val="none" w:sz="0" w:space="0" w:color="auto"/>
        <w:bottom w:val="none" w:sz="0" w:space="0" w:color="auto"/>
        <w:right w:val="none" w:sz="0" w:space="0" w:color="auto"/>
      </w:divBdr>
      <w:divsChild>
        <w:div w:id="2109305547">
          <w:marLeft w:val="0"/>
          <w:marRight w:val="0"/>
          <w:marTop w:val="0"/>
          <w:marBottom w:val="0"/>
          <w:divBdr>
            <w:top w:val="none" w:sz="0" w:space="0" w:color="auto"/>
            <w:left w:val="none" w:sz="0" w:space="0" w:color="auto"/>
            <w:bottom w:val="none" w:sz="0" w:space="0" w:color="auto"/>
            <w:right w:val="none" w:sz="0" w:space="0" w:color="auto"/>
          </w:divBdr>
          <w:divsChild>
            <w:div w:id="1116173473">
              <w:marLeft w:val="0"/>
              <w:marRight w:val="0"/>
              <w:marTop w:val="0"/>
              <w:marBottom w:val="0"/>
              <w:divBdr>
                <w:top w:val="none" w:sz="0" w:space="0" w:color="auto"/>
                <w:left w:val="none" w:sz="0" w:space="0" w:color="auto"/>
                <w:bottom w:val="none" w:sz="0" w:space="0" w:color="auto"/>
                <w:right w:val="none" w:sz="0" w:space="0" w:color="auto"/>
              </w:divBdr>
              <w:divsChild>
                <w:div w:id="9221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5193">
      <w:bodyDiv w:val="1"/>
      <w:marLeft w:val="0"/>
      <w:marRight w:val="0"/>
      <w:marTop w:val="0"/>
      <w:marBottom w:val="0"/>
      <w:divBdr>
        <w:top w:val="none" w:sz="0" w:space="0" w:color="auto"/>
        <w:left w:val="none" w:sz="0" w:space="0" w:color="auto"/>
        <w:bottom w:val="none" w:sz="0" w:space="0" w:color="auto"/>
        <w:right w:val="none" w:sz="0" w:space="0" w:color="auto"/>
      </w:divBdr>
    </w:div>
    <w:div w:id="1613124151">
      <w:bodyDiv w:val="1"/>
      <w:marLeft w:val="0"/>
      <w:marRight w:val="0"/>
      <w:marTop w:val="0"/>
      <w:marBottom w:val="0"/>
      <w:divBdr>
        <w:top w:val="none" w:sz="0" w:space="0" w:color="auto"/>
        <w:left w:val="none" w:sz="0" w:space="0" w:color="auto"/>
        <w:bottom w:val="none" w:sz="0" w:space="0" w:color="auto"/>
        <w:right w:val="none" w:sz="0" w:space="0" w:color="auto"/>
      </w:divBdr>
    </w:div>
    <w:div w:id="1695839193">
      <w:bodyDiv w:val="1"/>
      <w:marLeft w:val="0"/>
      <w:marRight w:val="0"/>
      <w:marTop w:val="0"/>
      <w:marBottom w:val="0"/>
      <w:divBdr>
        <w:top w:val="none" w:sz="0" w:space="0" w:color="auto"/>
        <w:left w:val="none" w:sz="0" w:space="0" w:color="auto"/>
        <w:bottom w:val="none" w:sz="0" w:space="0" w:color="auto"/>
        <w:right w:val="none" w:sz="0" w:space="0" w:color="auto"/>
      </w:divBdr>
    </w:div>
    <w:div w:id="179859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516</TotalTime>
  <Pages>1</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2025-12-04T11:54:00Z</dcterms:created>
  <dcterms:modified xsi:type="dcterms:W3CDTF">2025-12-04T20:30:00Z</dcterms:modified>
</cp:coreProperties>
</file>