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AC83A6" w14:textId="77777777" w:rsidR="007D72C2" w:rsidRPr="00A537D1" w:rsidRDefault="00A537D1">
      <w:pPr>
        <w:pStyle w:val="Title"/>
        <w:jc w:val="center"/>
        <w:rPr>
          <w:rFonts w:ascii="Arial" w:hAnsi="Arial" w:cs="Arial"/>
          <w:color w:val="000000" w:themeColor="text1"/>
        </w:rPr>
      </w:pPr>
      <w:r w:rsidRPr="00A537D1">
        <w:rPr>
          <w:rFonts w:ascii="Arial" w:hAnsi="Arial" w:cs="Arial"/>
          <w:color w:val="000000" w:themeColor="text1"/>
        </w:rPr>
        <w:t>Business Summary Report: Predictive Insights for Collections Strategy</w:t>
      </w:r>
    </w:p>
    <w:p w14:paraId="6C88CC5A" w14:textId="77777777" w:rsidR="00903532" w:rsidRDefault="00A537D1" w:rsidP="00903532">
      <w:pPr>
        <w:pStyle w:val="Heading1"/>
        <w:numPr>
          <w:ilvl w:val="0"/>
          <w:numId w:val="12"/>
        </w:numPr>
        <w:rPr>
          <w:rFonts w:ascii="Arial" w:hAnsi="Arial" w:cs="Arial"/>
          <w:color w:val="000000" w:themeColor="text1"/>
        </w:rPr>
      </w:pPr>
      <w:r w:rsidRPr="00A537D1">
        <w:rPr>
          <w:rFonts w:ascii="Arial" w:hAnsi="Arial" w:cs="Arial"/>
          <w:color w:val="000000" w:themeColor="text1"/>
        </w:rPr>
        <w:t>Summary of Predictive Insights</w:t>
      </w:r>
      <w:r w:rsidR="00782C7B">
        <w:rPr>
          <w:rFonts w:ascii="Arial" w:hAnsi="Arial" w:cs="Arial"/>
          <w:color w:val="000000" w:themeColor="text1"/>
        </w:rPr>
        <w:t>:</w:t>
      </w:r>
    </w:p>
    <w:p w14:paraId="125D7418" w14:textId="77777777" w:rsidR="00903532" w:rsidRDefault="00903532" w:rsidP="00903532">
      <w:pPr>
        <w:pStyle w:val="Heading1"/>
        <w:ind w:left="720"/>
        <w:rPr>
          <w:rFonts w:ascii="Arial" w:hAnsi="Arial" w:cs="Arial"/>
          <w:color w:val="auto"/>
          <w:sz w:val="22"/>
          <w:szCs w:val="22"/>
        </w:rPr>
      </w:pPr>
      <w:r w:rsidRPr="00903532">
        <w:rPr>
          <w:rFonts w:ascii="Arial" w:hAnsi="Arial" w:cs="Arial"/>
          <w:color w:val="auto"/>
          <w:sz w:val="22"/>
          <w:szCs w:val="22"/>
        </w:rPr>
        <w:t>Top 3 Risk Factors:</w:t>
      </w:r>
    </w:p>
    <w:p w14:paraId="0CE3FD26" w14:textId="263B8A59" w:rsidR="00782C7B" w:rsidRPr="00903532" w:rsidRDefault="00782C7B" w:rsidP="00903532">
      <w:pPr>
        <w:pStyle w:val="Heading1"/>
        <w:numPr>
          <w:ilvl w:val="0"/>
          <w:numId w:val="20"/>
        </w:numPr>
        <w:rPr>
          <w:rFonts w:ascii="Arial" w:hAnsi="Arial" w:cs="Arial"/>
          <w:b w:val="0"/>
          <w:color w:val="auto"/>
          <w:sz w:val="22"/>
          <w:szCs w:val="22"/>
        </w:rPr>
      </w:pPr>
      <w:r w:rsidRPr="00903532">
        <w:rPr>
          <w:rStyle w:val="Strong"/>
          <w:rFonts w:ascii="Arial" w:hAnsi="Arial" w:cs="Arial"/>
          <w:b/>
          <w:color w:val="0F1115"/>
          <w:sz w:val="20"/>
          <w:szCs w:val="20"/>
        </w:rPr>
        <w:t>Multiple Missed Payments:</w:t>
      </w:r>
      <w:r w:rsidRPr="00B84A37">
        <w:rPr>
          <w:rFonts w:ascii="Arial" w:hAnsi="Arial" w:cs="Arial"/>
          <w:color w:val="0F1115"/>
          <w:sz w:val="20"/>
          <w:szCs w:val="20"/>
        </w:rPr>
        <w:t> </w:t>
      </w:r>
      <w:r w:rsidRPr="00903532">
        <w:rPr>
          <w:rFonts w:ascii="Arial" w:hAnsi="Arial" w:cs="Arial"/>
          <w:b w:val="0"/>
          <w:color w:val="0F1115"/>
          <w:sz w:val="20"/>
          <w:szCs w:val="20"/>
        </w:rPr>
        <w:t>A customer's recent history of failed payments is the strongest predictor of future delinquency.</w:t>
      </w:r>
    </w:p>
    <w:p w14:paraId="217360CA" w14:textId="77777777" w:rsidR="00782C7B" w:rsidRPr="00782C7B" w:rsidRDefault="00782C7B" w:rsidP="00903532">
      <w:pPr>
        <w:pStyle w:val="ds-markdown-paragraph"/>
        <w:numPr>
          <w:ilvl w:val="0"/>
          <w:numId w:val="20"/>
        </w:numPr>
        <w:shd w:val="clear" w:color="auto" w:fill="FFFFFF"/>
        <w:spacing w:after="0" w:afterAutospacing="0" w:line="276" w:lineRule="auto"/>
        <w:rPr>
          <w:rFonts w:ascii="Arial" w:hAnsi="Arial" w:cs="Arial"/>
          <w:color w:val="0F1115"/>
          <w:sz w:val="20"/>
          <w:szCs w:val="20"/>
        </w:rPr>
      </w:pPr>
      <w:r w:rsidRPr="00782C7B">
        <w:rPr>
          <w:rStyle w:val="Strong"/>
          <w:rFonts w:ascii="Arial" w:hAnsi="Arial" w:cs="Arial"/>
          <w:color w:val="0F1115"/>
          <w:sz w:val="20"/>
          <w:szCs w:val="20"/>
        </w:rPr>
        <w:t>Maxed-Out Credit Lines:</w:t>
      </w:r>
      <w:r w:rsidRPr="00782C7B">
        <w:rPr>
          <w:rFonts w:ascii="Arial" w:hAnsi="Arial" w:cs="Arial"/>
          <w:color w:val="0F1115"/>
          <w:sz w:val="20"/>
          <w:szCs w:val="20"/>
        </w:rPr>
        <w:t> Using over 80% of available credit signals acute financial stress and high default risk.</w:t>
      </w:r>
    </w:p>
    <w:p w14:paraId="5A7FB470" w14:textId="77777777" w:rsidR="00B84A37" w:rsidRDefault="00782C7B" w:rsidP="00903532">
      <w:pPr>
        <w:pStyle w:val="ds-markdown-paragraph"/>
        <w:numPr>
          <w:ilvl w:val="0"/>
          <w:numId w:val="20"/>
        </w:numPr>
        <w:shd w:val="clear" w:color="auto" w:fill="FFFFFF"/>
        <w:spacing w:after="0" w:afterAutospacing="0" w:line="276" w:lineRule="auto"/>
        <w:rPr>
          <w:rFonts w:ascii="Arial" w:hAnsi="Arial" w:cs="Arial"/>
          <w:color w:val="0F1115"/>
          <w:sz w:val="20"/>
          <w:szCs w:val="20"/>
        </w:rPr>
      </w:pPr>
      <w:r w:rsidRPr="00782C7B">
        <w:rPr>
          <w:rStyle w:val="Strong"/>
          <w:rFonts w:ascii="Arial" w:hAnsi="Arial" w:cs="Arial"/>
          <w:color w:val="0F1115"/>
          <w:sz w:val="20"/>
          <w:szCs w:val="20"/>
        </w:rPr>
        <w:t>High Debt Burden:</w:t>
      </w:r>
      <w:r w:rsidRPr="00782C7B">
        <w:rPr>
          <w:rFonts w:ascii="Arial" w:hAnsi="Arial" w:cs="Arial"/>
          <w:color w:val="0F1115"/>
          <w:sz w:val="20"/>
          <w:szCs w:val="20"/>
        </w:rPr>
        <w:t> A Debt-to-Income ratio above 40% shows most income is already spoken for, leaving no safety net.</w:t>
      </w:r>
    </w:p>
    <w:p w14:paraId="50978634" w14:textId="703A0999" w:rsidR="00A537D1" w:rsidRPr="00B84A37" w:rsidRDefault="00782C7B" w:rsidP="00903532">
      <w:pPr>
        <w:pStyle w:val="ds-markdown-paragraph"/>
        <w:shd w:val="clear" w:color="auto" w:fill="FFFFFF"/>
        <w:spacing w:after="0" w:afterAutospacing="0" w:line="276" w:lineRule="auto"/>
        <w:ind w:left="1080"/>
        <w:rPr>
          <w:rFonts w:ascii="Arial" w:hAnsi="Arial" w:cs="Arial"/>
          <w:color w:val="0F1115"/>
          <w:sz w:val="20"/>
          <w:szCs w:val="20"/>
        </w:rPr>
      </w:pPr>
      <w:r w:rsidRPr="00B84A37">
        <w:rPr>
          <w:rFonts w:ascii="Arial" w:hAnsi="Arial" w:cs="Arial"/>
          <w:color w:val="0F1115"/>
          <w:sz w:val="20"/>
          <w:szCs w:val="20"/>
        </w:rPr>
        <w:t>These three factors measuring </w:t>
      </w:r>
      <w:r w:rsidRPr="00B84A37">
        <w:rPr>
          <w:rStyle w:val="Strong"/>
          <w:rFonts w:ascii="Arial" w:hAnsi="Arial" w:cs="Arial"/>
          <w:color w:val="0F1115"/>
          <w:sz w:val="20"/>
          <w:szCs w:val="20"/>
        </w:rPr>
        <w:t>behavior</w:t>
      </w:r>
      <w:r w:rsidRPr="00B84A37">
        <w:rPr>
          <w:rFonts w:ascii="Arial" w:hAnsi="Arial" w:cs="Arial"/>
          <w:color w:val="0F1115"/>
          <w:sz w:val="20"/>
          <w:szCs w:val="20"/>
        </w:rPr>
        <w:t>, </w:t>
      </w:r>
      <w:r w:rsidRPr="00B84A37">
        <w:rPr>
          <w:rStyle w:val="Strong"/>
          <w:rFonts w:ascii="Arial" w:hAnsi="Arial" w:cs="Arial"/>
          <w:color w:val="0F1115"/>
          <w:sz w:val="20"/>
          <w:szCs w:val="20"/>
        </w:rPr>
        <w:t>current stress</w:t>
      </w:r>
      <w:r w:rsidRPr="00B84A37">
        <w:rPr>
          <w:rFonts w:ascii="Arial" w:hAnsi="Arial" w:cs="Arial"/>
          <w:color w:val="0F1115"/>
          <w:sz w:val="20"/>
          <w:szCs w:val="20"/>
        </w:rPr>
        <w:t>, and </w:t>
      </w:r>
      <w:r w:rsidRPr="00B84A37">
        <w:rPr>
          <w:rStyle w:val="Strong"/>
          <w:rFonts w:ascii="Arial" w:hAnsi="Arial" w:cs="Arial"/>
          <w:color w:val="0F1115"/>
          <w:sz w:val="20"/>
          <w:szCs w:val="20"/>
        </w:rPr>
        <w:t>overall capacity</w:t>
      </w:r>
      <w:r w:rsidRPr="00B84A37">
        <w:rPr>
          <w:rFonts w:ascii="Arial" w:hAnsi="Arial" w:cs="Arial"/>
          <w:color w:val="0F1115"/>
          <w:sz w:val="20"/>
          <w:szCs w:val="20"/>
        </w:rPr>
        <w:t xml:space="preserve"> provide a simple, explainable framework for assessing risk that aligns with both the data patterns and the transparent logistic regression model.</w:t>
      </w:r>
    </w:p>
    <w:p w14:paraId="01E29B5B" w14:textId="77777777" w:rsidR="00903532" w:rsidRDefault="00A537D1" w:rsidP="00903532">
      <w:pPr>
        <w:pStyle w:val="Heading1"/>
        <w:numPr>
          <w:ilvl w:val="0"/>
          <w:numId w:val="12"/>
        </w:numPr>
        <w:rPr>
          <w:rFonts w:ascii="Arial" w:hAnsi="Arial" w:cs="Arial"/>
          <w:color w:val="000000" w:themeColor="text1"/>
        </w:rPr>
      </w:pPr>
      <w:r w:rsidRPr="00A537D1">
        <w:rPr>
          <w:rFonts w:ascii="Arial" w:hAnsi="Arial" w:cs="Arial"/>
          <w:color w:val="000000" w:themeColor="text1"/>
        </w:rPr>
        <w:t>Recommendation Framework</w:t>
      </w:r>
    </w:p>
    <w:p w14:paraId="361DA284" w14:textId="6D6E9B44" w:rsidR="00F80C03" w:rsidRPr="007A47BA" w:rsidRDefault="00A537D1" w:rsidP="00903532">
      <w:pPr>
        <w:pStyle w:val="Heading1"/>
        <w:numPr>
          <w:ilvl w:val="0"/>
          <w:numId w:val="22"/>
        </w:numPr>
        <w:rPr>
          <w:rFonts w:ascii="Arial" w:hAnsi="Arial" w:cs="Arial"/>
          <w:color w:val="000000" w:themeColor="text1"/>
          <w:sz w:val="22"/>
          <w:szCs w:val="22"/>
        </w:rPr>
      </w:pPr>
      <w:r w:rsidRPr="007A47BA">
        <w:rPr>
          <w:rFonts w:ascii="Arial" w:hAnsi="Arial" w:cs="Arial"/>
          <w:color w:val="000000" w:themeColor="text1"/>
          <w:sz w:val="22"/>
          <w:szCs w:val="22"/>
        </w:rPr>
        <w:t>Restated Insight:</w:t>
      </w:r>
    </w:p>
    <w:p w14:paraId="0803C0DB" w14:textId="2D63CFB0" w:rsidR="00F80C03" w:rsidRDefault="00F80C03" w:rsidP="00903532">
      <w:pPr>
        <w:pStyle w:val="ListBullet"/>
        <w:numPr>
          <w:ilvl w:val="0"/>
          <w:numId w:val="0"/>
        </w:numPr>
        <w:tabs>
          <w:tab w:val="left" w:pos="1327"/>
        </w:tabs>
        <w:ind w:left="360" w:firstLine="960"/>
        <w:rPr>
          <w:rFonts w:ascii="Arial" w:hAnsi="Arial" w:cs="Arial"/>
          <w:color w:val="000000" w:themeColor="text1"/>
        </w:rPr>
      </w:pPr>
    </w:p>
    <w:p w14:paraId="1C73166D" w14:textId="77777777" w:rsidR="00903532" w:rsidRDefault="0087400B" w:rsidP="00903532">
      <w:pPr>
        <w:pStyle w:val="ListBullet"/>
        <w:numPr>
          <w:ilvl w:val="0"/>
          <w:numId w:val="0"/>
        </w:numPr>
        <w:ind w:left="720"/>
        <w:rPr>
          <w:rFonts w:ascii="Arial" w:hAnsi="Arial" w:cs="Arial"/>
          <w:color w:val="000000" w:themeColor="text1"/>
        </w:rPr>
      </w:pPr>
      <w:r w:rsidRPr="00F80C03">
        <w:rPr>
          <w:rFonts w:ascii="Arial" w:eastAsia="Times New Roman" w:hAnsi="Arial" w:cs="Arial"/>
          <w:color w:val="0F1115"/>
          <w:sz w:val="20"/>
          <w:szCs w:val="20"/>
        </w:rPr>
        <w:t>Reduce delinquency rates among high-risk customers by 15% within the next 6 months by implementing a targeted early intervention program for customers identified as "Deteriorating Payers" (those showing a pattern of On-time → Late → Missed payments in the last 3 months).</w:t>
      </w:r>
    </w:p>
    <w:p w14:paraId="26E27484" w14:textId="77777777" w:rsidR="00903532" w:rsidRPr="00903532" w:rsidRDefault="00A537D1" w:rsidP="00903532">
      <w:pPr>
        <w:pStyle w:val="ListBullet"/>
        <w:numPr>
          <w:ilvl w:val="0"/>
          <w:numId w:val="22"/>
        </w:numPr>
        <w:rPr>
          <w:rFonts w:ascii="Arial" w:hAnsi="Arial" w:cs="Arial"/>
          <w:color w:val="000000" w:themeColor="text1"/>
        </w:rPr>
      </w:pPr>
      <w:r w:rsidRPr="00F80C03">
        <w:rPr>
          <w:rFonts w:ascii="Arial" w:hAnsi="Arial" w:cs="Arial"/>
          <w:b/>
          <w:color w:val="000000" w:themeColor="text1"/>
        </w:rPr>
        <w:t>Proposed Recommendation:</w:t>
      </w:r>
    </w:p>
    <w:p w14:paraId="58DAEAD1" w14:textId="77777777" w:rsidR="00903532" w:rsidRDefault="00903532" w:rsidP="00903532">
      <w:pPr>
        <w:pStyle w:val="ListBullet"/>
        <w:numPr>
          <w:ilvl w:val="0"/>
          <w:numId w:val="0"/>
        </w:numPr>
        <w:ind w:left="720"/>
        <w:rPr>
          <w:rFonts w:ascii="Arial" w:hAnsi="Arial" w:cs="Arial"/>
          <w:color w:val="000000" w:themeColor="text1"/>
        </w:rPr>
      </w:pPr>
    </w:p>
    <w:p w14:paraId="501BCC93" w14:textId="589CC3FE" w:rsidR="00903532" w:rsidRPr="00903532" w:rsidRDefault="00F80C03" w:rsidP="00903532">
      <w:pPr>
        <w:pStyle w:val="ListBullet"/>
        <w:numPr>
          <w:ilvl w:val="0"/>
          <w:numId w:val="23"/>
        </w:numPr>
        <w:rPr>
          <w:rFonts w:ascii="Arial" w:hAnsi="Arial" w:cs="Arial"/>
          <w:color w:val="000000" w:themeColor="text1"/>
        </w:rPr>
      </w:pPr>
      <w:bookmarkStart w:id="0" w:name="_GoBack"/>
      <w:bookmarkEnd w:id="0"/>
      <w:r w:rsidRPr="00903532">
        <w:rPr>
          <w:rFonts w:ascii="Arial" w:eastAsia="Times New Roman" w:hAnsi="Arial" w:cs="Arial"/>
          <w:b/>
          <w:bCs/>
          <w:color w:val="0F1115"/>
          <w:sz w:val="20"/>
          <w:szCs w:val="20"/>
        </w:rPr>
        <w:t>Specific:</w:t>
      </w:r>
      <w:r w:rsidRPr="00903532">
        <w:rPr>
          <w:rFonts w:ascii="Arial" w:eastAsia="Times New Roman" w:hAnsi="Arial" w:cs="Arial"/>
          <w:color w:val="0F1115"/>
          <w:sz w:val="20"/>
          <w:szCs w:val="20"/>
        </w:rPr>
        <w:t> Target customers showing the deteriorating payment pattern.</w:t>
      </w:r>
    </w:p>
    <w:p w14:paraId="4158FB81" w14:textId="5583F3B9" w:rsidR="00F80C03" w:rsidRPr="00F80C03" w:rsidRDefault="00F80C03" w:rsidP="00903532">
      <w:pPr>
        <w:pStyle w:val="ListBullet"/>
        <w:numPr>
          <w:ilvl w:val="0"/>
          <w:numId w:val="23"/>
        </w:numPr>
        <w:rPr>
          <w:rFonts w:ascii="Arial" w:hAnsi="Arial" w:cs="Arial"/>
          <w:color w:val="000000" w:themeColor="text1"/>
        </w:rPr>
      </w:pPr>
      <w:r w:rsidRPr="00F80C03">
        <w:rPr>
          <w:rFonts w:ascii="Arial" w:eastAsia="Times New Roman" w:hAnsi="Arial" w:cs="Arial"/>
          <w:b/>
          <w:bCs/>
          <w:color w:val="0F1115"/>
          <w:sz w:val="20"/>
          <w:szCs w:val="20"/>
        </w:rPr>
        <w:t>Measurable:</w:t>
      </w:r>
      <w:r w:rsidRPr="00F80C03">
        <w:rPr>
          <w:rFonts w:ascii="Arial" w:eastAsia="Times New Roman" w:hAnsi="Arial" w:cs="Arial"/>
          <w:color w:val="0F1115"/>
          <w:sz w:val="20"/>
          <w:szCs w:val="20"/>
        </w:rPr>
        <w:t> Track the 15% reduction in delinquency rates for this segment.</w:t>
      </w:r>
    </w:p>
    <w:p w14:paraId="38CA116C" w14:textId="77777777" w:rsidR="00F80C03" w:rsidRPr="00F80C03" w:rsidRDefault="00F80C03" w:rsidP="00903532">
      <w:pPr>
        <w:pStyle w:val="ListBullet"/>
        <w:numPr>
          <w:ilvl w:val="0"/>
          <w:numId w:val="23"/>
        </w:numPr>
        <w:rPr>
          <w:rFonts w:ascii="Arial" w:hAnsi="Arial" w:cs="Arial"/>
          <w:color w:val="000000" w:themeColor="text1"/>
        </w:rPr>
      </w:pPr>
      <w:r w:rsidRPr="00F80C03">
        <w:rPr>
          <w:rFonts w:ascii="Arial" w:eastAsia="Times New Roman" w:hAnsi="Arial" w:cs="Arial"/>
          <w:b/>
          <w:bCs/>
          <w:color w:val="0F1115"/>
          <w:sz w:val="20"/>
          <w:szCs w:val="20"/>
        </w:rPr>
        <w:t>Achievable:</w:t>
      </w:r>
      <w:r w:rsidRPr="00F80C03">
        <w:rPr>
          <w:rFonts w:ascii="Arial" w:eastAsia="Times New Roman" w:hAnsi="Arial" w:cs="Arial"/>
          <w:color w:val="0F1115"/>
          <w:sz w:val="20"/>
          <w:szCs w:val="20"/>
        </w:rPr>
        <w:t> The predictive model already identifies these customers with high accuracy (AUC &gt;0.75).</w:t>
      </w:r>
    </w:p>
    <w:p w14:paraId="3A69B9F8" w14:textId="77777777" w:rsidR="00F80C03" w:rsidRPr="00F80C03" w:rsidRDefault="00F80C03" w:rsidP="00903532">
      <w:pPr>
        <w:pStyle w:val="ListBullet"/>
        <w:numPr>
          <w:ilvl w:val="0"/>
          <w:numId w:val="23"/>
        </w:numPr>
        <w:rPr>
          <w:rFonts w:ascii="Arial" w:hAnsi="Arial" w:cs="Arial"/>
          <w:color w:val="000000" w:themeColor="text1"/>
        </w:rPr>
      </w:pPr>
      <w:r w:rsidRPr="00F80C03">
        <w:rPr>
          <w:rFonts w:ascii="Arial" w:eastAsia="Times New Roman" w:hAnsi="Arial" w:cs="Arial"/>
          <w:b/>
          <w:bCs/>
          <w:color w:val="0F1115"/>
          <w:sz w:val="20"/>
          <w:szCs w:val="20"/>
        </w:rPr>
        <w:t>Relevant:</w:t>
      </w:r>
      <w:r w:rsidRPr="00F80C03">
        <w:rPr>
          <w:rFonts w:ascii="Arial" w:eastAsia="Times New Roman" w:hAnsi="Arial" w:cs="Arial"/>
          <w:color w:val="0F1115"/>
          <w:sz w:val="20"/>
          <w:szCs w:val="20"/>
        </w:rPr>
        <w:t> Directly addresses the leading indicator of delinquency found in our analysis.</w:t>
      </w:r>
    </w:p>
    <w:p w14:paraId="3925DD48" w14:textId="0510295A" w:rsidR="00F80C03" w:rsidRPr="00903532" w:rsidRDefault="00F80C03" w:rsidP="00903532">
      <w:pPr>
        <w:pStyle w:val="ListBullet"/>
        <w:numPr>
          <w:ilvl w:val="0"/>
          <w:numId w:val="23"/>
        </w:numPr>
        <w:rPr>
          <w:rFonts w:ascii="Arial" w:hAnsi="Arial" w:cs="Arial"/>
          <w:color w:val="000000" w:themeColor="text1"/>
        </w:rPr>
      </w:pPr>
      <w:r w:rsidRPr="00F80C03">
        <w:rPr>
          <w:rFonts w:ascii="Arial" w:eastAsia="Times New Roman" w:hAnsi="Arial" w:cs="Arial"/>
          <w:b/>
          <w:bCs/>
          <w:color w:val="0F1115"/>
          <w:sz w:val="20"/>
          <w:szCs w:val="20"/>
        </w:rPr>
        <w:t>Time-bound:</w:t>
      </w:r>
      <w:r w:rsidRPr="00F80C03">
        <w:rPr>
          <w:rFonts w:ascii="Arial" w:eastAsia="Times New Roman" w:hAnsi="Arial" w:cs="Arial"/>
          <w:color w:val="0F1115"/>
          <w:sz w:val="20"/>
          <w:szCs w:val="20"/>
        </w:rPr>
        <w:t> Achieve results within 6 months of program launch.</w:t>
      </w:r>
    </w:p>
    <w:p w14:paraId="74755185" w14:textId="77777777" w:rsidR="00903532" w:rsidRDefault="00903532" w:rsidP="00903532">
      <w:pPr>
        <w:pStyle w:val="ListBullet"/>
        <w:numPr>
          <w:ilvl w:val="0"/>
          <w:numId w:val="0"/>
        </w:numPr>
        <w:ind w:left="360" w:hanging="360"/>
        <w:rPr>
          <w:rFonts w:ascii="Arial" w:hAnsi="Arial" w:cs="Arial"/>
          <w:color w:val="000000" w:themeColor="text1"/>
        </w:rPr>
      </w:pPr>
    </w:p>
    <w:p w14:paraId="53C5487C" w14:textId="77777777" w:rsidR="00903532" w:rsidRPr="00F80C03" w:rsidRDefault="00903532" w:rsidP="00903532">
      <w:pPr>
        <w:pStyle w:val="ListBullet"/>
        <w:numPr>
          <w:ilvl w:val="0"/>
          <w:numId w:val="0"/>
        </w:numPr>
        <w:ind w:left="360" w:hanging="360"/>
        <w:rPr>
          <w:rFonts w:ascii="Arial" w:hAnsi="Arial" w:cs="Arial"/>
          <w:color w:val="000000" w:themeColor="text1"/>
        </w:rPr>
      </w:pPr>
    </w:p>
    <w:p w14:paraId="6F202C36" w14:textId="77777777" w:rsidR="00F80C03" w:rsidRPr="00F80C03" w:rsidRDefault="00F80C03" w:rsidP="00F80C03">
      <w:pPr>
        <w:pStyle w:val="ListBullet"/>
        <w:numPr>
          <w:ilvl w:val="0"/>
          <w:numId w:val="0"/>
        </w:numPr>
        <w:ind w:left="360"/>
        <w:rPr>
          <w:rFonts w:ascii="Arial" w:hAnsi="Arial" w:cs="Arial"/>
          <w:color w:val="000000" w:themeColor="text1"/>
        </w:rPr>
      </w:pPr>
    </w:p>
    <w:p w14:paraId="26FF5185" w14:textId="77777777" w:rsidR="00903532" w:rsidRDefault="00A537D1" w:rsidP="00903532">
      <w:pPr>
        <w:pStyle w:val="ListBullet"/>
        <w:numPr>
          <w:ilvl w:val="0"/>
          <w:numId w:val="22"/>
        </w:numPr>
        <w:rPr>
          <w:rFonts w:ascii="Arial" w:hAnsi="Arial" w:cs="Arial"/>
          <w:b/>
          <w:color w:val="000000" w:themeColor="text1"/>
        </w:rPr>
      </w:pPr>
      <w:r w:rsidRPr="00F80C03">
        <w:rPr>
          <w:rFonts w:ascii="Arial" w:hAnsi="Arial" w:cs="Arial"/>
          <w:b/>
          <w:color w:val="000000" w:themeColor="text1"/>
        </w:rPr>
        <w:lastRenderedPageBreak/>
        <w:t>Justification and Business Rationale:</w:t>
      </w:r>
    </w:p>
    <w:p w14:paraId="5ACD4876" w14:textId="2BE71C95" w:rsidR="00F80C03" w:rsidRPr="00903532" w:rsidRDefault="00F80C03" w:rsidP="00903532">
      <w:pPr>
        <w:pStyle w:val="ListBullet"/>
        <w:numPr>
          <w:ilvl w:val="0"/>
          <w:numId w:val="0"/>
        </w:numPr>
        <w:ind w:left="720"/>
        <w:rPr>
          <w:rFonts w:ascii="Arial" w:hAnsi="Arial" w:cs="Arial"/>
          <w:b/>
          <w:color w:val="000000" w:themeColor="text1"/>
        </w:rPr>
      </w:pPr>
      <w:r w:rsidRPr="00903532">
        <w:rPr>
          <w:rFonts w:ascii="Arial" w:eastAsia="Times New Roman" w:hAnsi="Arial" w:cs="Arial"/>
          <w:color w:val="0F1115"/>
          <w:sz w:val="20"/>
          <w:szCs w:val="20"/>
        </w:rPr>
        <w:t>Our analysis shows that customers on a declining payment trend are 3x more likely to become delinquent within 90 days. By proactively offering these customers payment assistance options before they default, we can preserve revenue, reduce collections costs, and maintain customer relationships - directly supporting our goals of responsible lending and portfolio health.</w:t>
      </w:r>
    </w:p>
    <w:p w14:paraId="18F22547" w14:textId="10EBF77B" w:rsidR="00903532" w:rsidRDefault="00A537D1" w:rsidP="00903532">
      <w:pPr>
        <w:pStyle w:val="Heading1"/>
        <w:numPr>
          <w:ilvl w:val="0"/>
          <w:numId w:val="21"/>
        </w:numPr>
        <w:rPr>
          <w:rFonts w:ascii="Arial" w:hAnsi="Arial" w:cs="Arial"/>
          <w:color w:val="000000" w:themeColor="text1"/>
        </w:rPr>
      </w:pPr>
      <w:r w:rsidRPr="00A537D1">
        <w:rPr>
          <w:rFonts w:ascii="Arial" w:hAnsi="Arial" w:cs="Arial"/>
          <w:color w:val="000000" w:themeColor="text1"/>
        </w:rPr>
        <w:t>Ethical and Responsible AI Considerations</w:t>
      </w:r>
    </w:p>
    <w:p w14:paraId="05AB25C2" w14:textId="77777777" w:rsidR="007A47BA" w:rsidRDefault="00903532" w:rsidP="007A47BA">
      <w:pPr>
        <w:pStyle w:val="Heading3"/>
        <w:shd w:val="clear" w:color="auto" w:fill="FFFFFF"/>
        <w:spacing w:after="240" w:line="450" w:lineRule="atLeast"/>
        <w:rPr>
          <w:rFonts w:ascii="Arial" w:eastAsia="Times New Roman" w:hAnsi="Arial" w:cs="Arial"/>
          <w:color w:val="0F1115"/>
        </w:rPr>
      </w:pPr>
      <w:r>
        <w:t xml:space="preserve">               </w:t>
      </w:r>
      <w:r w:rsidRPr="00903532">
        <w:rPr>
          <w:rFonts w:ascii="Arial" w:eastAsia="Times New Roman" w:hAnsi="Arial" w:cs="Arial"/>
          <w:color w:val="0F1115"/>
        </w:rPr>
        <w:t>Two Key Fairness Risks and Mitigation Strategies</w:t>
      </w:r>
      <w:r w:rsidR="007A47BA">
        <w:rPr>
          <w:rFonts w:ascii="Arial" w:eastAsia="Times New Roman" w:hAnsi="Arial" w:cs="Arial"/>
          <w:color w:val="0F1115"/>
        </w:rPr>
        <w:t>:</w:t>
      </w:r>
    </w:p>
    <w:p w14:paraId="7000A7B4" w14:textId="77777777" w:rsidR="007A47BA" w:rsidRPr="007A47BA" w:rsidRDefault="00903532" w:rsidP="007A47BA">
      <w:pPr>
        <w:pStyle w:val="Heading3"/>
        <w:numPr>
          <w:ilvl w:val="0"/>
          <w:numId w:val="27"/>
        </w:numPr>
        <w:shd w:val="clear" w:color="auto" w:fill="FFFFFF"/>
        <w:spacing w:after="240" w:line="450" w:lineRule="atLeast"/>
        <w:rPr>
          <w:rFonts w:ascii="Arial" w:eastAsia="Times New Roman" w:hAnsi="Arial" w:cs="Arial"/>
          <w:b w:val="0"/>
          <w:color w:val="0F1115"/>
        </w:rPr>
      </w:pPr>
      <w:r w:rsidRPr="007A47BA">
        <w:rPr>
          <w:rFonts w:ascii="Arial" w:eastAsia="Times New Roman" w:hAnsi="Arial" w:cs="Arial"/>
          <w:bCs w:val="0"/>
          <w:color w:val="0F1115"/>
          <w:sz w:val="20"/>
          <w:szCs w:val="20"/>
        </w:rPr>
        <w:t>Geographic/Postal Code Bias</w:t>
      </w:r>
      <w:r w:rsidRPr="007A47BA">
        <w:rPr>
          <w:rFonts w:ascii="Arial" w:eastAsia="Times New Roman" w:hAnsi="Arial" w:cs="Arial"/>
          <w:color w:val="0F1115"/>
          <w:sz w:val="20"/>
          <w:szCs w:val="20"/>
        </w:rPr>
        <w:br/>
      </w:r>
      <w:r w:rsidRPr="007A47BA">
        <w:rPr>
          <w:rFonts w:ascii="Arial" w:eastAsia="Times New Roman" w:hAnsi="Arial" w:cs="Arial"/>
          <w:bCs w:val="0"/>
          <w:color w:val="0F1115"/>
          <w:sz w:val="20"/>
          <w:szCs w:val="20"/>
        </w:rPr>
        <w:t>Risk:</w:t>
      </w:r>
      <w:r w:rsidRPr="007A47BA">
        <w:rPr>
          <w:rFonts w:ascii="Arial" w:eastAsia="Times New Roman" w:hAnsi="Arial" w:cs="Arial"/>
          <w:color w:val="0F1115"/>
          <w:sz w:val="20"/>
          <w:szCs w:val="20"/>
        </w:rPr>
        <w:t> </w:t>
      </w:r>
      <w:r w:rsidRPr="007A47BA">
        <w:rPr>
          <w:rFonts w:ascii="Arial" w:eastAsia="Times New Roman" w:hAnsi="Arial" w:cs="Arial"/>
          <w:b w:val="0"/>
          <w:color w:val="0F1115"/>
          <w:sz w:val="20"/>
          <w:szCs w:val="20"/>
        </w:rPr>
        <w:t>The model may learn to associate certain ZIP codes or cities with higher delinquency risk, which could indirectly discriminate against residents of those areas (often correlated with race, age, or socioeconomic status).</w:t>
      </w:r>
    </w:p>
    <w:p w14:paraId="453B934E" w14:textId="77777777" w:rsidR="007A47BA" w:rsidRDefault="00903532" w:rsidP="007A47BA">
      <w:pPr>
        <w:pStyle w:val="Heading3"/>
        <w:shd w:val="clear" w:color="auto" w:fill="FFFFFF"/>
        <w:spacing w:after="240" w:line="450" w:lineRule="atLeast"/>
        <w:ind w:left="720"/>
        <w:rPr>
          <w:rFonts w:ascii="Arial" w:eastAsia="Times New Roman" w:hAnsi="Arial" w:cs="Arial"/>
          <w:color w:val="0F1115"/>
          <w:sz w:val="20"/>
          <w:szCs w:val="20"/>
        </w:rPr>
      </w:pPr>
      <w:r w:rsidRPr="007A47BA">
        <w:rPr>
          <w:rFonts w:ascii="Arial" w:eastAsia="Times New Roman" w:hAnsi="Arial" w:cs="Arial"/>
          <w:color w:val="0F1115"/>
          <w:sz w:val="20"/>
          <w:szCs w:val="20"/>
        </w:rPr>
        <w:t>Mitigation:</w:t>
      </w:r>
    </w:p>
    <w:p w14:paraId="58459179" w14:textId="198EEF14" w:rsidR="00903532" w:rsidRPr="007A47BA" w:rsidRDefault="00903532" w:rsidP="007A47BA">
      <w:pPr>
        <w:pStyle w:val="Heading3"/>
        <w:numPr>
          <w:ilvl w:val="0"/>
          <w:numId w:val="22"/>
        </w:numPr>
        <w:shd w:val="clear" w:color="auto" w:fill="FFFFFF"/>
        <w:spacing w:after="240" w:line="450" w:lineRule="atLeast"/>
        <w:rPr>
          <w:rFonts w:ascii="Arial" w:eastAsia="Times New Roman" w:hAnsi="Arial" w:cs="Arial"/>
          <w:b w:val="0"/>
          <w:color w:val="0F1115"/>
        </w:rPr>
      </w:pPr>
      <w:r w:rsidRPr="00903532">
        <w:rPr>
          <w:rFonts w:ascii="Arial" w:eastAsia="Times New Roman" w:hAnsi="Arial" w:cs="Arial"/>
          <w:b w:val="0"/>
          <w:bCs w:val="0"/>
          <w:color w:val="0F1115"/>
          <w:sz w:val="20"/>
          <w:szCs w:val="20"/>
        </w:rPr>
        <w:t>Remove granular location data</w:t>
      </w:r>
      <w:r w:rsidRPr="00903532">
        <w:rPr>
          <w:rFonts w:ascii="Arial" w:eastAsia="Times New Roman" w:hAnsi="Arial" w:cs="Arial"/>
          <w:color w:val="0F1115"/>
          <w:sz w:val="20"/>
          <w:szCs w:val="20"/>
        </w:rPr>
        <w:t xml:space="preserve"> like exact ZIP codes. </w:t>
      </w:r>
      <w:r w:rsidRPr="007A47BA">
        <w:rPr>
          <w:rFonts w:ascii="Arial" w:eastAsia="Times New Roman" w:hAnsi="Arial" w:cs="Arial"/>
          <w:b w:val="0"/>
          <w:color w:val="0F1115"/>
          <w:sz w:val="20"/>
          <w:szCs w:val="20"/>
        </w:rPr>
        <w:t>Use broader, less sensitive regional indicators instead.</w:t>
      </w:r>
    </w:p>
    <w:p w14:paraId="7FEAC531" w14:textId="77777777" w:rsidR="00903532" w:rsidRPr="007A47BA" w:rsidRDefault="00903532" w:rsidP="007A47BA">
      <w:pPr>
        <w:pStyle w:val="ListParagraph"/>
        <w:numPr>
          <w:ilvl w:val="0"/>
          <w:numId w:val="22"/>
        </w:numPr>
        <w:shd w:val="clear" w:color="auto" w:fill="FFFFFF"/>
        <w:spacing w:before="100" w:beforeAutospacing="1" w:after="0" w:line="240" w:lineRule="auto"/>
        <w:rPr>
          <w:rFonts w:ascii="Arial" w:eastAsia="Times New Roman" w:hAnsi="Arial" w:cs="Arial"/>
          <w:color w:val="0F1115"/>
          <w:sz w:val="20"/>
          <w:szCs w:val="20"/>
        </w:rPr>
      </w:pPr>
      <w:r w:rsidRPr="007A47BA">
        <w:rPr>
          <w:rFonts w:ascii="Arial" w:eastAsia="Times New Roman" w:hAnsi="Arial" w:cs="Arial"/>
          <w:b/>
          <w:bCs/>
          <w:color w:val="0F1115"/>
          <w:sz w:val="20"/>
          <w:szCs w:val="20"/>
        </w:rPr>
        <w:t>Apply adversarial debiasing</w:t>
      </w:r>
      <w:r w:rsidRPr="007A47BA">
        <w:rPr>
          <w:rFonts w:ascii="Arial" w:eastAsia="Times New Roman" w:hAnsi="Arial" w:cs="Arial"/>
          <w:color w:val="0F1115"/>
          <w:sz w:val="20"/>
          <w:szCs w:val="20"/>
        </w:rPr>
        <w:t> during model training to prevent the algorithm from learning protected attribute proxies.</w:t>
      </w:r>
    </w:p>
    <w:p w14:paraId="6C9BE63A" w14:textId="77777777" w:rsidR="00903532" w:rsidRPr="00903532" w:rsidRDefault="00903532" w:rsidP="007A47BA">
      <w:pPr>
        <w:numPr>
          <w:ilvl w:val="0"/>
          <w:numId w:val="22"/>
        </w:numPr>
        <w:shd w:val="clear" w:color="auto" w:fill="FFFFFF"/>
        <w:spacing w:before="100" w:beforeAutospacing="1" w:after="0" w:line="240" w:lineRule="auto"/>
        <w:rPr>
          <w:rFonts w:ascii="Arial" w:eastAsia="Times New Roman" w:hAnsi="Arial" w:cs="Arial"/>
          <w:color w:val="0F1115"/>
          <w:sz w:val="20"/>
          <w:szCs w:val="20"/>
        </w:rPr>
      </w:pPr>
      <w:r w:rsidRPr="00903532">
        <w:rPr>
          <w:rFonts w:ascii="Arial" w:eastAsia="Times New Roman" w:hAnsi="Arial" w:cs="Arial"/>
          <w:b/>
          <w:bCs/>
          <w:color w:val="0F1115"/>
          <w:sz w:val="20"/>
          <w:szCs w:val="20"/>
        </w:rPr>
        <w:t>Regularly audit predictions</w:t>
      </w:r>
      <w:r w:rsidRPr="00903532">
        <w:rPr>
          <w:rFonts w:ascii="Arial" w:eastAsia="Times New Roman" w:hAnsi="Arial" w:cs="Arial"/>
          <w:color w:val="0F1115"/>
          <w:sz w:val="20"/>
          <w:szCs w:val="20"/>
        </w:rPr>
        <w:t> across geographic segments using disparate impact ratios to detect hidden bias.</w:t>
      </w:r>
    </w:p>
    <w:p w14:paraId="4C1ABAF9" w14:textId="77777777" w:rsidR="007A47BA" w:rsidRDefault="00903532" w:rsidP="00903532">
      <w:pPr>
        <w:pStyle w:val="ListParagraph"/>
        <w:numPr>
          <w:ilvl w:val="0"/>
          <w:numId w:val="27"/>
        </w:numPr>
        <w:shd w:val="clear" w:color="auto" w:fill="FFFFFF"/>
        <w:spacing w:before="240" w:after="240" w:line="240" w:lineRule="auto"/>
        <w:rPr>
          <w:rFonts w:ascii="Arial" w:eastAsia="Times New Roman" w:hAnsi="Arial" w:cs="Arial"/>
          <w:color w:val="0F1115"/>
          <w:sz w:val="20"/>
          <w:szCs w:val="20"/>
        </w:rPr>
      </w:pPr>
      <w:r w:rsidRPr="007A47BA">
        <w:rPr>
          <w:rFonts w:ascii="Arial" w:eastAsia="Times New Roman" w:hAnsi="Arial" w:cs="Arial"/>
          <w:b/>
          <w:bCs/>
          <w:color w:val="0F1115"/>
          <w:sz w:val="20"/>
          <w:szCs w:val="20"/>
        </w:rPr>
        <w:t xml:space="preserve">Income-Based Disparate Impact ("Poverty Penalty") </w:t>
      </w:r>
      <w:r w:rsidRPr="007A47BA">
        <w:rPr>
          <w:rFonts w:ascii="Arial" w:eastAsia="Times New Roman" w:hAnsi="Arial" w:cs="Arial"/>
          <w:color w:val="0F1115"/>
          <w:sz w:val="20"/>
          <w:szCs w:val="20"/>
        </w:rPr>
        <w:br/>
      </w:r>
      <w:r w:rsidRPr="007A47BA">
        <w:rPr>
          <w:rFonts w:ascii="Arial" w:eastAsia="Times New Roman" w:hAnsi="Arial" w:cs="Arial"/>
          <w:b/>
          <w:bCs/>
          <w:color w:val="0F1115"/>
          <w:sz w:val="20"/>
          <w:szCs w:val="20"/>
        </w:rPr>
        <w:t>Risk:</w:t>
      </w:r>
      <w:r w:rsidRPr="007A47BA">
        <w:rPr>
          <w:rFonts w:ascii="Arial" w:eastAsia="Times New Roman" w:hAnsi="Arial" w:cs="Arial"/>
          <w:color w:val="0F1115"/>
          <w:sz w:val="20"/>
          <w:szCs w:val="20"/>
        </w:rPr>
        <w:t> Lower-income customers may consistently receive higher risk scores due to financial constraints (e.g., higher credit utilization out of necessity), unfairly limiting their access to credit.</w:t>
      </w:r>
    </w:p>
    <w:p w14:paraId="0B186DDF" w14:textId="77777777" w:rsidR="007A47BA" w:rsidRDefault="00903532" w:rsidP="007A47BA">
      <w:pPr>
        <w:pStyle w:val="ListParagraph"/>
        <w:shd w:val="clear" w:color="auto" w:fill="FFFFFF"/>
        <w:spacing w:before="240" w:after="240" w:line="240" w:lineRule="auto"/>
        <w:rPr>
          <w:rFonts w:ascii="Arial" w:eastAsia="Times New Roman" w:hAnsi="Arial" w:cs="Arial"/>
          <w:b/>
          <w:bCs/>
          <w:color w:val="0F1115"/>
          <w:sz w:val="20"/>
          <w:szCs w:val="20"/>
        </w:rPr>
      </w:pPr>
      <w:r w:rsidRPr="007A47BA">
        <w:rPr>
          <w:rFonts w:ascii="Arial" w:eastAsia="Times New Roman" w:hAnsi="Arial" w:cs="Arial"/>
          <w:b/>
          <w:bCs/>
          <w:color w:val="0F1115"/>
          <w:sz w:val="20"/>
          <w:szCs w:val="20"/>
        </w:rPr>
        <w:t>Mitigation:</w:t>
      </w:r>
    </w:p>
    <w:p w14:paraId="3D9CACC5" w14:textId="433BBA8F" w:rsidR="00903532" w:rsidRPr="00903532" w:rsidRDefault="00903532" w:rsidP="007A47BA">
      <w:pPr>
        <w:pStyle w:val="ListParagraph"/>
        <w:numPr>
          <w:ilvl w:val="0"/>
          <w:numId w:val="28"/>
        </w:numPr>
        <w:shd w:val="clear" w:color="auto" w:fill="FFFFFF"/>
        <w:spacing w:before="240" w:after="240" w:line="240" w:lineRule="auto"/>
        <w:rPr>
          <w:rFonts w:ascii="Arial" w:eastAsia="Times New Roman" w:hAnsi="Arial" w:cs="Arial"/>
          <w:color w:val="0F1115"/>
          <w:sz w:val="20"/>
          <w:szCs w:val="20"/>
        </w:rPr>
      </w:pPr>
      <w:r w:rsidRPr="00903532">
        <w:rPr>
          <w:rFonts w:ascii="Arial" w:eastAsia="Times New Roman" w:hAnsi="Arial" w:cs="Arial"/>
          <w:b/>
          <w:bCs/>
          <w:color w:val="0F1115"/>
          <w:sz w:val="20"/>
          <w:szCs w:val="20"/>
        </w:rPr>
        <w:t>Use income-normalized features</w:t>
      </w:r>
      <w:r w:rsidRPr="00903532">
        <w:rPr>
          <w:rFonts w:ascii="Arial" w:eastAsia="Times New Roman" w:hAnsi="Arial" w:cs="Arial"/>
          <w:color w:val="0F1115"/>
          <w:sz w:val="20"/>
          <w:szCs w:val="20"/>
        </w:rPr>
        <w:t> such as residual income or debt-to-disposable-income ratios instead of raw income or DTI.</w:t>
      </w:r>
    </w:p>
    <w:p w14:paraId="3E9CD928" w14:textId="77777777" w:rsidR="00903532" w:rsidRPr="00903532" w:rsidRDefault="00903532" w:rsidP="007A47BA">
      <w:pPr>
        <w:numPr>
          <w:ilvl w:val="0"/>
          <w:numId w:val="28"/>
        </w:numPr>
        <w:shd w:val="clear" w:color="auto" w:fill="FFFFFF"/>
        <w:spacing w:before="100" w:beforeAutospacing="1" w:after="0" w:line="240" w:lineRule="auto"/>
        <w:rPr>
          <w:rFonts w:ascii="Arial" w:eastAsia="Times New Roman" w:hAnsi="Arial" w:cs="Arial"/>
          <w:color w:val="0F1115"/>
          <w:sz w:val="20"/>
          <w:szCs w:val="20"/>
        </w:rPr>
      </w:pPr>
      <w:r w:rsidRPr="00903532">
        <w:rPr>
          <w:rFonts w:ascii="Arial" w:eastAsia="Times New Roman" w:hAnsi="Arial" w:cs="Arial"/>
          <w:b/>
          <w:bCs/>
          <w:color w:val="0F1115"/>
          <w:sz w:val="20"/>
          <w:szCs w:val="20"/>
        </w:rPr>
        <w:t>Introduce different decision thresholds</w:t>
      </w:r>
      <w:r w:rsidRPr="00903532">
        <w:rPr>
          <w:rFonts w:ascii="Arial" w:eastAsia="Times New Roman" w:hAnsi="Arial" w:cs="Arial"/>
          <w:color w:val="0F1115"/>
          <w:sz w:val="20"/>
          <w:szCs w:val="20"/>
        </w:rPr>
        <w:t> for different income brackets to ensure equal opportunity.</w:t>
      </w:r>
    </w:p>
    <w:p w14:paraId="2243BA56" w14:textId="77777777" w:rsidR="00903532" w:rsidRPr="00903532" w:rsidRDefault="00903532" w:rsidP="007A47BA">
      <w:pPr>
        <w:numPr>
          <w:ilvl w:val="0"/>
          <w:numId w:val="28"/>
        </w:numPr>
        <w:shd w:val="clear" w:color="auto" w:fill="FFFFFF"/>
        <w:spacing w:before="100" w:beforeAutospacing="1" w:after="0" w:line="240" w:lineRule="auto"/>
        <w:rPr>
          <w:rFonts w:ascii="Arial" w:eastAsia="Times New Roman" w:hAnsi="Arial" w:cs="Arial"/>
          <w:color w:val="0F1115"/>
          <w:sz w:val="20"/>
          <w:szCs w:val="20"/>
        </w:rPr>
      </w:pPr>
      <w:r w:rsidRPr="00903532">
        <w:rPr>
          <w:rFonts w:ascii="Arial" w:eastAsia="Times New Roman" w:hAnsi="Arial" w:cs="Arial"/>
          <w:b/>
          <w:bCs/>
          <w:color w:val="0F1115"/>
          <w:sz w:val="20"/>
          <w:szCs w:val="20"/>
        </w:rPr>
        <w:t>Include positive non-traditional data</w:t>
      </w:r>
      <w:r w:rsidRPr="00903532">
        <w:rPr>
          <w:rFonts w:ascii="Arial" w:eastAsia="Times New Roman" w:hAnsi="Arial" w:cs="Arial"/>
          <w:color w:val="0F1115"/>
          <w:sz w:val="20"/>
          <w:szCs w:val="20"/>
        </w:rPr>
        <w:t> (e.g., consistent rent or utility payments) as compensating factors for customers with lower incomes.</w:t>
      </w:r>
    </w:p>
    <w:p w14:paraId="4781F403" w14:textId="5F7AF81F" w:rsidR="00903532" w:rsidRPr="00903532" w:rsidRDefault="00903532" w:rsidP="00903532">
      <w:pPr>
        <w:rPr>
          <w:rFonts w:ascii="Arial" w:hAnsi="Arial" w:cs="Arial"/>
          <w:sz w:val="20"/>
          <w:szCs w:val="20"/>
        </w:rPr>
      </w:pPr>
    </w:p>
    <w:p w14:paraId="33EC1793" w14:textId="58DA41B7" w:rsidR="007D72C2" w:rsidRPr="00903532" w:rsidRDefault="007D72C2">
      <w:pPr>
        <w:rPr>
          <w:rFonts w:ascii="Arial" w:hAnsi="Arial" w:cs="Arial"/>
          <w:color w:val="000000" w:themeColor="text1"/>
          <w:sz w:val="20"/>
          <w:szCs w:val="20"/>
        </w:rPr>
      </w:pPr>
    </w:p>
    <w:sectPr w:rsidR="007D72C2" w:rsidRPr="009035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E91737"/>
    <w:multiLevelType w:val="hybridMultilevel"/>
    <w:tmpl w:val="BBD0C42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9535EB1"/>
    <w:multiLevelType w:val="multilevel"/>
    <w:tmpl w:val="E5B0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95E0066"/>
    <w:multiLevelType w:val="hybridMultilevel"/>
    <w:tmpl w:val="2D0C7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DAF2024"/>
    <w:multiLevelType w:val="hybridMultilevel"/>
    <w:tmpl w:val="1892DE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19145A85"/>
    <w:multiLevelType w:val="multilevel"/>
    <w:tmpl w:val="C5BA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C510C8"/>
    <w:multiLevelType w:val="hybridMultilevel"/>
    <w:tmpl w:val="44C00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5A073C"/>
    <w:multiLevelType w:val="hybridMultilevel"/>
    <w:tmpl w:val="9C525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6DF7D03"/>
    <w:multiLevelType w:val="multilevel"/>
    <w:tmpl w:val="6050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A765B1"/>
    <w:multiLevelType w:val="hybridMultilevel"/>
    <w:tmpl w:val="2A2C1EA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3E86C9A"/>
    <w:multiLevelType w:val="hybridMultilevel"/>
    <w:tmpl w:val="11FEB8E4"/>
    <w:lvl w:ilvl="0" w:tplc="702224F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EBF1ED7"/>
    <w:multiLevelType w:val="hybridMultilevel"/>
    <w:tmpl w:val="2C006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DD7F62"/>
    <w:multiLevelType w:val="hybridMultilevel"/>
    <w:tmpl w:val="6CF0CA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0737504"/>
    <w:multiLevelType w:val="multilevel"/>
    <w:tmpl w:val="C9C4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7036B8"/>
    <w:multiLevelType w:val="hybridMultilevel"/>
    <w:tmpl w:val="D9E001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B0A22A7"/>
    <w:multiLevelType w:val="multilevel"/>
    <w:tmpl w:val="1690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4140624"/>
    <w:multiLevelType w:val="hybridMultilevel"/>
    <w:tmpl w:val="775697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59523CA"/>
    <w:multiLevelType w:val="hybridMultilevel"/>
    <w:tmpl w:val="AA6C86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60F7353"/>
    <w:multiLevelType w:val="multilevel"/>
    <w:tmpl w:val="22B4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9214119"/>
    <w:multiLevelType w:val="hybridMultilevel"/>
    <w:tmpl w:val="60981A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21"/>
  </w:num>
  <w:num w:numId="12">
    <w:abstractNumId w:val="11"/>
  </w:num>
  <w:num w:numId="13">
    <w:abstractNumId w:val="23"/>
  </w:num>
  <w:num w:numId="14">
    <w:abstractNumId w:val="27"/>
  </w:num>
  <w:num w:numId="15">
    <w:abstractNumId w:val="17"/>
  </w:num>
  <w:num w:numId="16">
    <w:abstractNumId w:val="24"/>
  </w:num>
  <w:num w:numId="17">
    <w:abstractNumId w:val="16"/>
  </w:num>
  <w:num w:numId="18">
    <w:abstractNumId w:val="26"/>
  </w:num>
  <w:num w:numId="19">
    <w:abstractNumId w:val="12"/>
  </w:num>
  <w:num w:numId="20">
    <w:abstractNumId w:val="25"/>
  </w:num>
  <w:num w:numId="21">
    <w:abstractNumId w:val="9"/>
  </w:num>
  <w:num w:numId="22">
    <w:abstractNumId w:val="19"/>
  </w:num>
  <w:num w:numId="23">
    <w:abstractNumId w:val="20"/>
  </w:num>
  <w:num w:numId="24">
    <w:abstractNumId w:val="18"/>
  </w:num>
  <w:num w:numId="25">
    <w:abstractNumId w:val="10"/>
  </w:num>
  <w:num w:numId="26">
    <w:abstractNumId w:val="13"/>
  </w:num>
  <w:num w:numId="27">
    <w:abstractNumId w:val="14"/>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4B89"/>
    <w:rsid w:val="00782C7B"/>
    <w:rsid w:val="007A47BA"/>
    <w:rsid w:val="007D72C2"/>
    <w:rsid w:val="008237CA"/>
    <w:rsid w:val="0087400B"/>
    <w:rsid w:val="00903532"/>
    <w:rsid w:val="00A537D1"/>
    <w:rsid w:val="00AA1D8D"/>
    <w:rsid w:val="00B47730"/>
    <w:rsid w:val="00B84A37"/>
    <w:rsid w:val="00CB0664"/>
    <w:rsid w:val="00F80C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customStyle="1" w:styleId="ds-markdown-paragraph">
    <w:name w:val="ds-markdown-paragraph"/>
    <w:basedOn w:val="Normal"/>
    <w:rsid w:val="00782C7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customStyle="1" w:styleId="ds-markdown-paragraph">
    <w:name w:val="ds-markdown-paragraph"/>
    <w:basedOn w:val="Normal"/>
    <w:rsid w:val="00782C7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09196">
      <w:bodyDiv w:val="1"/>
      <w:marLeft w:val="0"/>
      <w:marRight w:val="0"/>
      <w:marTop w:val="0"/>
      <w:marBottom w:val="0"/>
      <w:divBdr>
        <w:top w:val="none" w:sz="0" w:space="0" w:color="auto"/>
        <w:left w:val="none" w:sz="0" w:space="0" w:color="auto"/>
        <w:bottom w:val="none" w:sz="0" w:space="0" w:color="auto"/>
        <w:right w:val="none" w:sz="0" w:space="0" w:color="auto"/>
      </w:divBdr>
    </w:div>
    <w:div w:id="347222458">
      <w:bodyDiv w:val="1"/>
      <w:marLeft w:val="0"/>
      <w:marRight w:val="0"/>
      <w:marTop w:val="0"/>
      <w:marBottom w:val="0"/>
      <w:divBdr>
        <w:top w:val="none" w:sz="0" w:space="0" w:color="auto"/>
        <w:left w:val="none" w:sz="0" w:space="0" w:color="auto"/>
        <w:bottom w:val="none" w:sz="0" w:space="0" w:color="auto"/>
        <w:right w:val="none" w:sz="0" w:space="0" w:color="auto"/>
      </w:divBdr>
    </w:div>
    <w:div w:id="717629200">
      <w:bodyDiv w:val="1"/>
      <w:marLeft w:val="0"/>
      <w:marRight w:val="0"/>
      <w:marTop w:val="0"/>
      <w:marBottom w:val="0"/>
      <w:divBdr>
        <w:top w:val="none" w:sz="0" w:space="0" w:color="auto"/>
        <w:left w:val="none" w:sz="0" w:space="0" w:color="auto"/>
        <w:bottom w:val="none" w:sz="0" w:space="0" w:color="auto"/>
        <w:right w:val="none" w:sz="0" w:space="0" w:color="auto"/>
      </w:divBdr>
    </w:div>
    <w:div w:id="748962019">
      <w:bodyDiv w:val="1"/>
      <w:marLeft w:val="0"/>
      <w:marRight w:val="0"/>
      <w:marTop w:val="0"/>
      <w:marBottom w:val="0"/>
      <w:divBdr>
        <w:top w:val="none" w:sz="0" w:space="0" w:color="auto"/>
        <w:left w:val="none" w:sz="0" w:space="0" w:color="auto"/>
        <w:bottom w:val="none" w:sz="0" w:space="0" w:color="auto"/>
        <w:right w:val="none" w:sz="0" w:space="0" w:color="auto"/>
      </w:divBdr>
      <w:divsChild>
        <w:div w:id="2090229368">
          <w:marLeft w:val="660"/>
          <w:marRight w:val="660"/>
          <w:marTop w:val="0"/>
          <w:marBottom w:val="360"/>
          <w:divBdr>
            <w:top w:val="none" w:sz="0" w:space="0" w:color="auto"/>
            <w:left w:val="none" w:sz="0" w:space="0" w:color="auto"/>
            <w:bottom w:val="none" w:sz="0" w:space="0" w:color="auto"/>
            <w:right w:val="none" w:sz="0" w:space="0" w:color="auto"/>
          </w:divBdr>
          <w:divsChild>
            <w:div w:id="914777141">
              <w:marLeft w:val="0"/>
              <w:marRight w:val="0"/>
              <w:marTop w:val="0"/>
              <w:marBottom w:val="0"/>
              <w:divBdr>
                <w:top w:val="none" w:sz="0" w:space="0" w:color="auto"/>
                <w:left w:val="none" w:sz="0" w:space="0" w:color="auto"/>
                <w:bottom w:val="none" w:sz="0" w:space="0" w:color="auto"/>
                <w:right w:val="none" w:sz="0" w:space="0" w:color="auto"/>
              </w:divBdr>
              <w:divsChild>
                <w:div w:id="1939016836">
                  <w:marLeft w:val="0"/>
                  <w:marRight w:val="0"/>
                  <w:marTop w:val="0"/>
                  <w:marBottom w:val="0"/>
                  <w:divBdr>
                    <w:top w:val="none" w:sz="0" w:space="0" w:color="auto"/>
                    <w:left w:val="none" w:sz="0" w:space="0" w:color="auto"/>
                    <w:bottom w:val="none" w:sz="0" w:space="0" w:color="auto"/>
                    <w:right w:val="none" w:sz="0" w:space="0" w:color="auto"/>
                  </w:divBdr>
                  <w:divsChild>
                    <w:div w:id="20985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082806">
          <w:marLeft w:val="480"/>
          <w:marRight w:val="480"/>
          <w:marTop w:val="100"/>
          <w:marBottom w:val="0"/>
          <w:divBdr>
            <w:top w:val="none" w:sz="0" w:space="0" w:color="auto"/>
            <w:left w:val="none" w:sz="0" w:space="0" w:color="auto"/>
            <w:bottom w:val="none" w:sz="0" w:space="0" w:color="auto"/>
            <w:right w:val="none" w:sz="0" w:space="0" w:color="auto"/>
          </w:divBdr>
          <w:divsChild>
            <w:div w:id="227036909">
              <w:marLeft w:val="0"/>
              <w:marRight w:val="0"/>
              <w:marTop w:val="0"/>
              <w:marBottom w:val="0"/>
              <w:divBdr>
                <w:top w:val="none" w:sz="0" w:space="0" w:color="auto"/>
                <w:left w:val="none" w:sz="0" w:space="0" w:color="auto"/>
                <w:bottom w:val="none" w:sz="0" w:space="0" w:color="auto"/>
                <w:right w:val="none" w:sz="0" w:space="0" w:color="auto"/>
              </w:divBdr>
              <w:divsChild>
                <w:div w:id="168763117">
                  <w:marLeft w:val="0"/>
                  <w:marRight w:val="0"/>
                  <w:marTop w:val="0"/>
                  <w:marBottom w:val="0"/>
                  <w:divBdr>
                    <w:top w:val="single" w:sz="6" w:space="0" w:color="auto"/>
                    <w:left w:val="single" w:sz="6" w:space="0" w:color="auto"/>
                    <w:bottom w:val="single" w:sz="6" w:space="0" w:color="auto"/>
                    <w:right w:val="single" w:sz="6" w:space="0" w:color="auto"/>
                  </w:divBdr>
                  <w:divsChild>
                    <w:div w:id="2055736861">
                      <w:marLeft w:val="0"/>
                      <w:marRight w:val="0"/>
                      <w:marTop w:val="0"/>
                      <w:marBottom w:val="0"/>
                      <w:divBdr>
                        <w:top w:val="none" w:sz="0" w:space="0" w:color="auto"/>
                        <w:left w:val="none" w:sz="0" w:space="0" w:color="auto"/>
                        <w:bottom w:val="none" w:sz="0" w:space="0" w:color="auto"/>
                        <w:right w:val="none" w:sz="0" w:space="0" w:color="auto"/>
                      </w:divBdr>
                      <w:divsChild>
                        <w:div w:id="12849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656232">
      <w:bodyDiv w:val="1"/>
      <w:marLeft w:val="0"/>
      <w:marRight w:val="0"/>
      <w:marTop w:val="0"/>
      <w:marBottom w:val="0"/>
      <w:divBdr>
        <w:top w:val="none" w:sz="0" w:space="0" w:color="auto"/>
        <w:left w:val="none" w:sz="0" w:space="0" w:color="auto"/>
        <w:bottom w:val="none" w:sz="0" w:space="0" w:color="auto"/>
        <w:right w:val="none" w:sz="0" w:space="0" w:color="auto"/>
      </w:divBdr>
    </w:div>
    <w:div w:id="1564831627">
      <w:bodyDiv w:val="1"/>
      <w:marLeft w:val="0"/>
      <w:marRight w:val="0"/>
      <w:marTop w:val="0"/>
      <w:marBottom w:val="0"/>
      <w:divBdr>
        <w:top w:val="none" w:sz="0" w:space="0" w:color="auto"/>
        <w:left w:val="none" w:sz="0" w:space="0" w:color="auto"/>
        <w:bottom w:val="none" w:sz="0" w:space="0" w:color="auto"/>
        <w:right w:val="none" w:sz="0" w:space="0" w:color="auto"/>
      </w:divBdr>
    </w:div>
    <w:div w:id="20479475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E6EC7D-C57C-46EE-8519-9A721A274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2</Pages>
  <Words>474</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2025-12-06T22:34:00Z</dcterms:modified>
  <cp:category/>
</cp:coreProperties>
</file>