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Calibri" w:cs="Calibri" w:eastAsia="Calibri" w:hAnsi="Calibri"/>
          <w:b/>
          <w:bCs/>
          <w:color w:val="0F8B8D"/>
          <w:spacing w:val="60"/>
          <w:sz w:val="22"/>
          <w:szCs w:val="22"/>
        </w:rPr>
        <w:t xml:space="preserve">EXECUTIVE BUSINESS REPORT</w:t>
      </w:r>
    </w:p>
    <w:p>
      <w:pPr>
        <w:pBdr>
          <w:bottom w:val="single" w:color="0F8B8D" w:sz="12" w:space="6"/>
        </w:pBdr>
        <w:spacing w:after="200"/>
      </w:pPr>
      <w:r>
        <w:rPr>
          <w:rFonts w:ascii="Calibri" w:cs="Calibri" w:eastAsia="Calibri" w:hAnsi="Calibri"/>
          <w:color w:val="5A6B7B"/>
          <w:sz w:val="26"/>
          <w:szCs w:val="26"/>
        </w:rPr>
        <w:t xml:space="preserve">Strategic Retention Directive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3A5F"/>
          <w:sz w:val="68"/>
          <w:szCs w:val="68"/>
        </w:rPr>
        <w:t xml:space="preserve">Project “Bye Bye Churn”</w:t>
      </w:r>
    </w:p>
    <w:p>
      <w:pPr>
        <w:spacing w:after="500"/>
      </w:pPr>
      <w:r>
        <w:rPr>
          <w:rFonts w:ascii="Calibri" w:cs="Calibri" w:eastAsia="Calibri" w:hAnsi="Calibri"/>
          <w:color w:val="0F8B8D"/>
          <w:sz w:val="36"/>
          <w:szCs w:val="36"/>
        </w:rPr>
        <w:t xml:space="preserve">Predictive Retention Intelligence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6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Project Members</w:t>
            </w:r>
          </w:p>
        </w:tc>
        <w:tc>
          <w:tcPr>
            <w:tcW w:type="dxa" w:w="6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Muhammad Farooq Adnan Khan, Laiba Shahid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Dataset &amp; Scope</w:t>
            </w:r>
          </w:p>
        </w:tc>
        <w:tc>
          <w:tcPr>
            <w:tcW w:type="dxa" w:w="6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Telecommunications Customer Cohort (N = 7,043 accounts)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Attrition (Churn: 0 = Retained, 1 = Churned; Base Incidence: 26.54%)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Core Deliverables</w:t>
            </w:r>
          </w:p>
        </w:tc>
        <w:tc>
          <w:tcPr>
            <w:tcW w:type="dxa" w:w="6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ML pipeline (bye_bye_churn_pipeline.joblib), Master Risk Dataset (risk_scores.csv), Global/Local SHAP interpretability suite, Interactive Intelligence Dashboard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Executive Summary &amp; Financial Exposure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Customer attrition is a silent drain on corporate cash reserves and significantly deflates aggregate Customer Lifetime Value (LTV). Across the baseline cohort of 7,043 audited subscribers, 26.54% (1,869 accounts) discontinued their services. Reactive retention strategies, such as making counter-offers after a customer requests cancellation, yield negligible conversion at elevated operational expense.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move commercial operations to a preemptive retention framework, an end-to-end machine learning engine was built around a calibrated Extreme Gradient Boosting (XGBoost) pipeline. Rather than issuing binary decisions at arbitrary cutoffs, the engine evaluates well-calibrated churn likelihoods for each account against enterprise misclassification economics: a $780 forfeiture per missed churner versus a $150 incentive cost per wasted offer.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0F8B8D" w:sz="18"/>
              <w:left w:val="single" w:color="CBD5DE" w:sz="4"/>
              <w:bottom w:val="single" w:color="CBD5DE" w:sz="4"/>
              <w:right w:val="single" w:color="CBD5DE" w:sz="4"/>
            </w:tcBorders>
            <w:shd w:fill="EAF2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6"/>
                <w:szCs w:val="36"/>
              </w:rPr>
              <w:t xml:space="preserve">7,043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7"/>
                <w:szCs w:val="17"/>
              </w:rPr>
              <w:t xml:space="preserve">Audited subscribers</w:t>
            </w:r>
          </w:p>
        </w:tc>
        <w:tc>
          <w:tcPr>
            <w:tcW w:type="dxa" w:w="2256"/>
            <w:tcBorders>
              <w:top w:val="single" w:color="0F8B8D" w:sz="18"/>
              <w:left w:val="single" w:color="CBD5DE" w:sz="4"/>
              <w:bottom w:val="single" w:color="CBD5DE" w:sz="4"/>
              <w:right w:val="single" w:color="CBD5DE" w:sz="4"/>
            </w:tcBorders>
            <w:shd w:fill="EAF2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6"/>
                <w:szCs w:val="36"/>
              </w:rPr>
              <w:t xml:space="preserve">26.54%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7"/>
                <w:szCs w:val="17"/>
              </w:rPr>
              <w:t xml:space="preserve">Baseline churn (1,869 events)</w:t>
            </w:r>
          </w:p>
        </w:tc>
        <w:tc>
          <w:tcPr>
            <w:tcW w:type="dxa" w:w="2256"/>
            <w:tcBorders>
              <w:top w:val="single" w:color="0F8B8D" w:sz="18"/>
              <w:left w:val="single" w:color="CBD5DE" w:sz="4"/>
              <w:bottom w:val="single" w:color="CBD5DE" w:sz="4"/>
              <w:right w:val="single" w:color="CBD5DE" w:sz="4"/>
            </w:tcBorders>
            <w:shd w:fill="EAF2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6"/>
                <w:szCs w:val="36"/>
              </w:rPr>
              <w:t xml:space="preserve">0.14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7"/>
                <w:szCs w:val="17"/>
              </w:rPr>
              <w:t xml:space="preserve">Optimized threshold</w:t>
            </w:r>
          </w:p>
        </w:tc>
        <w:tc>
          <w:tcPr>
            <w:tcW w:type="dxa" w:w="2258"/>
            <w:tcBorders>
              <w:top w:val="single" w:color="0F8B8D" w:sz="18"/>
              <w:left w:val="single" w:color="CBD5DE" w:sz="4"/>
              <w:bottom w:val="single" w:color="CBD5DE" w:sz="4"/>
              <w:right w:val="single" w:color="CBD5DE" w:sz="4"/>
            </w:tcBorders>
            <w:shd w:fill="EAF2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6"/>
                <w:szCs w:val="36"/>
              </w:rPr>
              <w:t xml:space="preserve">$193,380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7"/>
                <w:szCs w:val="17"/>
              </w:rPr>
              <w:t xml:space="preserve">Net capital preserved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Enterprise Benchmark Scorecard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Audited Subscriber Population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7,043 accounts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Baseline Empirical Churn Rate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26.54% (1,869 churn events)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Deployed Pipeline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ColumnTransformer + Tuned XGBoost + Sigmoid Calibrator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Discrimination Metrics (Test Set)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ROC-AUC: 0.84+  |  PR-AUC: 0.65+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Cost-Optimized Operating Threshold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0.14 (vs. 0.50 uncalibrated default)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Net Capital Preserved (Test Cohort)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$190,000+ net savings over passive retention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Segment Revenue Concentration</w:t>
            </w:r>
          </w:p>
        </w:tc>
        <w:tc>
          <w:tcPr>
            <w:tcW w:type="dxa" w:w="5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High-Risk tier accounts for the primary share of total loss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Asymmetric Business Framing &amp; Loss Function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Conventional machine learning frameworks treat misclassification costs as uniform. In commercial telecommunications, the cost of a missed churner is 5.2 times that of a wasted marketing concession.</w:t>
      </w:r>
    </w:p>
    <w:p>
      <w:pPr>
        <w:shd w:fill="EAF2F8" w:color="auto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Total Financial Cost  =  (FN × $780)  +  (FP × $150)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1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False Negative (missed churner)</w:t>
            </w:r>
          </w:p>
        </w:tc>
        <w:tc>
          <w:tcPr>
            <w:tcW w:type="dxa" w:w="1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$780</w:t>
            </w:r>
          </w:p>
        </w:tc>
        <w:tc>
          <w:tcPr>
            <w:tcW w:type="dxa" w:w="5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Unidentified churner. At an average monthly spend of about $65, an undetected subscriber forfeits an annualized top-line LTV of $780.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False Positive (wasted incentive)</w:t>
            </w:r>
          </w:p>
        </w:tc>
        <w:tc>
          <w:tcPr>
            <w:tcW w:type="dxa" w:w="1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5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Promotional rate reductions, device vouchers or complimentary tier upgrades extended to a loyal customer.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8B8D" w:sz="24"/>
              <w:bottom w:val="none" w:color="FFFFFF" w:sz="0"/>
              <w:right w:val="none" w:color="FFFFFF" w:sz="0"/>
            </w:tcBorders>
            <w:shd w:fill="EAF2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Why the default threshold fails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 the standard threshold (T = 0.50), models fail to flag accounts in the 20% to 45% risk band, letting at-risk revenue slip past account teams. Our optimization identifies the global minimum on the business cost curve, preventing revenue leakage.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End-to-End Architecture: The Winning XGBoost Pipeline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production pipeline was developed across eight modular, leakage-free stages.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326"/>
      </w:tblGrid>
      <w:tr>
        <w:trPr>
          <w:tblHeader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Structural Audit &amp; Hygiene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Coerced 11 whitespace strings in TotalCharges to NaN; imputed TotalCharges = $0.00 for tenure = 0 cohorts; consolidated “No internet/phone service” to “No”.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avg_monthly_spend, has_streaming, has_security_bundle, is_autopay.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Stratified Cold-Storage Split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 training (N = 5,634) vs. 20% sealed test (N = 1,409); preserved 26.54% prevalence; decoupled IDs.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ColumnTransformer Preprocessing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Numeric: StandardScaler. Categorical: OneHotEncoder (drop='first', handle_unknown='ignore').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Benchmarking &amp; Imbalance Handling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Dummy, Random Forest, Logistic Regression and XGBoost via 5-fold CV; scale_pos_weight = 2.77.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Hyperparameter Search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RandomizedSearchCV (30 iterations) maximizing PR-AUC; max_depth 3/4 and sub-sampling to control overfitting.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Probability Calibration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CalibratedClassifierCV (sigmoid, cv = 5) aligns scores with empirical frequencies.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Cost-Sensitive Tuning &amp; Export</w:t>
            </w:r>
          </w:p>
        </w:tc>
        <w:tc>
          <w:tcPr>
            <w:tcW w:type="dxa" w:w="53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Out-of-fold cost minimization yields T = 0.14; verified on sealed holdout; serialized via joblib.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1: Data Audit &amp; Structural Hygiene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Initial ingestion revealed 11 blank whitespace entries in TotalCharges. Profiling showed these rows belonged to newly joined subscribers with tenure = 0 who had not yet completed a billing cycle. Dropping rows was rejected in favor of domain-accurate imputation to $0.00. Ambiguous categoricals (“No internet service”, “No phone service”) were remapped to “No” to reduce dimensionality and eliminate collinear indicators.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2: Feature Engineering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Domain-specific indicators were synthesized prior to transformation to capture customer behavior: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avg_monthly_spend: </w:t>
      </w:r>
      <w:r>
        <w:rPr>
          <w:rFonts w:ascii="Calibri" w:cs="Calibri" w:eastAsia="Calibri" w:hAnsi="Calibri"/>
        </w:rPr>
        <w:t xml:space="preserve">TotalCharges ÷ tenure (MonthlyCharges imputed at tenure = 0), identifying spend inflation relative to base plan rates.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has_streaming: </w:t>
      </w:r>
      <w:r>
        <w:rPr>
          <w:rFonts w:ascii="Calibri" w:cs="Calibri" w:eastAsia="Calibri" w:hAnsi="Calibri"/>
        </w:rPr>
        <w:t xml:space="preserve">flags active StreamingTV or StreamingMovies subscriptions.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has_security_bundle: </w:t>
      </w:r>
      <w:r>
        <w:rPr>
          <w:rFonts w:ascii="Calibri" w:cs="Calibri" w:eastAsia="Calibri" w:hAnsi="Calibri"/>
        </w:rPr>
        <w:t xml:space="preserve">interaction indicator for the joint presence of OnlineSecurity and TechSupport.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is_autopay: </w:t>
      </w:r>
      <w:r>
        <w:rPr>
          <w:rFonts w:ascii="Calibri" w:cs="Calibri" w:eastAsia="Calibri" w:hAnsi="Calibri"/>
        </w:rPr>
        <w:t xml:space="preserve">extracted via regex on PaymentMethod to separate recurring electronic debits from manual payments.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3: Leakage-Free Stratified Partitioning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Customer identifiers (customerID) and targets (Churn, Churn_flag) were removed from the feature matrix X. Data was split into an 80% training set (N = 5,634) and a 20% holdout test set (N = 1,409) with random_state = 42. The test split remained unobserved until final production evaluation.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4: Unified ColumnTransformer Pipeline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Continuous features: </w:t>
      </w:r>
      <w:r>
        <w:rPr>
          <w:rFonts w:ascii="Calibri" w:cs="Calibri" w:eastAsia="Calibri" w:hAnsi="Calibri"/>
        </w:rPr>
        <w:t xml:space="preserve">standardized via StandardScaler().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Categorical attributes: </w:t>
      </w:r>
      <w:r>
        <w:rPr>
          <w:rFonts w:ascii="Calibri" w:cs="Calibri" w:eastAsia="Calibri" w:hAnsi="Calibri"/>
        </w:rPr>
        <w:t xml:space="preserve">encoded with OneHotEncoder(handle_unknown='ignore', drop='first') to handle unseen categories at inference and remove multicollinearity.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5: Algorithmic Benchmarking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Models were evaluated with 5-fold stratified cross-validation on the training split, using average precision (PR-AUC) as the primary metric.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100"/>
        <w:gridCol w:w="1100"/>
        <w:gridCol w:w="10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Imbalance Handling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PR-AUC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ROC-AUC</w:t>
            </w:r>
          </w:p>
        </w:tc>
        <w:tc>
          <w:tcPr>
            <w:tcW w:type="dxa" w:w="1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Recall</w:t>
            </w:r>
          </w:p>
        </w:tc>
        <w:tc>
          <w:tcPr>
            <w:tcW w:type="dxa" w:w="17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Dummy Baseline</w:t>
            </w:r>
          </w:p>
        </w:tc>
        <w:tc>
          <w:tcPr>
            <w:tcW w:type="dxa" w:w="2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(most frequent)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0.2654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7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 benchmark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 class weights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0.6280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0.8250</w:t>
            </w:r>
          </w:p>
        </w:tc>
        <w:tc>
          <w:tcPr>
            <w:tcW w:type="dxa" w:w="1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0.5210</w:t>
            </w:r>
          </w:p>
        </w:tc>
        <w:tc>
          <w:tcPr>
            <w:tcW w:type="dxa" w:w="17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Sub-optimal recall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 class weights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0.6518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0.8415</w:t>
            </w:r>
          </w:p>
        </w:tc>
        <w:tc>
          <w:tcPr>
            <w:tcW w:type="dxa" w:w="1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0.7980</w:t>
            </w:r>
          </w:p>
        </w:tc>
        <w:tc>
          <w:tcPr>
            <w:tcW w:type="dxa" w:w="17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recall; limited non-linear capacity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2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scale_pos_weight = 2.77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0.6585</w:t>
            </w:r>
          </w:p>
        </w:tc>
        <w:tc>
          <w:tcPr>
            <w:tcW w:type="dxa" w:w="11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0.8462</w:t>
            </w:r>
          </w:p>
        </w:tc>
        <w:tc>
          <w:tcPr>
            <w:tcW w:type="dxa" w:w="1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0.8120</w:t>
            </w:r>
          </w:p>
        </w:tc>
        <w:tc>
          <w:tcPr>
            <w:tcW w:type="dxa" w:w="17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selection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Setting scale_pos_weight = 2.77 (the ratio of negative to positive cases) penalized minority-class misclassifications directly during gradient updates, outperforming synthetic oversampling (SMOTE) in validation stability.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6: Hyperparameter Search &amp; Tuning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30-iteration RandomizedSearchCV was run on the training split. Constraining maximum tree depth to 3 or 4 levels, alongside sub-sampling ratios (subsample = 0.85, colsample_bytree = 0.85), gave the best balance between expressive capacity and generalization, reducing tree variance.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7: Probability Calibration (Sigmoid Scaling)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Gradient boosting produces uncalibrated output distributions. Wrapping the optimized pipeline in CalibratedClassifierCV(method='sigmoid', cv=5) mapped log-odds outputs into empirical probabilities. A predicted score of 0.60 therefore reflects an empirical 60% historical churn frequency, a prerequisite for revenue loss modeling.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Stage 8: Cost-Sensitive Threshold Selection &amp; Holdout Validation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Evaluating out-of-fold predictions across thresholds from 0.10 to 0.90 located the empirical cost minimum at T = 0.14.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Final Test Set Holdout Performance (Threshold = 0.14)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26"/>
      </w:tblGrid>
      <w:tr>
        <w:trPr>
          <w:tblHeader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Precision-Recall AUC (PR-AUC)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0.65+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Area Under ROC Curve (ROC-AUC)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0.84+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Brier Calibration Score Loss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calibration error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Unmanaged Scenario Cost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$291,720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FN: 374 churners × $780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Production Managed Scenario Cost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$98,340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FN + FP costs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NET CAPITAL PRESERVED</w:t>
            </w:r>
          </w:p>
        </w:tc>
        <w:tc>
          <w:tcPr>
            <w:tcW w:type="dxa" w:w="22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$193,380</w:t>
            </w:r>
          </w:p>
        </w:tc>
        <w:tc>
          <w:tcPr>
            <w:tcW w:type="dxa" w:w="26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D5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Savings vs. unmanaged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validated pipeline was serialized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joblib.dump(best_pipe, "bye_bye_churn_pipeline.joblib")</w:t>
      </w:r>
      <w:r>
        <w:rPr>
          <w:rFonts w:ascii="Calibri" w:cs="Calibri" w:eastAsia="Calibri" w:hAnsi="Calibri"/>
        </w:rPr>
        <w:t xml:space="preserve"> for live interactive deployment.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Root-Cause Explainability (SHAP Intelligence)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help field teams understand prediction drivers, SHAP (SHapley Additive exPlanations) was integrated using a TreeExplainer on the gradient-boosted trees.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Top 5 Global Churn Drivers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Contract_Month-to-month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attrition driver; lack of contractual exit barriers.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tenure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Strong protective anchor; risk concentrates in months 1–12.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InternetService_Fiber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Risk multiplier; premium pricing without support creates friction.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MonthlyCharges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Expenditure elasticity; higher invoices accelerate cancellation.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TechSupport_No</w:t>
            </w:r>
          </w:p>
        </w:tc>
        <w:tc>
          <w:tcPr>
            <w:tcW w:type="dxa" w:w="54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Absence of support amplifies churn during technical friction.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Individual Account 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D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High-Risk Account (&gt; 60% probability)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Month-to-month contract (+)  |  Tenure: 2 months (+)  |  Fiber optic (+)  |  Tech support: No (+). SHAP attributions compound additively, pushing churn risk above 75%.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8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Low-Risk Account (&lt; 15% probability)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Two-year contract (−)  |  Tenure: 55 months (−)  |  Electronic autopay (−)  |  Tech support: Yes (−). Protective attributions suppress churn probability into the safe tier.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Strategic Interventions &amp; Retention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400"/>
        <w:gridCol w:w="2026"/>
      </w:tblGrid>
      <w:tr>
        <w:trPr>
          <w:tblHeader/>
        </w:trPr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Cohort</w:t>
            </w:r>
          </w:p>
        </w:tc>
        <w:tc>
          <w:tcPr>
            <w:tcW w:type="dxa" w:w="2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2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 / Viability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1. Contract Migration Campaign</w:t>
            </w:r>
          </w:p>
        </w:tc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Month-to-month accounts with tenure &gt; 6 months and churn risk &gt; 0.35</w:t>
            </w:r>
          </w:p>
        </w:tc>
        <w:tc>
          <w:tcPr>
            <w:tcW w:type="dxa" w:w="2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Offer a 15% rate concession in exchange for an annualized agreement</w:t>
            </w:r>
          </w:p>
        </w:tc>
        <w:tc>
          <w:tcPr>
            <w:tcW w:type="dxa" w:w="2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Cost: $117/yr; preserved LTV: $780/yr; net ROI &gt; 550%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2. “First 90 Days” Onboarding Concierge</w:t>
            </w:r>
          </w:p>
        </w:tc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new accounts (tenure ≤ 3 months)</w:t>
            </w:r>
          </w:p>
        </w:tc>
        <w:tc>
          <w:tcPr>
            <w:tcW w:type="dxa" w:w="2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setup assistance, network monitoring, resolution routing</w:t>
            </w:r>
          </w:p>
        </w:tc>
        <w:tc>
          <w:tcPr>
            <w:tcW w:type="dxa" w:w="2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Neutralize the 47% attrition rate seen in Year 1 accounts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3. Fiber Optic “Value Shield” Bundling</w:t>
            </w:r>
          </w:p>
        </w:tc>
        <w:tc>
          <w:tcPr>
            <w:tcW w:type="dxa" w:w="23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Fiber subscribers paying &gt; $75/month without support add-ons</w:t>
            </w:r>
          </w:p>
        </w:tc>
        <w:tc>
          <w:tcPr>
            <w:tcW w:type="dxa" w:w="24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Complimentary 6-month Tech Support and Online Security</w:t>
            </w:r>
          </w:p>
        </w:tc>
        <w:tc>
          <w:tcPr>
            <w:tcW w:type="dxa" w:w="2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switching costs and multi-service lock-in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Initiative 1: Contract Migration Campaign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Mechanism: </w:t>
      </w:r>
      <w:r>
        <w:rPr>
          <w:rFonts w:ascii="Calibri" w:cs="Calibri" w:eastAsia="Calibri" w:hAnsi="Calibri"/>
        </w:rPr>
        <w:t xml:space="preserve">month-to-month customers churn at about 42.7%, dropping to about 11.3% on 1-year contracts and under 3% on 2-year contracts.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Economics: </w:t>
      </w:r>
      <w:r>
        <w:rPr>
          <w:rFonts w:ascii="Calibri" w:cs="Calibri" w:eastAsia="Calibri" w:hAnsi="Calibri"/>
        </w:rPr>
        <w:t xml:space="preserve">a $10 monthly concession costs $120 annually. Converting an at-risk subscriber preserves $780 of annualized value, a net gain of $660 per preserved account.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Initiative 2: “First 90 Days” Onboarding Concierge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Mechanism: </w:t>
      </w:r>
      <w:r>
        <w:rPr>
          <w:rFonts w:ascii="Calibri" w:cs="Calibri" w:eastAsia="Calibri" w:hAnsi="Calibri"/>
        </w:rPr>
        <w:t xml:space="preserve">attrition peaks in the early tenure bracket (0–12 months at 47.4%). Proactive technical check-ins resolve onboarding issues before they trigger termination.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Economics: </w:t>
      </w:r>
      <w:r>
        <w:rPr>
          <w:rFonts w:ascii="Calibri" w:cs="Calibri" w:eastAsia="Calibri" w:hAnsi="Calibri"/>
        </w:rPr>
        <w:t xml:space="preserve">early intervention carries customers past the 12-month inflection point, after which churn rates fall below 15%.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Initiative 3: Fiber Optic “Value Shield” Bundling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Mechanism: </w:t>
      </w:r>
      <w:r>
        <w:rPr>
          <w:rFonts w:ascii="Calibri" w:cs="Calibri" w:eastAsia="Calibri" w:hAnsi="Calibri"/>
        </w:rPr>
        <w:t xml:space="preserve">fiber customers cancel more often (41.9%) than DSL users (19.0%) due to billing sensitivity at about $80/month.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F3A5F"/>
        </w:rPr>
        <w:t xml:space="preserve">Economics: </w:t>
      </w:r>
      <w:r>
        <w:rPr>
          <w:rFonts w:ascii="Calibri" w:cs="Calibri" w:eastAsia="Calibri" w:hAnsi="Calibri"/>
        </w:rPr>
        <w:t xml:space="preserve">customers with three or more add-ons churn at less than half the rate of single-service accounts. Bundling technical security creates operational dependencies that protect high-ARPU relationships.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Enterprise Integration &amp; Production Ecosystem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deployed architecture connects operational decision-makers directly to predictive model outputs through an interactive dashboard.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1. Master Risk Repository (risk_scores.csv)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calibrated probabilities, risk tiers (Low/Medium/High), annualized revenue-at-risk per account, and top-3 SHAP risk attributions.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2. Executive Overview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Corporate-level KPI monitoring of enterprise exposure, historical churn rates, and segment breakdowns.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3. Risk Explorer &amp; Priority Queue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query engine to filter high-exposure accounts and download prioritized call-lists.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4. Customer 360 Diagnostics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Account-level console with churn risk gauges, service configurations, and personalized SHAP driver badges.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5. What-If Scenario Sandbox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Lets retention agents test contractual changes (plan switches, price cuts) and see real-time risk delta projections.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6. Retention Campaign Optimizer</w:t>
            </w:r>
          </w:p>
        </w:tc>
        <w:tc>
          <w:tcPr>
            <w:tcW w:type="dxa" w:w="6026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Financial modeling console plotting cumulative ROI curves to find outreach thresholds that maximize net campaign profit.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7. Model Governance &amp;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8B8D" w:sz="24"/>
              <w:bottom w:val="none" w:color="FFFFFF" w:sz="0"/>
              <w:right w:val="none" w:color="FFFFFF" w:sz="0"/>
            </w:tcBorders>
            <w:shd w:fill="EAF2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Temporal Horizon Framing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ground-truth target represents historic cancellation over the prior month. In live operations, model outputs should be interpreted as Rolling 30-to-60-Day Churn Propensity Scores to drive ongoing retention cycles.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68910" w:sz="24"/>
              <w:bottom w:val="none" w:color="FFFFFF" w:sz="0"/>
              <w:right w:val="none" w:color="FFFFFF" w:sz="0"/>
            </w:tcBorders>
            <w:shd w:fill="FEF5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22"/>
                <w:szCs w:val="22"/>
              </w:rPr>
              <w:t xml:space="preserve">Control Group Calibration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Intervening on at-risk accounts prevents cancellations, so successful retention actions will appear as false positives in future ground-truth logs. To prevent calibration drift, maintain a randomized 10% uncontacted holdout group to accurately quantify true intervention lift.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7"/>
        <w:szCs w:val="17"/>
      </w:rPr>
      <w:t xml:space="preserve">Page </w:t>
    </w:r>
    <w:r>
      <w:rPr>
        <w:rFonts w:ascii="Calibri" w:cs="Calibri" w:eastAsia="Calibri" w:hAnsi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DE" w:sz="4" w:space="4"/>
      </w:pBdr>
      <w:jc w:val="right"/>
    </w:pPr>
    <w:r>
      <w:rPr>
        <w:rFonts w:ascii="Calibri" w:cs="Calibri" w:eastAsia="Calibri" w:hAnsi="Calibri"/>
        <w:color w:val="5A6B7B"/>
        <w:sz w:val="17"/>
        <w:szCs w:val="17"/>
      </w:rPr>
      <w:t xml:space="preserve">Project “Bye Bye Churn”  |  Executive Business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F8B8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8B8D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8B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Bye Bye Churn - Executive Business Report</dc:title>
  <dc:creator>Muhammad Farooq Adnan Khan, Laiba Shahid</dc:creator>
  <cp:lastModifiedBy>Un-named</cp:lastModifiedBy>
  <cp:revision>1</cp:revision>
  <dcterms:created xsi:type="dcterms:W3CDTF">2026-10-16T18:55:12.035Z</dcterms:created>
  <dcterms:modified xsi:type="dcterms:W3CDTF">2026-10-16T18:55:12.035Z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