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E22E6">
      <w:pPr>
        <w:keepNext w:val="0"/>
        <w:keepLines w:val="0"/>
        <w:widowControl/>
        <w:suppressLineNumbers w:val="0"/>
        <w:jc w:val="left"/>
        <w:rPr>
          <w:rFonts w:hint="default" w:ascii="Calibri" w:hAnsi="Calibri" w:eastAsia="Calibri-Bold" w:cs="Calibri"/>
          <w:b/>
          <w:bCs/>
          <w:color w:val="000000"/>
          <w:kern w:val="0"/>
          <w:sz w:val="44"/>
          <w:szCs w:val="44"/>
          <w:rtl w:val="0"/>
          <w:lang w:val="en-US" w:eastAsia="zh-CN" w:bidi="ar"/>
          <w14:ligatures w14:val="standardContextual"/>
        </w:rPr>
      </w:pPr>
      <w:r>
        <w:rPr>
          <w:rFonts w:hint="default" w:ascii="Calibri" w:hAnsi="Calibri" w:eastAsia="Calibri-Bold" w:cs="Calibri"/>
          <w:b/>
          <w:bCs/>
          <w:color w:val="000000"/>
          <w:kern w:val="0"/>
          <w:sz w:val="44"/>
          <w:szCs w:val="44"/>
          <w:lang w:val="en-US" w:eastAsia="zh-CN" w:bidi="ar"/>
        </w:rPr>
        <w:t>AI-TEAM04</w:t>
      </w:r>
    </w:p>
    <w:p w14:paraId="00000001">
      <w:pPr>
        <w:keepNext w:val="0"/>
        <w:keepLines w:val="0"/>
        <w:widowControl/>
        <w:suppressLineNumbers w:val="0"/>
        <w:jc w:val="center"/>
        <w:rPr>
          <w:rFonts w:hint="default" w:ascii="Calibri" w:hAnsi="Calibri" w:eastAsia="Calibri-Bold" w:cs="Calibri"/>
          <w:b/>
          <w:bCs/>
          <w:color w:val="000000"/>
          <w:kern w:val="0"/>
          <w:sz w:val="44"/>
          <w:szCs w:val="44"/>
          <w:lang w:val="en-US" w:eastAsia="zh-CN" w:bidi="ar"/>
          <w14:ligatures w14:val="standardContextual"/>
        </w:rPr>
      </w:pPr>
      <w:r>
        <w:rPr>
          <w:rFonts w:hint="default" w:ascii="Calibri" w:hAnsi="Calibri" w:eastAsia="Calibri-Bold" w:cs="Calibri"/>
          <w:b/>
          <w:bCs/>
          <w:color w:val="000000"/>
          <w:kern w:val="0"/>
          <w:sz w:val="44"/>
          <w:szCs w:val="44"/>
          <w:rtl w:val="0"/>
          <w:lang w:val="en-US" w:eastAsia="zh-CN" w:bidi="ar"/>
          <w14:ligatures w14:val="standardContextual"/>
        </w:rPr>
        <w:t>Week 2: Exploratory Data Analysis, Data Insights and Visualization Report</w:t>
      </w:r>
    </w:p>
    <w:p w14:paraId="5CA9DE52">
      <w:pPr>
        <w:spacing w:line="240" w:lineRule="auto"/>
        <w:rPr>
          <w:rFonts w:ascii="Calibri" w:hAnsi="Calibri" w:eastAsia="Calibri" w:cs="Calibri"/>
          <w:b/>
          <w:sz w:val="28"/>
          <w:szCs w:val="28"/>
          <w:rtl w:val="0"/>
        </w:rPr>
      </w:pPr>
    </w:p>
    <w:p w14:paraId="00000002">
      <w:pPr>
        <w:spacing w:line="240" w:lineRule="auto"/>
        <w:rPr>
          <w:rFonts w:hint="default" w:ascii="Calibri" w:hAnsi="Calibri" w:eastAsia="Calibri" w:cs="Calibri"/>
          <w:b/>
          <w:sz w:val="28"/>
          <w:szCs w:val="28"/>
          <w:lang w:val="en-US"/>
        </w:rPr>
      </w:pPr>
      <w:r>
        <w:rPr>
          <w:rFonts w:ascii="Calibri" w:hAnsi="Calibri" w:eastAsia="Calibri" w:cs="Calibri"/>
          <w:b/>
          <w:sz w:val="28"/>
          <w:szCs w:val="28"/>
          <w:rtl w:val="0"/>
        </w:rPr>
        <w:t xml:space="preserve">Intern Name: </w:t>
      </w:r>
      <w:r>
        <w:rPr>
          <w:rFonts w:hint="default" w:cs="Calibri"/>
          <w:b/>
          <w:sz w:val="28"/>
          <w:szCs w:val="28"/>
          <w:rtl w:val="0"/>
          <w:lang w:val="en-US"/>
        </w:rPr>
        <w:t>Laiba Jawaid</w:t>
      </w:r>
    </w:p>
    <w:p w14:paraId="00000003">
      <w:pPr>
        <w:spacing w:line="240" w:lineRule="auto"/>
        <w:rPr>
          <w:rFonts w:ascii="Calibri" w:hAnsi="Calibri" w:eastAsia="Calibri" w:cs="Calibri"/>
          <w:sz w:val="28"/>
          <w:szCs w:val="28"/>
        </w:rPr>
      </w:pPr>
      <w:r>
        <w:rPr>
          <w:rFonts w:ascii="Calibri" w:hAnsi="Calibri" w:eastAsia="Calibri" w:cs="Calibri"/>
          <w:b/>
          <w:sz w:val="28"/>
          <w:szCs w:val="28"/>
          <w:rtl w:val="0"/>
        </w:rPr>
        <w:t xml:space="preserve">Date of Submission: </w:t>
      </w:r>
      <w:r>
        <w:rPr>
          <w:rFonts w:ascii="Calibri" w:hAnsi="Calibri" w:eastAsia="Calibri" w:cs="Calibri"/>
          <w:sz w:val="28"/>
          <w:szCs w:val="28"/>
          <w:rtl w:val="0"/>
        </w:rPr>
        <w:t>25 August, 2025</w:t>
      </w:r>
    </w:p>
    <w:p w14:paraId="00000004">
      <w:pPr>
        <w:spacing w:line="240" w:lineRule="auto"/>
        <w:rPr>
          <w:rFonts w:ascii="Calibri" w:hAnsi="Calibri" w:eastAsia="Calibri" w:cs="Calibri"/>
          <w:sz w:val="28"/>
          <w:szCs w:val="28"/>
        </w:rPr>
      </w:pPr>
    </w:p>
    <w:p w14:paraId="00000005">
      <w:pPr>
        <w:spacing w:line="240" w:lineRule="auto"/>
        <w:rPr>
          <w:rFonts w:ascii="Calibri" w:hAnsi="Calibri" w:eastAsia="Calibri" w:cs="Calibri"/>
          <w:b/>
          <w:sz w:val="32"/>
          <w:szCs w:val="32"/>
        </w:rPr>
      </w:pPr>
      <w:r>
        <w:rPr>
          <w:rFonts w:ascii="Calibri" w:hAnsi="Calibri" w:eastAsia="Calibri" w:cs="Calibri"/>
          <w:b/>
          <w:sz w:val="32"/>
          <w:szCs w:val="32"/>
          <w:rtl w:val="0"/>
        </w:rPr>
        <w:t>Team Members:</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Hammad Mengrani </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Kareem Mamdouh </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Laiba Jawaid </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Priyanka Kute </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Reeba Joshi </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Rifat Islam </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pacing w:before="34" w:after="0" w:line="240" w:lineRule="auto"/>
        <w:ind w:left="720" w:hanging="360"/>
        <w:rPr>
          <w:rFonts w:ascii="Calibri" w:hAnsi="Calibri" w:eastAsia="Calibri" w:cs="Calibri"/>
          <w:color w:val="000000"/>
        </w:rPr>
      </w:pPr>
      <w:r>
        <w:rPr>
          <w:rFonts w:ascii="Calibri" w:hAnsi="Calibri" w:eastAsia="Calibri" w:cs="Calibri"/>
          <w:color w:val="000000"/>
          <w:rtl w:val="0"/>
        </w:rPr>
        <w:t xml:space="preserve">Sumaya Mateen </w:t>
      </w:r>
    </w:p>
    <w:p w14:paraId="0000000D">
      <w:pPr>
        <w:pBdr>
          <w:top w:val="none" w:color="auto" w:sz="0" w:space="0"/>
          <w:left w:val="none" w:color="auto" w:sz="0" w:space="0"/>
          <w:bottom w:val="none" w:color="auto" w:sz="0" w:space="0"/>
          <w:right w:val="none" w:color="auto" w:sz="0" w:space="0"/>
          <w:between w:val="none" w:color="auto" w:sz="0" w:space="0"/>
        </w:pBdr>
        <w:spacing w:before="34" w:after="0" w:line="240" w:lineRule="auto"/>
        <w:rPr>
          <w:rFonts w:ascii="Calibri" w:hAnsi="Calibri" w:eastAsia="Calibri" w:cs="Calibri"/>
          <w:color w:val="000000"/>
          <w:sz w:val="28"/>
          <w:szCs w:val="28"/>
        </w:rPr>
      </w:pPr>
    </w:p>
    <w:p w14:paraId="0000000E">
      <w:pPr>
        <w:spacing w:line="240" w:lineRule="auto"/>
        <w:rPr>
          <w:rFonts w:ascii="Calibri" w:hAnsi="Calibri" w:eastAsia="Calibri" w:cs="Calibri"/>
          <w:b/>
          <w:sz w:val="32"/>
          <w:szCs w:val="32"/>
        </w:rPr>
      </w:pPr>
      <w:r>
        <w:rPr>
          <w:rFonts w:ascii="Calibri" w:hAnsi="Calibri" w:eastAsia="Calibri" w:cs="Calibri"/>
          <w:b/>
          <w:sz w:val="32"/>
          <w:szCs w:val="32"/>
          <w:rtl w:val="0"/>
        </w:rPr>
        <w:t>Cleaned Dataset Link:</w:t>
      </w:r>
    </w:p>
    <w:p w14:paraId="0000000F">
      <w:pPr>
        <w:spacing w:line="240" w:lineRule="auto"/>
        <w:rPr>
          <w:rFonts w:ascii="Calibri" w:hAnsi="Calibri" w:eastAsia="Calibri" w:cs="Calibri"/>
          <w:b/>
          <w:sz w:val="28"/>
          <w:szCs w:val="28"/>
        </w:rPr>
      </w:pPr>
      <w:r>
        <w:fldChar w:fldCharType="begin"/>
      </w:r>
      <w:r>
        <w:instrText xml:space="preserve"> HYPERLINK "https://docs.google.com/spreadsheets/d/1jYJRve1G7gzYCmadyMgdVmbcAiEe0enQ2SehPKfkqJQ/edit?usp=sharing" \h </w:instrText>
      </w:r>
      <w:r>
        <w:fldChar w:fldCharType="separate"/>
      </w:r>
      <w:r>
        <w:rPr>
          <w:rFonts w:ascii="Calibri" w:hAnsi="Calibri" w:eastAsia="Calibri" w:cs="Calibri"/>
          <w:b/>
          <w:color w:val="0563C1"/>
          <w:sz w:val="28"/>
          <w:szCs w:val="28"/>
          <w:u w:val="single"/>
          <w:rtl w:val="0"/>
        </w:rPr>
        <w:t>https://docs.google.com/spreadsheets/d/1jYJRve1G7gzYCmadyMgdVmbcAiEe0enQ2SehPKfkqJQ/edit?usp=sharing</w:t>
      </w:r>
      <w:r>
        <w:rPr>
          <w:rFonts w:ascii="Calibri" w:hAnsi="Calibri" w:eastAsia="Calibri" w:cs="Calibri"/>
          <w:b/>
          <w:color w:val="0563C1"/>
          <w:sz w:val="28"/>
          <w:szCs w:val="28"/>
          <w:u w:val="single"/>
          <w:rtl w:val="0"/>
        </w:rPr>
        <w:fldChar w:fldCharType="end"/>
      </w:r>
    </w:p>
    <w:p w14:paraId="00000010">
      <w:pPr>
        <w:spacing w:line="240" w:lineRule="auto"/>
        <w:rPr>
          <w:rFonts w:ascii="Calibri" w:hAnsi="Calibri" w:eastAsia="Calibri" w:cs="Calibri"/>
          <w:b/>
          <w:sz w:val="28"/>
          <w:szCs w:val="28"/>
        </w:rPr>
      </w:pPr>
    </w:p>
    <w:p w14:paraId="00000011">
      <w:pPr>
        <w:spacing w:line="240" w:lineRule="auto"/>
        <w:rPr>
          <w:rFonts w:ascii="Calibri" w:hAnsi="Calibri" w:eastAsia="Calibri" w:cs="Calibri"/>
          <w:b/>
          <w:sz w:val="32"/>
          <w:szCs w:val="32"/>
        </w:rPr>
      </w:pPr>
      <w:r>
        <w:rPr>
          <w:rFonts w:ascii="Calibri" w:hAnsi="Calibri" w:eastAsia="Calibri" w:cs="Calibri"/>
          <w:b/>
          <w:sz w:val="32"/>
          <w:szCs w:val="32"/>
          <w:rtl w:val="0"/>
        </w:rPr>
        <w:t>EDA &amp; Data Visualization Link:</w:t>
      </w:r>
    </w:p>
    <w:p w14:paraId="00000012">
      <w:pPr>
        <w:spacing w:line="240" w:lineRule="auto"/>
        <w:rPr>
          <w:rFonts w:ascii="Calibri" w:hAnsi="Calibri" w:eastAsia="Calibri" w:cs="Calibri"/>
          <w:b/>
          <w:sz w:val="28"/>
          <w:szCs w:val="28"/>
        </w:rPr>
      </w:pPr>
      <w:r>
        <w:fldChar w:fldCharType="begin"/>
      </w:r>
      <w:r>
        <w:instrText xml:space="preserve"> HYPERLINK "https://colab.research.google.com/drive/1O0zFZCOk51iBnyChvkhB9bT3ZQaeDVpX?usp=sharing" \h </w:instrText>
      </w:r>
      <w:r>
        <w:fldChar w:fldCharType="separate"/>
      </w:r>
      <w:r>
        <w:rPr>
          <w:rFonts w:ascii="Calibri" w:hAnsi="Calibri" w:eastAsia="Calibri" w:cs="Calibri"/>
          <w:b/>
          <w:color w:val="1155CC"/>
          <w:sz w:val="28"/>
          <w:szCs w:val="28"/>
          <w:u w:val="single"/>
          <w:rtl w:val="0"/>
        </w:rPr>
        <w:t>https://colab.research.google.com/drive/1O0zFZCOk51iBnyChvkhB9bT3ZQaeDVpX?usp=sharing</w:t>
      </w:r>
      <w:r>
        <w:rPr>
          <w:rFonts w:ascii="Calibri" w:hAnsi="Calibri" w:eastAsia="Calibri" w:cs="Calibri"/>
          <w:b/>
          <w:color w:val="1155CC"/>
          <w:sz w:val="28"/>
          <w:szCs w:val="28"/>
          <w:u w:val="single"/>
          <w:rtl w:val="0"/>
        </w:rPr>
        <w:fldChar w:fldCharType="end"/>
      </w:r>
    </w:p>
    <w:p w14:paraId="0000001A">
      <w:pPr>
        <w:rPr>
          <w:rFonts w:ascii="Calibri" w:hAnsi="Calibri" w:eastAsia="Calibri" w:cs="Calibri"/>
        </w:rPr>
      </w:pPr>
    </w:p>
    <w:p w14:paraId="5EC37B55">
      <w:pPr>
        <w:rPr>
          <w:rFonts w:ascii="Calibri" w:hAnsi="Calibri" w:eastAsia="Calibri" w:cs="Calibri"/>
        </w:rPr>
      </w:pPr>
    </w:p>
    <w:p w14:paraId="63FF76AC">
      <w:pPr>
        <w:rPr>
          <w:rFonts w:ascii="Calibri" w:hAnsi="Calibri" w:eastAsia="Calibri" w:cs="Calibri"/>
        </w:rPr>
      </w:pPr>
    </w:p>
    <w:p w14:paraId="0000001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0" w:line="278" w:lineRule="auto"/>
        <w:ind w:left="360" w:right="0" w:hanging="360"/>
        <w:jc w:val="left"/>
        <w:rPr>
          <w:rFonts w:ascii="Calibri" w:hAnsi="Calibri" w:eastAsia="Calibri" w:cs="Calibri"/>
          <w:b/>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Introduction</w:t>
      </w:r>
    </w:p>
    <w:p w14:paraId="0000001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Purpose:</w:t>
      </w:r>
    </w:p>
    <w:p w14:paraId="0000001D">
      <w:pPr>
        <w:jc w:val="both"/>
        <w:rPr>
          <w:rFonts w:ascii="Calibri" w:hAnsi="Calibri" w:eastAsia="Calibri" w:cs="Calibri"/>
        </w:rPr>
      </w:pPr>
      <w:r>
        <w:rPr>
          <w:rFonts w:ascii="Calibri" w:hAnsi="Calibri" w:eastAsia="Calibri" w:cs="Calibri"/>
          <w:rtl w:val="0"/>
        </w:rPr>
        <w:t>The primary objective of Week 2 was to perform a comprehensive Exploratory Data Analysis (EDA), including Data Visualization and Insight Extraction, on the cleaned and feature-engineered dataset. The purpose of this report is to document the trends, patterns, correlations, and anomalies observed within the data, and to generate visualizations that effectively communicate these insights. This analysis provides a foundation for making data-driven decisions and formulating recommendations to enhance learner engagement and improve opportunity success rates.</w:t>
      </w:r>
    </w:p>
    <w:p w14:paraId="0000001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Data Description:</w:t>
      </w:r>
    </w:p>
    <w:p w14:paraId="0000001F">
      <w:pPr>
        <w:jc w:val="both"/>
        <w:rPr>
          <w:rFonts w:ascii="Calibri" w:hAnsi="Calibri" w:eastAsia="Calibri" w:cs="Calibri"/>
        </w:rPr>
      </w:pPr>
      <w:r>
        <w:rPr>
          <w:rFonts w:ascii="Calibri" w:hAnsi="Calibri" w:eastAsia="Calibri" w:cs="Calibri"/>
          <w:rtl w:val="0"/>
        </w:rPr>
        <w:t>The dataset contains 8,558 rows and 47 columns. Each row represents a learner’s application to an opportunity, while the columns capture learner demographics, opportunity details, application timing, behavioral features, and engagement metrics. A detailed description of each column is provided below:</w:t>
      </w:r>
    </w:p>
    <w:tbl>
      <w:tblPr>
        <w:tblStyle w:val="39"/>
        <w:tblW w:w="10070"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0" w:type="dxa"/>
          <w:left w:w="108" w:type="dxa"/>
          <w:bottom w:w="0" w:type="dxa"/>
          <w:right w:w="108" w:type="dxa"/>
        </w:tblCellMar>
      </w:tblPr>
      <w:tblGrid>
        <w:gridCol w:w="3527"/>
        <w:gridCol w:w="1714"/>
        <w:gridCol w:w="4829"/>
      </w:tblGrid>
      <w:tr w14:paraId="324DA00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0">
            <w:pPr>
              <w:spacing w:after="160" w:line="278" w:lineRule="auto"/>
              <w:rPr>
                <w:rFonts w:ascii="Calibri" w:hAnsi="Calibri" w:eastAsia="Calibri" w:cs="Calibri"/>
              </w:rPr>
            </w:pPr>
            <w:r>
              <w:rPr>
                <w:rFonts w:ascii="Calibri" w:hAnsi="Calibri" w:eastAsia="Calibri" w:cs="Calibri"/>
                <w:rtl w:val="0"/>
              </w:rPr>
              <w:t>Column Name</w:t>
            </w:r>
          </w:p>
        </w:tc>
        <w:tc>
          <w:tcPr>
            <w:vAlign w:val="center"/>
          </w:tcPr>
          <w:p w14:paraId="00000021">
            <w:pPr>
              <w:spacing w:after="160" w:line="278" w:lineRule="auto"/>
              <w:rPr>
                <w:rFonts w:ascii="Calibri" w:hAnsi="Calibri" w:eastAsia="Calibri" w:cs="Calibri"/>
              </w:rPr>
            </w:pPr>
            <w:r>
              <w:rPr>
                <w:rFonts w:ascii="Calibri" w:hAnsi="Calibri" w:eastAsia="Calibri" w:cs="Calibri"/>
                <w:rtl w:val="0"/>
              </w:rPr>
              <w:t>Data Type</w:t>
            </w:r>
          </w:p>
        </w:tc>
        <w:tc>
          <w:tcPr>
            <w:vAlign w:val="center"/>
          </w:tcPr>
          <w:p w14:paraId="00000022">
            <w:pPr>
              <w:spacing w:after="160" w:line="278" w:lineRule="auto"/>
              <w:rPr>
                <w:rFonts w:ascii="Calibri" w:hAnsi="Calibri" w:eastAsia="Calibri" w:cs="Calibri"/>
              </w:rPr>
            </w:pPr>
            <w:r>
              <w:rPr>
                <w:rFonts w:ascii="Calibri" w:hAnsi="Calibri" w:eastAsia="Calibri" w:cs="Calibri"/>
                <w:rtl w:val="0"/>
              </w:rPr>
              <w:t>Description</w:t>
            </w:r>
          </w:p>
        </w:tc>
      </w:tr>
      <w:tr w14:paraId="201CCFF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3">
            <w:pPr>
              <w:spacing w:after="160" w:line="278" w:lineRule="auto"/>
              <w:rPr>
                <w:rFonts w:ascii="Calibri" w:hAnsi="Calibri" w:eastAsia="Calibri" w:cs="Calibri"/>
              </w:rPr>
            </w:pPr>
            <w:r>
              <w:rPr>
                <w:rFonts w:ascii="Calibri" w:hAnsi="Calibri" w:eastAsia="Calibri" w:cs="Calibri"/>
                <w:rtl w:val="0"/>
              </w:rPr>
              <w:t>Learner SignUp DateTime</w:t>
            </w:r>
          </w:p>
        </w:tc>
        <w:tc>
          <w:tcPr>
            <w:vAlign w:val="center"/>
          </w:tcPr>
          <w:p w14:paraId="00000024">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25">
            <w:pPr>
              <w:spacing w:after="160" w:line="278" w:lineRule="auto"/>
              <w:rPr>
                <w:rFonts w:ascii="Calibri" w:hAnsi="Calibri" w:eastAsia="Calibri" w:cs="Calibri"/>
              </w:rPr>
            </w:pPr>
            <w:r>
              <w:rPr>
                <w:rFonts w:ascii="Calibri" w:hAnsi="Calibri" w:eastAsia="Calibri" w:cs="Calibri"/>
                <w:rtl w:val="0"/>
              </w:rPr>
              <w:t>Date and time when the learner signed up.</w:t>
            </w:r>
          </w:p>
        </w:tc>
      </w:tr>
      <w:tr w14:paraId="1865124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6">
            <w:pPr>
              <w:spacing w:after="160" w:line="278" w:lineRule="auto"/>
              <w:rPr>
                <w:rFonts w:ascii="Calibri" w:hAnsi="Calibri" w:eastAsia="Calibri" w:cs="Calibri"/>
              </w:rPr>
            </w:pPr>
            <w:r>
              <w:rPr>
                <w:rFonts w:ascii="Calibri" w:hAnsi="Calibri" w:eastAsia="Calibri" w:cs="Calibri"/>
                <w:rtl w:val="0"/>
              </w:rPr>
              <w:t>Opportunity Id</w:t>
            </w:r>
          </w:p>
        </w:tc>
        <w:tc>
          <w:tcPr>
            <w:vAlign w:val="center"/>
          </w:tcPr>
          <w:p w14:paraId="00000027">
            <w:pPr>
              <w:spacing w:after="160" w:line="278" w:lineRule="auto"/>
              <w:rPr>
                <w:rFonts w:ascii="Calibri" w:hAnsi="Calibri" w:eastAsia="Calibri" w:cs="Calibri"/>
              </w:rPr>
            </w:pPr>
            <w:r>
              <w:rPr>
                <w:rFonts w:ascii="Calibri" w:hAnsi="Calibri" w:eastAsia="Calibri" w:cs="Calibri"/>
                <w:rtl w:val="0"/>
              </w:rPr>
              <w:t>object</w:t>
            </w:r>
          </w:p>
        </w:tc>
        <w:tc>
          <w:tcPr>
            <w:vAlign w:val="center"/>
          </w:tcPr>
          <w:p w14:paraId="00000028">
            <w:pPr>
              <w:spacing w:after="160" w:line="278" w:lineRule="auto"/>
              <w:rPr>
                <w:rFonts w:ascii="Calibri" w:hAnsi="Calibri" w:eastAsia="Calibri" w:cs="Calibri"/>
              </w:rPr>
            </w:pPr>
            <w:r>
              <w:rPr>
                <w:rFonts w:ascii="Calibri" w:hAnsi="Calibri" w:eastAsia="Calibri" w:cs="Calibri"/>
                <w:rtl w:val="0"/>
              </w:rPr>
              <w:t>Identifier for each opportunity.</w:t>
            </w:r>
          </w:p>
        </w:tc>
      </w:tr>
      <w:tr w14:paraId="7DAC770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9">
            <w:pPr>
              <w:spacing w:after="160" w:line="278" w:lineRule="auto"/>
              <w:rPr>
                <w:rFonts w:ascii="Calibri" w:hAnsi="Calibri" w:eastAsia="Calibri" w:cs="Calibri"/>
              </w:rPr>
            </w:pPr>
            <w:r>
              <w:rPr>
                <w:rFonts w:ascii="Calibri" w:hAnsi="Calibri" w:eastAsia="Calibri" w:cs="Calibri"/>
                <w:rtl w:val="0"/>
              </w:rPr>
              <w:t>Opportunity Name</w:t>
            </w:r>
          </w:p>
        </w:tc>
        <w:tc>
          <w:tcPr>
            <w:vAlign w:val="center"/>
          </w:tcPr>
          <w:p w14:paraId="0000002A">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2B">
            <w:pPr>
              <w:spacing w:after="160" w:line="278" w:lineRule="auto"/>
              <w:rPr>
                <w:rFonts w:ascii="Calibri" w:hAnsi="Calibri" w:eastAsia="Calibri" w:cs="Calibri"/>
              </w:rPr>
            </w:pPr>
            <w:r>
              <w:rPr>
                <w:rFonts w:ascii="Calibri" w:hAnsi="Calibri" w:eastAsia="Calibri" w:cs="Calibri"/>
                <w:rtl w:val="0"/>
              </w:rPr>
              <w:t>Name of the opportunity/program.</w:t>
            </w:r>
          </w:p>
        </w:tc>
      </w:tr>
      <w:tr w14:paraId="6E12235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C">
            <w:pPr>
              <w:spacing w:after="160" w:line="278" w:lineRule="auto"/>
              <w:rPr>
                <w:rFonts w:ascii="Calibri" w:hAnsi="Calibri" w:eastAsia="Calibri" w:cs="Calibri"/>
              </w:rPr>
            </w:pPr>
            <w:r>
              <w:rPr>
                <w:rFonts w:ascii="Calibri" w:hAnsi="Calibri" w:eastAsia="Calibri" w:cs="Calibri"/>
                <w:rtl w:val="0"/>
              </w:rPr>
              <w:t>Opportunity Category</w:t>
            </w:r>
          </w:p>
        </w:tc>
        <w:tc>
          <w:tcPr>
            <w:vAlign w:val="center"/>
          </w:tcPr>
          <w:p w14:paraId="0000002D">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2E">
            <w:pPr>
              <w:spacing w:after="160" w:line="278" w:lineRule="auto"/>
              <w:rPr>
                <w:rFonts w:ascii="Calibri" w:hAnsi="Calibri" w:eastAsia="Calibri" w:cs="Calibri"/>
              </w:rPr>
            </w:pPr>
            <w:r>
              <w:rPr>
                <w:rFonts w:ascii="Calibri" w:hAnsi="Calibri" w:eastAsia="Calibri" w:cs="Calibri"/>
                <w:rtl w:val="0"/>
              </w:rPr>
              <w:t>Category/group of the opportunity (e.g., internship, training).</w:t>
            </w:r>
          </w:p>
        </w:tc>
      </w:tr>
      <w:tr w14:paraId="40C1241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2F">
            <w:pPr>
              <w:spacing w:after="160" w:line="278" w:lineRule="auto"/>
              <w:rPr>
                <w:rFonts w:ascii="Calibri" w:hAnsi="Calibri" w:eastAsia="Calibri" w:cs="Calibri"/>
              </w:rPr>
            </w:pPr>
            <w:r>
              <w:rPr>
                <w:rFonts w:ascii="Calibri" w:hAnsi="Calibri" w:eastAsia="Calibri" w:cs="Calibri"/>
                <w:rtl w:val="0"/>
              </w:rPr>
              <w:t>Opportunity End Date</w:t>
            </w:r>
          </w:p>
        </w:tc>
        <w:tc>
          <w:tcPr>
            <w:vAlign w:val="center"/>
          </w:tcPr>
          <w:p w14:paraId="00000030">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31">
            <w:pPr>
              <w:spacing w:after="160" w:line="278" w:lineRule="auto"/>
              <w:rPr>
                <w:rFonts w:ascii="Calibri" w:hAnsi="Calibri" w:eastAsia="Calibri" w:cs="Calibri"/>
              </w:rPr>
            </w:pPr>
            <w:r>
              <w:rPr>
                <w:rFonts w:ascii="Calibri" w:hAnsi="Calibri" w:eastAsia="Calibri" w:cs="Calibri"/>
                <w:rtl w:val="0"/>
              </w:rPr>
              <w:t>End date of the opportunity.</w:t>
            </w:r>
          </w:p>
        </w:tc>
      </w:tr>
      <w:tr w14:paraId="22DA6BC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32">
            <w:pPr>
              <w:spacing w:after="160" w:line="278" w:lineRule="auto"/>
              <w:rPr>
                <w:rFonts w:ascii="Calibri" w:hAnsi="Calibri" w:eastAsia="Calibri" w:cs="Calibri"/>
              </w:rPr>
            </w:pPr>
            <w:r>
              <w:rPr>
                <w:rFonts w:ascii="Calibri" w:hAnsi="Calibri" w:eastAsia="Calibri" w:cs="Calibri"/>
                <w:rtl w:val="0"/>
              </w:rPr>
              <w:t>First Name</w:t>
            </w:r>
          </w:p>
        </w:tc>
        <w:tc>
          <w:tcPr>
            <w:vAlign w:val="center"/>
          </w:tcPr>
          <w:p w14:paraId="00000033">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34">
            <w:pPr>
              <w:spacing w:after="160" w:line="278" w:lineRule="auto"/>
              <w:rPr>
                <w:rFonts w:ascii="Calibri" w:hAnsi="Calibri" w:eastAsia="Calibri" w:cs="Calibri"/>
              </w:rPr>
            </w:pPr>
            <w:r>
              <w:rPr>
                <w:rFonts w:ascii="Calibri" w:hAnsi="Calibri" w:eastAsia="Calibri" w:cs="Calibri"/>
                <w:rtl w:val="0"/>
              </w:rPr>
              <w:t>Learner’s first name.</w:t>
            </w:r>
          </w:p>
        </w:tc>
      </w:tr>
      <w:tr w14:paraId="4E27D5A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35">
            <w:pPr>
              <w:spacing w:after="160" w:line="278" w:lineRule="auto"/>
              <w:rPr>
                <w:rFonts w:ascii="Calibri" w:hAnsi="Calibri" w:eastAsia="Calibri" w:cs="Calibri"/>
              </w:rPr>
            </w:pPr>
            <w:r>
              <w:rPr>
                <w:rFonts w:ascii="Calibri" w:hAnsi="Calibri" w:eastAsia="Calibri" w:cs="Calibri"/>
                <w:rtl w:val="0"/>
              </w:rPr>
              <w:t>Date of Birth</w:t>
            </w:r>
          </w:p>
        </w:tc>
        <w:tc>
          <w:tcPr>
            <w:vAlign w:val="center"/>
          </w:tcPr>
          <w:p w14:paraId="00000036">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37">
            <w:pPr>
              <w:spacing w:after="160" w:line="278" w:lineRule="auto"/>
              <w:rPr>
                <w:rFonts w:ascii="Calibri" w:hAnsi="Calibri" w:eastAsia="Calibri" w:cs="Calibri"/>
              </w:rPr>
            </w:pPr>
            <w:r>
              <w:rPr>
                <w:rFonts w:ascii="Calibri" w:hAnsi="Calibri" w:eastAsia="Calibri" w:cs="Calibri"/>
                <w:rtl w:val="0"/>
              </w:rPr>
              <w:t>Learner’s date of birth.</w:t>
            </w:r>
          </w:p>
        </w:tc>
      </w:tr>
      <w:tr w14:paraId="21ADA02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38">
            <w:pPr>
              <w:spacing w:after="160" w:line="278" w:lineRule="auto"/>
              <w:rPr>
                <w:rFonts w:ascii="Calibri" w:hAnsi="Calibri" w:eastAsia="Calibri" w:cs="Calibri"/>
              </w:rPr>
            </w:pPr>
            <w:r>
              <w:rPr>
                <w:rFonts w:ascii="Calibri" w:hAnsi="Calibri" w:eastAsia="Calibri" w:cs="Calibri"/>
                <w:rtl w:val="0"/>
              </w:rPr>
              <w:t>Gender</w:t>
            </w:r>
          </w:p>
        </w:tc>
        <w:tc>
          <w:tcPr>
            <w:vAlign w:val="center"/>
          </w:tcPr>
          <w:p w14:paraId="00000039">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3A">
            <w:pPr>
              <w:spacing w:after="160" w:line="278" w:lineRule="auto"/>
              <w:rPr>
                <w:rFonts w:ascii="Calibri" w:hAnsi="Calibri" w:eastAsia="Calibri" w:cs="Calibri"/>
              </w:rPr>
            </w:pPr>
            <w:r>
              <w:rPr>
                <w:rFonts w:ascii="Calibri" w:hAnsi="Calibri" w:eastAsia="Calibri" w:cs="Calibri"/>
                <w:rtl w:val="0"/>
              </w:rPr>
              <w:t>Gender of the learner.</w:t>
            </w:r>
          </w:p>
        </w:tc>
      </w:tr>
      <w:tr w14:paraId="5B2FAF9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3B">
            <w:pPr>
              <w:spacing w:after="160" w:line="278" w:lineRule="auto"/>
              <w:rPr>
                <w:rFonts w:ascii="Calibri" w:hAnsi="Calibri" w:eastAsia="Calibri" w:cs="Calibri"/>
              </w:rPr>
            </w:pPr>
            <w:r>
              <w:rPr>
                <w:rFonts w:ascii="Calibri" w:hAnsi="Calibri" w:eastAsia="Calibri" w:cs="Calibri"/>
                <w:rtl w:val="0"/>
              </w:rPr>
              <w:t>Country</w:t>
            </w:r>
          </w:p>
        </w:tc>
        <w:tc>
          <w:tcPr>
            <w:vAlign w:val="center"/>
          </w:tcPr>
          <w:p w14:paraId="0000003C">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3D">
            <w:pPr>
              <w:spacing w:after="160" w:line="278" w:lineRule="auto"/>
              <w:rPr>
                <w:rFonts w:ascii="Calibri" w:hAnsi="Calibri" w:eastAsia="Calibri" w:cs="Calibri"/>
              </w:rPr>
            </w:pPr>
            <w:r>
              <w:rPr>
                <w:rFonts w:ascii="Calibri" w:hAnsi="Calibri" w:eastAsia="Calibri" w:cs="Calibri"/>
                <w:rtl w:val="0"/>
              </w:rPr>
              <w:t>Country of the learner.</w:t>
            </w:r>
          </w:p>
        </w:tc>
      </w:tr>
      <w:tr w14:paraId="1E47BC8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3E">
            <w:pPr>
              <w:spacing w:after="160" w:line="278" w:lineRule="auto"/>
              <w:rPr>
                <w:rFonts w:ascii="Calibri" w:hAnsi="Calibri" w:eastAsia="Calibri" w:cs="Calibri"/>
              </w:rPr>
            </w:pPr>
            <w:r>
              <w:rPr>
                <w:rFonts w:ascii="Calibri" w:hAnsi="Calibri" w:eastAsia="Calibri" w:cs="Calibri"/>
                <w:rtl w:val="0"/>
              </w:rPr>
              <w:t>Institution Name</w:t>
            </w:r>
          </w:p>
        </w:tc>
        <w:tc>
          <w:tcPr>
            <w:vAlign w:val="center"/>
          </w:tcPr>
          <w:p w14:paraId="0000003F">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40">
            <w:pPr>
              <w:spacing w:after="160" w:line="278" w:lineRule="auto"/>
              <w:rPr>
                <w:rFonts w:ascii="Calibri" w:hAnsi="Calibri" w:eastAsia="Calibri" w:cs="Calibri"/>
              </w:rPr>
            </w:pPr>
            <w:r>
              <w:rPr>
                <w:rFonts w:ascii="Calibri" w:hAnsi="Calibri" w:eastAsia="Calibri" w:cs="Calibri"/>
                <w:rtl w:val="0"/>
              </w:rPr>
              <w:t>Institution/university of the learner.</w:t>
            </w:r>
          </w:p>
        </w:tc>
      </w:tr>
      <w:tr w14:paraId="1AB7855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41">
            <w:pPr>
              <w:spacing w:after="160" w:line="278" w:lineRule="auto"/>
              <w:rPr>
                <w:rFonts w:ascii="Calibri" w:hAnsi="Calibri" w:eastAsia="Calibri" w:cs="Calibri"/>
              </w:rPr>
            </w:pPr>
            <w:r>
              <w:rPr>
                <w:rFonts w:ascii="Calibri" w:hAnsi="Calibri" w:eastAsia="Calibri" w:cs="Calibri"/>
                <w:rtl w:val="0"/>
              </w:rPr>
              <w:t>Current/Intended Major</w:t>
            </w:r>
          </w:p>
        </w:tc>
        <w:tc>
          <w:tcPr>
            <w:vAlign w:val="center"/>
          </w:tcPr>
          <w:p w14:paraId="00000042">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43">
            <w:pPr>
              <w:spacing w:after="160" w:line="278" w:lineRule="auto"/>
              <w:rPr>
                <w:rFonts w:ascii="Calibri" w:hAnsi="Calibri" w:eastAsia="Calibri" w:cs="Calibri"/>
              </w:rPr>
            </w:pPr>
            <w:r>
              <w:rPr>
                <w:rFonts w:ascii="Calibri" w:hAnsi="Calibri" w:eastAsia="Calibri" w:cs="Calibri"/>
                <w:rtl w:val="0"/>
              </w:rPr>
              <w:t>Learner’s current or intended field of study.</w:t>
            </w:r>
          </w:p>
        </w:tc>
      </w:tr>
      <w:tr w14:paraId="0D739E6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44">
            <w:pPr>
              <w:spacing w:after="160" w:line="278" w:lineRule="auto"/>
              <w:rPr>
                <w:rFonts w:ascii="Calibri" w:hAnsi="Calibri" w:eastAsia="Calibri" w:cs="Calibri"/>
              </w:rPr>
            </w:pPr>
            <w:r>
              <w:rPr>
                <w:rFonts w:ascii="Calibri" w:hAnsi="Calibri" w:eastAsia="Calibri" w:cs="Calibri"/>
                <w:rtl w:val="0"/>
              </w:rPr>
              <w:t>Entry created at</w:t>
            </w:r>
          </w:p>
        </w:tc>
        <w:tc>
          <w:tcPr>
            <w:vAlign w:val="center"/>
          </w:tcPr>
          <w:p w14:paraId="00000045">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46">
            <w:pPr>
              <w:spacing w:after="160" w:line="278" w:lineRule="auto"/>
              <w:rPr>
                <w:rFonts w:ascii="Calibri" w:hAnsi="Calibri" w:eastAsia="Calibri" w:cs="Calibri"/>
              </w:rPr>
            </w:pPr>
            <w:r>
              <w:rPr>
                <w:rFonts w:ascii="Calibri" w:hAnsi="Calibri" w:eastAsia="Calibri" w:cs="Calibri"/>
                <w:rtl w:val="0"/>
              </w:rPr>
              <w:t>Timestamp when the application entry was created.</w:t>
            </w:r>
          </w:p>
        </w:tc>
      </w:tr>
      <w:tr w14:paraId="5A1CBAE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47">
            <w:pPr>
              <w:spacing w:after="160" w:line="278" w:lineRule="auto"/>
              <w:rPr>
                <w:rFonts w:ascii="Calibri" w:hAnsi="Calibri" w:eastAsia="Calibri" w:cs="Calibri"/>
              </w:rPr>
            </w:pPr>
            <w:r>
              <w:rPr>
                <w:rFonts w:ascii="Calibri" w:hAnsi="Calibri" w:eastAsia="Calibri" w:cs="Calibri"/>
                <w:rtl w:val="0"/>
              </w:rPr>
              <w:t>Status Description</w:t>
            </w:r>
          </w:p>
        </w:tc>
        <w:tc>
          <w:tcPr>
            <w:vAlign w:val="center"/>
          </w:tcPr>
          <w:p w14:paraId="00000048">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49">
            <w:pPr>
              <w:spacing w:after="160" w:line="278" w:lineRule="auto"/>
              <w:rPr>
                <w:rFonts w:ascii="Calibri" w:hAnsi="Calibri" w:eastAsia="Calibri" w:cs="Calibri"/>
              </w:rPr>
            </w:pPr>
            <w:r>
              <w:rPr>
                <w:rFonts w:ascii="Calibri" w:hAnsi="Calibri" w:eastAsia="Calibri" w:cs="Calibri"/>
                <w:rtl w:val="0"/>
              </w:rPr>
              <w:t>Status of the application (e.g., Completed, In Progress, Withdrawn).</w:t>
            </w:r>
          </w:p>
        </w:tc>
      </w:tr>
      <w:tr w14:paraId="60A8DB0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4A">
            <w:pPr>
              <w:spacing w:after="160" w:line="278" w:lineRule="auto"/>
              <w:rPr>
                <w:rFonts w:ascii="Calibri" w:hAnsi="Calibri" w:eastAsia="Calibri" w:cs="Calibri"/>
              </w:rPr>
            </w:pPr>
            <w:r>
              <w:rPr>
                <w:rFonts w:ascii="Calibri" w:hAnsi="Calibri" w:eastAsia="Calibri" w:cs="Calibri"/>
                <w:rtl w:val="0"/>
              </w:rPr>
              <w:t>Status Code</w:t>
            </w:r>
          </w:p>
        </w:tc>
        <w:tc>
          <w:tcPr>
            <w:vAlign w:val="center"/>
          </w:tcPr>
          <w:p w14:paraId="0000004B">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4C">
            <w:pPr>
              <w:spacing w:after="160" w:line="278" w:lineRule="auto"/>
              <w:rPr>
                <w:rFonts w:ascii="Calibri" w:hAnsi="Calibri" w:eastAsia="Calibri" w:cs="Calibri"/>
              </w:rPr>
            </w:pPr>
            <w:r>
              <w:rPr>
                <w:rFonts w:ascii="Calibri" w:hAnsi="Calibri" w:eastAsia="Calibri" w:cs="Calibri"/>
                <w:rtl w:val="0"/>
              </w:rPr>
              <w:t>Numeric code representing application status.</w:t>
            </w:r>
          </w:p>
        </w:tc>
      </w:tr>
      <w:tr w14:paraId="76341A1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4D">
            <w:pPr>
              <w:spacing w:after="160" w:line="278" w:lineRule="auto"/>
              <w:rPr>
                <w:rFonts w:ascii="Calibri" w:hAnsi="Calibri" w:eastAsia="Calibri" w:cs="Calibri"/>
              </w:rPr>
            </w:pPr>
            <w:r>
              <w:rPr>
                <w:rFonts w:ascii="Calibri" w:hAnsi="Calibri" w:eastAsia="Calibri" w:cs="Calibri"/>
                <w:rtl w:val="0"/>
              </w:rPr>
              <w:t>Apply Date</w:t>
            </w:r>
          </w:p>
        </w:tc>
        <w:tc>
          <w:tcPr>
            <w:vAlign w:val="center"/>
          </w:tcPr>
          <w:p w14:paraId="0000004E">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4F">
            <w:pPr>
              <w:spacing w:after="160" w:line="278" w:lineRule="auto"/>
              <w:rPr>
                <w:rFonts w:ascii="Calibri" w:hAnsi="Calibri" w:eastAsia="Calibri" w:cs="Calibri"/>
              </w:rPr>
            </w:pPr>
            <w:r>
              <w:rPr>
                <w:rFonts w:ascii="Calibri" w:hAnsi="Calibri" w:eastAsia="Calibri" w:cs="Calibri"/>
                <w:rtl w:val="0"/>
              </w:rPr>
              <w:t>Date when the learner applied.</w:t>
            </w:r>
          </w:p>
        </w:tc>
      </w:tr>
      <w:tr w14:paraId="1BBB896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0">
            <w:pPr>
              <w:spacing w:after="160" w:line="278" w:lineRule="auto"/>
              <w:rPr>
                <w:rFonts w:ascii="Calibri" w:hAnsi="Calibri" w:eastAsia="Calibri" w:cs="Calibri"/>
              </w:rPr>
            </w:pPr>
            <w:r>
              <w:rPr>
                <w:rFonts w:ascii="Calibri" w:hAnsi="Calibri" w:eastAsia="Calibri" w:cs="Calibri"/>
                <w:rtl w:val="0"/>
              </w:rPr>
              <w:t>Opportunity Start Date</w:t>
            </w:r>
          </w:p>
        </w:tc>
        <w:tc>
          <w:tcPr>
            <w:vAlign w:val="center"/>
          </w:tcPr>
          <w:p w14:paraId="00000051">
            <w:pPr>
              <w:spacing w:after="160" w:line="278" w:lineRule="auto"/>
              <w:rPr>
                <w:rFonts w:ascii="Calibri" w:hAnsi="Calibri" w:eastAsia="Calibri" w:cs="Calibri"/>
              </w:rPr>
            </w:pPr>
            <w:r>
              <w:rPr>
                <w:rFonts w:ascii="Calibri" w:hAnsi="Calibri" w:eastAsia="Calibri" w:cs="Calibri"/>
                <w:rtl w:val="0"/>
              </w:rPr>
              <w:t>datetime64[ns]</w:t>
            </w:r>
          </w:p>
        </w:tc>
        <w:tc>
          <w:tcPr>
            <w:vAlign w:val="center"/>
          </w:tcPr>
          <w:p w14:paraId="00000052">
            <w:pPr>
              <w:spacing w:after="160" w:line="278" w:lineRule="auto"/>
              <w:rPr>
                <w:rFonts w:ascii="Calibri" w:hAnsi="Calibri" w:eastAsia="Calibri" w:cs="Calibri"/>
              </w:rPr>
            </w:pPr>
            <w:r>
              <w:rPr>
                <w:rFonts w:ascii="Calibri" w:hAnsi="Calibri" w:eastAsia="Calibri" w:cs="Calibri"/>
                <w:rtl w:val="0"/>
              </w:rPr>
              <w:t>Start date of the opportunity.</w:t>
            </w:r>
          </w:p>
        </w:tc>
      </w:tr>
      <w:tr w14:paraId="44284DA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3">
            <w:pPr>
              <w:spacing w:after="160" w:line="278" w:lineRule="auto"/>
              <w:rPr>
                <w:rFonts w:ascii="Calibri" w:hAnsi="Calibri" w:eastAsia="Calibri" w:cs="Calibri"/>
              </w:rPr>
            </w:pPr>
            <w:r>
              <w:rPr>
                <w:rFonts w:ascii="Calibri" w:hAnsi="Calibri" w:eastAsia="Calibri" w:cs="Calibri"/>
                <w:rtl w:val="0"/>
              </w:rPr>
              <w:t>Age</w:t>
            </w:r>
          </w:p>
        </w:tc>
        <w:tc>
          <w:tcPr>
            <w:vAlign w:val="center"/>
          </w:tcPr>
          <w:p w14:paraId="00000054">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55">
            <w:pPr>
              <w:spacing w:after="160" w:line="278" w:lineRule="auto"/>
              <w:rPr>
                <w:rFonts w:ascii="Calibri" w:hAnsi="Calibri" w:eastAsia="Calibri" w:cs="Calibri"/>
              </w:rPr>
            </w:pPr>
            <w:r>
              <w:rPr>
                <w:rFonts w:ascii="Calibri" w:hAnsi="Calibri" w:eastAsia="Calibri" w:cs="Calibri"/>
                <w:rtl w:val="0"/>
              </w:rPr>
              <w:t>Age of the learner at sign-up.</w:t>
            </w:r>
          </w:p>
        </w:tc>
      </w:tr>
      <w:tr w14:paraId="3E3B7C4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6">
            <w:pPr>
              <w:spacing w:after="160" w:line="278" w:lineRule="auto"/>
              <w:rPr>
                <w:rFonts w:ascii="Calibri" w:hAnsi="Calibri" w:eastAsia="Calibri" w:cs="Calibri"/>
              </w:rPr>
            </w:pPr>
            <w:r>
              <w:rPr>
                <w:rFonts w:ascii="Calibri" w:hAnsi="Calibri" w:eastAsia="Calibri" w:cs="Calibri"/>
                <w:rtl w:val="0"/>
              </w:rPr>
              <w:t>Current_Age</w:t>
            </w:r>
          </w:p>
        </w:tc>
        <w:tc>
          <w:tcPr>
            <w:vAlign w:val="center"/>
          </w:tcPr>
          <w:p w14:paraId="00000057">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58">
            <w:pPr>
              <w:spacing w:after="160" w:line="278" w:lineRule="auto"/>
              <w:rPr>
                <w:rFonts w:ascii="Calibri" w:hAnsi="Calibri" w:eastAsia="Calibri" w:cs="Calibri"/>
              </w:rPr>
            </w:pPr>
            <w:r>
              <w:rPr>
                <w:rFonts w:ascii="Calibri" w:hAnsi="Calibri" w:eastAsia="Calibri" w:cs="Calibri"/>
                <w:rtl w:val="0"/>
              </w:rPr>
              <w:t>Current calculated age of the learner.</w:t>
            </w:r>
          </w:p>
        </w:tc>
      </w:tr>
      <w:tr w14:paraId="7925A36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9">
            <w:pPr>
              <w:spacing w:after="160" w:line="278" w:lineRule="auto"/>
              <w:rPr>
                <w:rFonts w:ascii="Calibri" w:hAnsi="Calibri" w:eastAsia="Calibri" w:cs="Calibri"/>
              </w:rPr>
            </w:pPr>
            <w:r>
              <w:rPr>
                <w:rFonts w:ascii="Calibri" w:hAnsi="Calibri" w:eastAsia="Calibri" w:cs="Calibri"/>
                <w:rtl w:val="0"/>
              </w:rPr>
              <w:t>Age_Group</w:t>
            </w:r>
          </w:p>
        </w:tc>
        <w:tc>
          <w:tcPr>
            <w:vAlign w:val="center"/>
          </w:tcPr>
          <w:p w14:paraId="0000005A">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5B">
            <w:pPr>
              <w:spacing w:after="160" w:line="278" w:lineRule="auto"/>
              <w:rPr>
                <w:rFonts w:ascii="Calibri" w:hAnsi="Calibri" w:eastAsia="Calibri" w:cs="Calibri"/>
              </w:rPr>
            </w:pPr>
            <w:r>
              <w:rPr>
                <w:rFonts w:ascii="Calibri" w:hAnsi="Calibri" w:eastAsia="Calibri" w:cs="Calibri"/>
                <w:rtl w:val="0"/>
              </w:rPr>
              <w:t>Age group classification (e.g., 18–22, 23–30).</w:t>
            </w:r>
          </w:p>
        </w:tc>
      </w:tr>
      <w:tr w14:paraId="1ED997C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C">
            <w:pPr>
              <w:spacing w:after="160" w:line="278" w:lineRule="auto"/>
              <w:rPr>
                <w:rFonts w:ascii="Calibri" w:hAnsi="Calibri" w:eastAsia="Calibri" w:cs="Calibri"/>
              </w:rPr>
            </w:pPr>
            <w:r>
              <w:rPr>
                <w:rFonts w:ascii="Calibri" w:hAnsi="Calibri" w:eastAsia="Calibri" w:cs="Calibri"/>
                <w:rtl w:val="0"/>
              </w:rPr>
              <w:t>Signup_to_Apply_Days</w:t>
            </w:r>
          </w:p>
        </w:tc>
        <w:tc>
          <w:tcPr>
            <w:vAlign w:val="center"/>
          </w:tcPr>
          <w:p w14:paraId="0000005D">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5E">
            <w:pPr>
              <w:spacing w:after="160" w:line="278" w:lineRule="auto"/>
              <w:rPr>
                <w:rFonts w:ascii="Calibri" w:hAnsi="Calibri" w:eastAsia="Calibri" w:cs="Calibri"/>
              </w:rPr>
            </w:pPr>
            <w:r>
              <w:rPr>
                <w:rFonts w:ascii="Calibri" w:hAnsi="Calibri" w:eastAsia="Calibri" w:cs="Calibri"/>
                <w:rtl w:val="0"/>
              </w:rPr>
              <w:t>Days between signup and application.</w:t>
            </w:r>
          </w:p>
        </w:tc>
      </w:tr>
      <w:tr w14:paraId="0EC90BA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5F">
            <w:pPr>
              <w:spacing w:after="160" w:line="278" w:lineRule="auto"/>
              <w:rPr>
                <w:rFonts w:ascii="Calibri" w:hAnsi="Calibri" w:eastAsia="Calibri" w:cs="Calibri"/>
              </w:rPr>
            </w:pPr>
            <w:r>
              <w:rPr>
                <w:rFonts w:ascii="Calibri" w:hAnsi="Calibri" w:eastAsia="Calibri" w:cs="Calibri"/>
                <w:rtl w:val="0"/>
              </w:rPr>
              <w:t>Course_Duration_Days</w:t>
            </w:r>
          </w:p>
        </w:tc>
        <w:tc>
          <w:tcPr>
            <w:vAlign w:val="center"/>
          </w:tcPr>
          <w:p w14:paraId="00000060">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61">
            <w:pPr>
              <w:spacing w:after="160" w:line="278" w:lineRule="auto"/>
              <w:rPr>
                <w:rFonts w:ascii="Calibri" w:hAnsi="Calibri" w:eastAsia="Calibri" w:cs="Calibri"/>
              </w:rPr>
            </w:pPr>
            <w:r>
              <w:rPr>
                <w:rFonts w:ascii="Calibri" w:hAnsi="Calibri" w:eastAsia="Calibri" w:cs="Calibri"/>
                <w:rtl w:val="0"/>
              </w:rPr>
              <w:t>Duration of the opportunity in days.</w:t>
            </w:r>
          </w:p>
        </w:tc>
      </w:tr>
      <w:tr w14:paraId="06D246A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62">
            <w:pPr>
              <w:spacing w:after="160" w:line="278" w:lineRule="auto"/>
              <w:rPr>
                <w:rFonts w:ascii="Calibri" w:hAnsi="Calibri" w:eastAsia="Calibri" w:cs="Calibri"/>
              </w:rPr>
            </w:pPr>
            <w:r>
              <w:rPr>
                <w:rFonts w:ascii="Calibri" w:hAnsi="Calibri" w:eastAsia="Calibri" w:cs="Calibri"/>
                <w:rtl w:val="0"/>
              </w:rPr>
              <w:t>Signup_Month</w:t>
            </w:r>
          </w:p>
        </w:tc>
        <w:tc>
          <w:tcPr>
            <w:vAlign w:val="center"/>
          </w:tcPr>
          <w:p w14:paraId="00000063">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64">
            <w:pPr>
              <w:spacing w:after="160" w:line="278" w:lineRule="auto"/>
              <w:rPr>
                <w:rFonts w:ascii="Calibri" w:hAnsi="Calibri" w:eastAsia="Calibri" w:cs="Calibri"/>
              </w:rPr>
            </w:pPr>
            <w:r>
              <w:rPr>
                <w:rFonts w:ascii="Calibri" w:hAnsi="Calibri" w:eastAsia="Calibri" w:cs="Calibri"/>
                <w:rtl w:val="0"/>
              </w:rPr>
              <w:t>Month of sign-up (numeric).</w:t>
            </w:r>
          </w:p>
        </w:tc>
      </w:tr>
      <w:tr w14:paraId="60B766D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65">
            <w:pPr>
              <w:spacing w:after="160" w:line="278" w:lineRule="auto"/>
              <w:rPr>
                <w:rFonts w:ascii="Calibri" w:hAnsi="Calibri" w:eastAsia="Calibri" w:cs="Calibri"/>
              </w:rPr>
            </w:pPr>
            <w:r>
              <w:rPr>
                <w:rFonts w:ascii="Calibri" w:hAnsi="Calibri" w:eastAsia="Calibri" w:cs="Calibri"/>
                <w:rtl w:val="0"/>
              </w:rPr>
              <w:t>Signup_Weekday</w:t>
            </w:r>
          </w:p>
        </w:tc>
        <w:tc>
          <w:tcPr>
            <w:vAlign w:val="center"/>
          </w:tcPr>
          <w:p w14:paraId="00000066">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67">
            <w:pPr>
              <w:spacing w:after="160" w:line="278" w:lineRule="auto"/>
              <w:rPr>
                <w:rFonts w:ascii="Calibri" w:hAnsi="Calibri" w:eastAsia="Calibri" w:cs="Calibri"/>
              </w:rPr>
            </w:pPr>
            <w:r>
              <w:rPr>
                <w:rFonts w:ascii="Calibri" w:hAnsi="Calibri" w:eastAsia="Calibri" w:cs="Calibri"/>
                <w:rtl w:val="0"/>
              </w:rPr>
              <w:t>Day of the week of sign-up.</w:t>
            </w:r>
          </w:p>
        </w:tc>
      </w:tr>
      <w:tr w14:paraId="5A84839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68">
            <w:pPr>
              <w:spacing w:after="160" w:line="278" w:lineRule="auto"/>
              <w:rPr>
                <w:rFonts w:ascii="Calibri" w:hAnsi="Calibri" w:eastAsia="Calibri" w:cs="Calibri"/>
              </w:rPr>
            </w:pPr>
            <w:r>
              <w:rPr>
                <w:rFonts w:ascii="Calibri" w:hAnsi="Calibri" w:eastAsia="Calibri" w:cs="Calibri"/>
                <w:rtl w:val="0"/>
              </w:rPr>
              <w:t>Signup_Hour</w:t>
            </w:r>
          </w:p>
        </w:tc>
        <w:tc>
          <w:tcPr>
            <w:vAlign w:val="center"/>
          </w:tcPr>
          <w:p w14:paraId="00000069">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6A">
            <w:pPr>
              <w:spacing w:after="160" w:line="278" w:lineRule="auto"/>
              <w:rPr>
                <w:rFonts w:ascii="Calibri" w:hAnsi="Calibri" w:eastAsia="Calibri" w:cs="Calibri"/>
              </w:rPr>
            </w:pPr>
            <w:r>
              <w:rPr>
                <w:rFonts w:ascii="Calibri" w:hAnsi="Calibri" w:eastAsia="Calibri" w:cs="Calibri"/>
                <w:rtl w:val="0"/>
              </w:rPr>
              <w:t>Hour of the day when sign-up occurred.</w:t>
            </w:r>
          </w:p>
        </w:tc>
      </w:tr>
      <w:tr w14:paraId="36F0701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6B">
            <w:pPr>
              <w:spacing w:after="160" w:line="278" w:lineRule="auto"/>
              <w:rPr>
                <w:rFonts w:ascii="Calibri" w:hAnsi="Calibri" w:eastAsia="Calibri" w:cs="Calibri"/>
              </w:rPr>
            </w:pPr>
            <w:r>
              <w:rPr>
                <w:rFonts w:ascii="Calibri" w:hAnsi="Calibri" w:eastAsia="Calibri" w:cs="Calibri"/>
                <w:rtl w:val="0"/>
              </w:rPr>
              <w:t>Is_Weekend_Signup</w:t>
            </w:r>
          </w:p>
        </w:tc>
        <w:tc>
          <w:tcPr>
            <w:vAlign w:val="center"/>
          </w:tcPr>
          <w:p w14:paraId="0000006C">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6D">
            <w:pPr>
              <w:spacing w:after="160" w:line="278" w:lineRule="auto"/>
              <w:rPr>
                <w:rFonts w:ascii="Calibri" w:hAnsi="Calibri" w:eastAsia="Calibri" w:cs="Calibri"/>
              </w:rPr>
            </w:pPr>
            <w:r>
              <w:rPr>
                <w:rFonts w:ascii="Calibri" w:hAnsi="Calibri" w:eastAsia="Calibri" w:cs="Calibri"/>
                <w:rtl w:val="0"/>
              </w:rPr>
              <w:t>Indicator (1/0) if sign-up was on a weekend.</w:t>
            </w:r>
          </w:p>
        </w:tc>
      </w:tr>
      <w:tr w14:paraId="1535CA7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6E">
            <w:pPr>
              <w:spacing w:after="160" w:line="278" w:lineRule="auto"/>
              <w:rPr>
                <w:rFonts w:ascii="Calibri" w:hAnsi="Calibri" w:eastAsia="Calibri" w:cs="Calibri"/>
              </w:rPr>
            </w:pPr>
            <w:r>
              <w:rPr>
                <w:rFonts w:ascii="Calibri" w:hAnsi="Calibri" w:eastAsia="Calibri" w:cs="Calibri"/>
                <w:rtl w:val="0"/>
              </w:rPr>
              <w:t>Quick_Applicant</w:t>
            </w:r>
          </w:p>
        </w:tc>
        <w:tc>
          <w:tcPr>
            <w:vAlign w:val="center"/>
          </w:tcPr>
          <w:p w14:paraId="0000006F">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70">
            <w:pPr>
              <w:spacing w:after="160" w:line="278" w:lineRule="auto"/>
              <w:rPr>
                <w:rFonts w:ascii="Calibri" w:hAnsi="Calibri" w:eastAsia="Calibri" w:cs="Calibri"/>
              </w:rPr>
            </w:pPr>
            <w:r>
              <w:rPr>
                <w:rFonts w:ascii="Calibri" w:hAnsi="Calibri" w:eastAsia="Calibri" w:cs="Calibri"/>
                <w:rtl w:val="0"/>
              </w:rPr>
              <w:t>Indicator (1/0) if the learner applied quickly after sign-up.</w:t>
            </w:r>
          </w:p>
        </w:tc>
      </w:tr>
      <w:tr w14:paraId="119F841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71">
            <w:pPr>
              <w:spacing w:after="160" w:line="278" w:lineRule="auto"/>
              <w:rPr>
                <w:rFonts w:ascii="Calibri" w:hAnsi="Calibri" w:eastAsia="Calibri" w:cs="Calibri"/>
              </w:rPr>
            </w:pPr>
            <w:r>
              <w:rPr>
                <w:rFonts w:ascii="Calibri" w:hAnsi="Calibri" w:eastAsia="Calibri" w:cs="Calibri"/>
                <w:rtl w:val="0"/>
              </w:rPr>
              <w:t>Invalid_Application_Timing</w:t>
            </w:r>
          </w:p>
        </w:tc>
        <w:tc>
          <w:tcPr>
            <w:vAlign w:val="center"/>
          </w:tcPr>
          <w:p w14:paraId="00000072">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73">
            <w:pPr>
              <w:spacing w:after="160" w:line="278" w:lineRule="auto"/>
              <w:rPr>
                <w:rFonts w:ascii="Calibri" w:hAnsi="Calibri" w:eastAsia="Calibri" w:cs="Calibri"/>
              </w:rPr>
            </w:pPr>
            <w:r>
              <w:rPr>
                <w:rFonts w:ascii="Calibri" w:hAnsi="Calibri" w:eastAsia="Calibri" w:cs="Calibri"/>
                <w:rtl w:val="0"/>
              </w:rPr>
              <w:t>Indicator (1/0) for invalid timing of application.</w:t>
            </w:r>
          </w:p>
        </w:tc>
      </w:tr>
      <w:tr w14:paraId="089C05C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74">
            <w:pPr>
              <w:spacing w:after="160" w:line="278" w:lineRule="auto"/>
              <w:rPr>
                <w:rFonts w:ascii="Calibri" w:hAnsi="Calibri" w:eastAsia="Calibri" w:cs="Calibri"/>
              </w:rPr>
            </w:pPr>
            <w:r>
              <w:rPr>
                <w:rFonts w:ascii="Calibri" w:hAnsi="Calibri" w:eastAsia="Calibri" w:cs="Calibri"/>
                <w:rtl w:val="0"/>
              </w:rPr>
              <w:t>Gender_Encoded</w:t>
            </w:r>
          </w:p>
        </w:tc>
        <w:tc>
          <w:tcPr>
            <w:vAlign w:val="center"/>
          </w:tcPr>
          <w:p w14:paraId="00000075">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76">
            <w:pPr>
              <w:spacing w:after="160" w:line="278" w:lineRule="auto"/>
              <w:rPr>
                <w:rFonts w:ascii="Calibri" w:hAnsi="Calibri" w:eastAsia="Calibri" w:cs="Calibri"/>
              </w:rPr>
            </w:pPr>
            <w:r>
              <w:rPr>
                <w:rFonts w:ascii="Calibri" w:hAnsi="Calibri" w:eastAsia="Calibri" w:cs="Calibri"/>
                <w:rtl w:val="0"/>
              </w:rPr>
              <w:t>Encoded numerical value for gender.</w:t>
            </w:r>
          </w:p>
        </w:tc>
      </w:tr>
      <w:tr w14:paraId="5BDA416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77">
            <w:pPr>
              <w:spacing w:after="160" w:line="278" w:lineRule="auto"/>
              <w:rPr>
                <w:rFonts w:ascii="Calibri" w:hAnsi="Calibri" w:eastAsia="Calibri" w:cs="Calibri"/>
              </w:rPr>
            </w:pPr>
            <w:r>
              <w:rPr>
                <w:rFonts w:ascii="Calibri" w:hAnsi="Calibri" w:eastAsia="Calibri" w:cs="Calibri"/>
                <w:rtl w:val="0"/>
              </w:rPr>
              <w:t>Region</w:t>
            </w:r>
          </w:p>
        </w:tc>
        <w:tc>
          <w:tcPr>
            <w:vAlign w:val="center"/>
          </w:tcPr>
          <w:p w14:paraId="00000078">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79">
            <w:pPr>
              <w:spacing w:after="160" w:line="278" w:lineRule="auto"/>
              <w:rPr>
                <w:rFonts w:ascii="Calibri" w:hAnsi="Calibri" w:eastAsia="Calibri" w:cs="Calibri"/>
              </w:rPr>
            </w:pPr>
            <w:r>
              <w:rPr>
                <w:rFonts w:ascii="Calibri" w:hAnsi="Calibri" w:eastAsia="Calibri" w:cs="Calibri"/>
                <w:rtl w:val="0"/>
              </w:rPr>
              <w:t>Region of the learner.</w:t>
            </w:r>
          </w:p>
        </w:tc>
      </w:tr>
      <w:tr w14:paraId="1298CEE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7A">
            <w:pPr>
              <w:spacing w:after="160" w:line="278" w:lineRule="auto"/>
              <w:rPr>
                <w:rFonts w:ascii="Calibri" w:hAnsi="Calibri" w:eastAsia="Calibri" w:cs="Calibri"/>
              </w:rPr>
            </w:pPr>
            <w:r>
              <w:rPr>
                <w:rFonts w:ascii="Calibri" w:hAnsi="Calibri" w:eastAsia="Calibri" w:cs="Calibri"/>
                <w:rtl w:val="0"/>
              </w:rPr>
              <w:t>Major_Category</w:t>
            </w:r>
          </w:p>
        </w:tc>
        <w:tc>
          <w:tcPr>
            <w:vAlign w:val="center"/>
          </w:tcPr>
          <w:p w14:paraId="0000007B">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7C">
            <w:pPr>
              <w:spacing w:after="160" w:line="278" w:lineRule="auto"/>
              <w:rPr>
                <w:rFonts w:ascii="Calibri" w:hAnsi="Calibri" w:eastAsia="Calibri" w:cs="Calibri"/>
              </w:rPr>
            </w:pPr>
            <w:r>
              <w:rPr>
                <w:rFonts w:ascii="Calibri" w:hAnsi="Calibri" w:eastAsia="Calibri" w:cs="Calibri"/>
                <w:rtl w:val="0"/>
              </w:rPr>
              <w:t>Group/category of the learner’s major.</w:t>
            </w:r>
          </w:p>
        </w:tc>
      </w:tr>
      <w:tr w14:paraId="012DD83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7D">
            <w:pPr>
              <w:spacing w:after="160" w:line="278" w:lineRule="auto"/>
              <w:rPr>
                <w:rFonts w:ascii="Calibri" w:hAnsi="Calibri" w:eastAsia="Calibri" w:cs="Calibri"/>
              </w:rPr>
            </w:pPr>
            <w:r>
              <w:rPr>
                <w:rFonts w:ascii="Calibri" w:hAnsi="Calibri" w:eastAsia="Calibri" w:cs="Calibri"/>
                <w:rtl w:val="0"/>
              </w:rPr>
              <w:t>Is_Successful</w:t>
            </w:r>
          </w:p>
        </w:tc>
        <w:tc>
          <w:tcPr>
            <w:vAlign w:val="center"/>
          </w:tcPr>
          <w:p w14:paraId="0000007E">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7F">
            <w:pPr>
              <w:spacing w:after="160" w:line="278" w:lineRule="auto"/>
              <w:rPr>
                <w:rFonts w:ascii="Calibri" w:hAnsi="Calibri" w:eastAsia="Calibri" w:cs="Calibri"/>
              </w:rPr>
            </w:pPr>
            <w:r>
              <w:rPr>
                <w:rFonts w:ascii="Calibri" w:hAnsi="Calibri" w:eastAsia="Calibri" w:cs="Calibri"/>
                <w:rtl w:val="0"/>
              </w:rPr>
              <w:t>Indicator (1/0) if the application was successful.</w:t>
            </w:r>
          </w:p>
        </w:tc>
      </w:tr>
      <w:tr w14:paraId="09A59F6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0">
            <w:pPr>
              <w:spacing w:after="160" w:line="278" w:lineRule="auto"/>
              <w:rPr>
                <w:rFonts w:ascii="Calibri" w:hAnsi="Calibri" w:eastAsia="Calibri" w:cs="Calibri"/>
              </w:rPr>
            </w:pPr>
            <w:r>
              <w:rPr>
                <w:rFonts w:ascii="Calibri" w:hAnsi="Calibri" w:eastAsia="Calibri" w:cs="Calibri"/>
                <w:rtl w:val="0"/>
              </w:rPr>
              <w:t>Same_Day_Application</w:t>
            </w:r>
          </w:p>
        </w:tc>
        <w:tc>
          <w:tcPr>
            <w:vAlign w:val="center"/>
          </w:tcPr>
          <w:p w14:paraId="00000081">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82">
            <w:pPr>
              <w:spacing w:after="160" w:line="278" w:lineRule="auto"/>
              <w:rPr>
                <w:rFonts w:ascii="Calibri" w:hAnsi="Calibri" w:eastAsia="Calibri" w:cs="Calibri"/>
              </w:rPr>
            </w:pPr>
            <w:r>
              <w:rPr>
                <w:rFonts w:ascii="Calibri" w:hAnsi="Calibri" w:eastAsia="Calibri" w:cs="Calibri"/>
                <w:rtl w:val="0"/>
              </w:rPr>
              <w:t>Indicator (1/0) if the learner applied on the same day as sign-up.</w:t>
            </w:r>
          </w:p>
        </w:tc>
      </w:tr>
      <w:tr w14:paraId="0D7D3EF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3">
            <w:pPr>
              <w:spacing w:after="160" w:line="278" w:lineRule="auto"/>
              <w:rPr>
                <w:rFonts w:ascii="Calibri" w:hAnsi="Calibri" w:eastAsia="Calibri" w:cs="Calibri"/>
              </w:rPr>
            </w:pPr>
            <w:r>
              <w:rPr>
                <w:rFonts w:ascii="Calibri" w:hAnsi="Calibri" w:eastAsia="Calibri" w:cs="Calibri"/>
                <w:rtl w:val="0"/>
              </w:rPr>
              <w:t>Late_Applicant</w:t>
            </w:r>
          </w:p>
        </w:tc>
        <w:tc>
          <w:tcPr>
            <w:vAlign w:val="center"/>
          </w:tcPr>
          <w:p w14:paraId="00000084">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85">
            <w:pPr>
              <w:spacing w:after="160" w:line="278" w:lineRule="auto"/>
              <w:rPr>
                <w:rFonts w:ascii="Calibri" w:hAnsi="Calibri" w:eastAsia="Calibri" w:cs="Calibri"/>
              </w:rPr>
            </w:pPr>
            <w:r>
              <w:rPr>
                <w:rFonts w:ascii="Calibri" w:hAnsi="Calibri" w:eastAsia="Calibri" w:cs="Calibri"/>
                <w:rtl w:val="0"/>
              </w:rPr>
              <w:t>Indicator (1/0) if the learner applied late compared to signup.</w:t>
            </w:r>
          </w:p>
        </w:tc>
      </w:tr>
      <w:tr w14:paraId="30F9FE0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6">
            <w:pPr>
              <w:spacing w:after="160" w:line="278" w:lineRule="auto"/>
              <w:rPr>
                <w:rFonts w:ascii="Calibri" w:hAnsi="Calibri" w:eastAsia="Calibri" w:cs="Calibri"/>
              </w:rPr>
            </w:pPr>
            <w:r>
              <w:rPr>
                <w:rFonts w:ascii="Calibri" w:hAnsi="Calibri" w:eastAsia="Calibri" w:cs="Calibri"/>
                <w:rtl w:val="0"/>
              </w:rPr>
              <w:t>Opportunity_Popularity</w:t>
            </w:r>
          </w:p>
        </w:tc>
        <w:tc>
          <w:tcPr>
            <w:vAlign w:val="center"/>
          </w:tcPr>
          <w:p w14:paraId="00000087">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88">
            <w:pPr>
              <w:spacing w:after="160" w:line="278" w:lineRule="auto"/>
              <w:rPr>
                <w:rFonts w:ascii="Calibri" w:hAnsi="Calibri" w:eastAsia="Calibri" w:cs="Calibri"/>
              </w:rPr>
            </w:pPr>
            <w:r>
              <w:rPr>
                <w:rFonts w:ascii="Calibri" w:hAnsi="Calibri" w:eastAsia="Calibri" w:cs="Calibri"/>
                <w:rtl w:val="0"/>
              </w:rPr>
              <w:t>Popularity score of the opportunity (e.g., based on applications).</w:t>
            </w:r>
          </w:p>
        </w:tc>
      </w:tr>
      <w:tr w14:paraId="16CBCF0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9">
            <w:pPr>
              <w:spacing w:after="160" w:line="278" w:lineRule="auto"/>
              <w:rPr>
                <w:rFonts w:ascii="Calibri" w:hAnsi="Calibri" w:eastAsia="Calibri" w:cs="Calibri"/>
              </w:rPr>
            </w:pPr>
            <w:r>
              <w:rPr>
                <w:rFonts w:ascii="Calibri" w:hAnsi="Calibri" w:eastAsia="Calibri" w:cs="Calibri"/>
                <w:rtl w:val="0"/>
              </w:rPr>
              <w:t>Popular_Opportunity</w:t>
            </w:r>
          </w:p>
        </w:tc>
        <w:tc>
          <w:tcPr>
            <w:vAlign w:val="center"/>
          </w:tcPr>
          <w:p w14:paraId="0000008A">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8B">
            <w:pPr>
              <w:spacing w:after="160" w:line="278" w:lineRule="auto"/>
              <w:rPr>
                <w:rFonts w:ascii="Calibri" w:hAnsi="Calibri" w:eastAsia="Calibri" w:cs="Calibri"/>
              </w:rPr>
            </w:pPr>
            <w:r>
              <w:rPr>
                <w:rFonts w:ascii="Calibri" w:hAnsi="Calibri" w:eastAsia="Calibri" w:cs="Calibri"/>
                <w:rtl w:val="0"/>
              </w:rPr>
              <w:t>Indicator (1/0) if opportunity is considered popular.</w:t>
            </w:r>
          </w:p>
        </w:tc>
      </w:tr>
      <w:tr w14:paraId="323773F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C">
            <w:pPr>
              <w:spacing w:after="160" w:line="278" w:lineRule="auto"/>
              <w:rPr>
                <w:rFonts w:ascii="Calibri" w:hAnsi="Calibri" w:eastAsia="Calibri" w:cs="Calibri"/>
              </w:rPr>
            </w:pPr>
            <w:r>
              <w:rPr>
                <w:rFonts w:ascii="Calibri" w:hAnsi="Calibri" w:eastAsia="Calibri" w:cs="Calibri"/>
                <w:rtl w:val="0"/>
              </w:rPr>
              <w:t>Age_Major_Combo</w:t>
            </w:r>
          </w:p>
        </w:tc>
        <w:tc>
          <w:tcPr>
            <w:vAlign w:val="center"/>
          </w:tcPr>
          <w:p w14:paraId="0000008D">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8E">
            <w:pPr>
              <w:spacing w:after="160" w:line="278" w:lineRule="auto"/>
              <w:rPr>
                <w:rFonts w:ascii="Calibri" w:hAnsi="Calibri" w:eastAsia="Calibri" w:cs="Calibri"/>
              </w:rPr>
            </w:pPr>
            <w:r>
              <w:rPr>
                <w:rFonts w:ascii="Calibri" w:hAnsi="Calibri" w:eastAsia="Calibri" w:cs="Calibri"/>
                <w:rtl w:val="0"/>
              </w:rPr>
              <w:t>Combined feature of Age Group and Major.</w:t>
            </w:r>
          </w:p>
        </w:tc>
      </w:tr>
      <w:tr w14:paraId="45C8B20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8F">
            <w:pPr>
              <w:spacing w:after="160" w:line="278" w:lineRule="auto"/>
              <w:rPr>
                <w:rFonts w:ascii="Calibri" w:hAnsi="Calibri" w:eastAsia="Calibri" w:cs="Calibri"/>
              </w:rPr>
            </w:pPr>
            <w:r>
              <w:rPr>
                <w:rFonts w:ascii="Calibri" w:hAnsi="Calibri" w:eastAsia="Calibri" w:cs="Calibri"/>
                <w:rtl w:val="0"/>
              </w:rPr>
              <w:t>Country_Gender</w:t>
            </w:r>
          </w:p>
        </w:tc>
        <w:tc>
          <w:tcPr>
            <w:vAlign w:val="center"/>
          </w:tcPr>
          <w:p w14:paraId="00000090">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91">
            <w:pPr>
              <w:spacing w:after="160" w:line="278" w:lineRule="auto"/>
              <w:rPr>
                <w:rFonts w:ascii="Calibri" w:hAnsi="Calibri" w:eastAsia="Calibri" w:cs="Calibri"/>
              </w:rPr>
            </w:pPr>
            <w:r>
              <w:rPr>
                <w:rFonts w:ascii="Calibri" w:hAnsi="Calibri" w:eastAsia="Calibri" w:cs="Calibri"/>
                <w:rtl w:val="0"/>
              </w:rPr>
              <w:t>Combined feature of Country and Gender.</w:t>
            </w:r>
          </w:p>
        </w:tc>
      </w:tr>
      <w:tr w14:paraId="6E13D5B6">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92">
            <w:pPr>
              <w:spacing w:after="160" w:line="278" w:lineRule="auto"/>
              <w:rPr>
                <w:rFonts w:ascii="Calibri" w:hAnsi="Calibri" w:eastAsia="Calibri" w:cs="Calibri"/>
              </w:rPr>
            </w:pPr>
            <w:r>
              <w:rPr>
                <w:rFonts w:ascii="Calibri" w:hAnsi="Calibri" w:eastAsia="Calibri" w:cs="Calibri"/>
                <w:rtl w:val="0"/>
              </w:rPr>
              <w:t>Region_Opportunity</w:t>
            </w:r>
          </w:p>
        </w:tc>
        <w:tc>
          <w:tcPr>
            <w:vAlign w:val="center"/>
          </w:tcPr>
          <w:p w14:paraId="00000093">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94">
            <w:pPr>
              <w:spacing w:after="160" w:line="278" w:lineRule="auto"/>
              <w:rPr>
                <w:rFonts w:ascii="Calibri" w:hAnsi="Calibri" w:eastAsia="Calibri" w:cs="Calibri"/>
              </w:rPr>
            </w:pPr>
            <w:r>
              <w:rPr>
                <w:rFonts w:ascii="Calibri" w:hAnsi="Calibri" w:eastAsia="Calibri" w:cs="Calibri"/>
                <w:rtl w:val="0"/>
              </w:rPr>
              <w:t>Combined feature of Region and Opportunity.</w:t>
            </w:r>
          </w:p>
        </w:tc>
      </w:tr>
      <w:tr w14:paraId="1973F71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95">
            <w:pPr>
              <w:spacing w:after="160" w:line="278" w:lineRule="auto"/>
              <w:rPr>
                <w:rFonts w:ascii="Calibri" w:hAnsi="Calibri" w:eastAsia="Calibri" w:cs="Calibri"/>
              </w:rPr>
            </w:pPr>
            <w:r>
              <w:rPr>
                <w:rFonts w:ascii="Calibri" w:hAnsi="Calibri" w:eastAsia="Calibri" w:cs="Calibri"/>
                <w:rtl w:val="0"/>
              </w:rPr>
              <w:t>Engagement_Score</w:t>
            </w:r>
          </w:p>
        </w:tc>
        <w:tc>
          <w:tcPr>
            <w:vAlign w:val="center"/>
          </w:tcPr>
          <w:p w14:paraId="00000096">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97">
            <w:pPr>
              <w:spacing w:after="160" w:line="278" w:lineRule="auto"/>
              <w:rPr>
                <w:rFonts w:ascii="Calibri" w:hAnsi="Calibri" w:eastAsia="Calibri" w:cs="Calibri"/>
              </w:rPr>
            </w:pPr>
            <w:r>
              <w:rPr>
                <w:rFonts w:ascii="Calibri" w:hAnsi="Calibri" w:eastAsia="Calibri" w:cs="Calibri"/>
                <w:rtl w:val="0"/>
              </w:rPr>
              <w:t>Score representing learner engagement.</w:t>
            </w:r>
          </w:p>
        </w:tc>
      </w:tr>
      <w:tr w14:paraId="1CB6C4D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98">
            <w:pPr>
              <w:spacing w:after="160" w:line="278" w:lineRule="auto"/>
              <w:rPr>
                <w:rFonts w:ascii="Calibri" w:hAnsi="Calibri" w:eastAsia="Calibri" w:cs="Calibri"/>
              </w:rPr>
            </w:pPr>
            <w:r>
              <w:rPr>
                <w:rFonts w:ascii="Calibri" w:hAnsi="Calibri" w:eastAsia="Calibri" w:cs="Calibri"/>
                <w:rtl w:val="0"/>
              </w:rPr>
              <w:t>Engagement_Level</w:t>
            </w:r>
          </w:p>
        </w:tc>
        <w:tc>
          <w:tcPr>
            <w:vAlign w:val="center"/>
          </w:tcPr>
          <w:p w14:paraId="00000099">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9A">
            <w:pPr>
              <w:spacing w:after="160" w:line="278" w:lineRule="auto"/>
              <w:rPr>
                <w:rFonts w:ascii="Calibri" w:hAnsi="Calibri" w:eastAsia="Calibri" w:cs="Calibri"/>
              </w:rPr>
            </w:pPr>
            <w:r>
              <w:rPr>
                <w:rFonts w:ascii="Calibri" w:hAnsi="Calibri" w:eastAsia="Calibri" w:cs="Calibri"/>
                <w:rtl w:val="0"/>
              </w:rPr>
              <w:t>Engagement level category (e.g., Low, Medium, High).</w:t>
            </w:r>
          </w:p>
        </w:tc>
      </w:tr>
      <w:tr w14:paraId="4761FCF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9B">
            <w:pPr>
              <w:spacing w:after="160" w:line="278" w:lineRule="auto"/>
              <w:rPr>
                <w:rFonts w:ascii="Calibri" w:hAnsi="Calibri" w:eastAsia="Calibri" w:cs="Calibri"/>
              </w:rPr>
            </w:pPr>
            <w:r>
              <w:rPr>
                <w:rFonts w:ascii="Calibri" w:hAnsi="Calibri" w:eastAsia="Calibri" w:cs="Calibri"/>
                <w:rtl w:val="0"/>
              </w:rPr>
              <w:t>Apply_vs_Start_Gap</w:t>
            </w:r>
          </w:p>
        </w:tc>
        <w:tc>
          <w:tcPr>
            <w:vAlign w:val="center"/>
          </w:tcPr>
          <w:p w14:paraId="0000009C">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9D">
            <w:pPr>
              <w:spacing w:after="160" w:line="278" w:lineRule="auto"/>
              <w:rPr>
                <w:rFonts w:ascii="Calibri" w:hAnsi="Calibri" w:eastAsia="Calibri" w:cs="Calibri"/>
              </w:rPr>
            </w:pPr>
            <w:r>
              <w:rPr>
                <w:rFonts w:ascii="Calibri" w:hAnsi="Calibri" w:eastAsia="Calibri" w:cs="Calibri"/>
                <w:rtl w:val="0"/>
              </w:rPr>
              <w:t>Days between application date and opportunity start date.</w:t>
            </w:r>
          </w:p>
        </w:tc>
      </w:tr>
      <w:tr w14:paraId="012227B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9E">
            <w:pPr>
              <w:spacing w:after="160" w:line="278" w:lineRule="auto"/>
              <w:rPr>
                <w:rFonts w:ascii="Calibri" w:hAnsi="Calibri" w:eastAsia="Calibri" w:cs="Calibri"/>
              </w:rPr>
            </w:pPr>
            <w:r>
              <w:rPr>
                <w:rFonts w:ascii="Calibri" w:hAnsi="Calibri" w:eastAsia="Calibri" w:cs="Calibri"/>
                <w:rtl w:val="0"/>
              </w:rPr>
              <w:t>Applications_per_User</w:t>
            </w:r>
          </w:p>
        </w:tc>
        <w:tc>
          <w:tcPr>
            <w:vAlign w:val="center"/>
          </w:tcPr>
          <w:p w14:paraId="0000009F">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A0">
            <w:pPr>
              <w:spacing w:after="160" w:line="278" w:lineRule="auto"/>
              <w:rPr>
                <w:rFonts w:ascii="Calibri" w:hAnsi="Calibri" w:eastAsia="Calibri" w:cs="Calibri"/>
              </w:rPr>
            </w:pPr>
            <w:r>
              <w:rPr>
                <w:rFonts w:ascii="Calibri" w:hAnsi="Calibri" w:eastAsia="Calibri" w:cs="Calibri"/>
                <w:rtl w:val="0"/>
              </w:rPr>
              <w:t>Number of applications submitted by the learner.</w:t>
            </w:r>
          </w:p>
        </w:tc>
      </w:tr>
      <w:tr w14:paraId="2EE115F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A1">
            <w:pPr>
              <w:spacing w:after="160" w:line="278" w:lineRule="auto"/>
              <w:rPr>
                <w:rFonts w:ascii="Calibri" w:hAnsi="Calibri" w:eastAsia="Calibri" w:cs="Calibri"/>
              </w:rPr>
            </w:pPr>
            <w:r>
              <w:rPr>
                <w:rFonts w:ascii="Calibri" w:hAnsi="Calibri" w:eastAsia="Calibri" w:cs="Calibri"/>
                <w:rtl w:val="0"/>
              </w:rPr>
              <w:t>Unique_Categories_per_User</w:t>
            </w:r>
          </w:p>
        </w:tc>
        <w:tc>
          <w:tcPr>
            <w:vAlign w:val="center"/>
          </w:tcPr>
          <w:p w14:paraId="000000A2">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A3">
            <w:pPr>
              <w:spacing w:after="160" w:line="278" w:lineRule="auto"/>
              <w:rPr>
                <w:rFonts w:ascii="Calibri" w:hAnsi="Calibri" w:eastAsia="Calibri" w:cs="Calibri"/>
              </w:rPr>
            </w:pPr>
            <w:r>
              <w:rPr>
                <w:rFonts w:ascii="Calibri" w:hAnsi="Calibri" w:eastAsia="Calibri" w:cs="Calibri"/>
                <w:rtl w:val="0"/>
              </w:rPr>
              <w:t>Count of unique opportunity categories applied by the learner.</w:t>
            </w:r>
          </w:p>
        </w:tc>
      </w:tr>
      <w:tr w14:paraId="73AF452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A4">
            <w:pPr>
              <w:spacing w:after="160" w:line="278" w:lineRule="auto"/>
              <w:rPr>
                <w:rFonts w:ascii="Calibri" w:hAnsi="Calibri" w:eastAsia="Calibri" w:cs="Calibri"/>
              </w:rPr>
            </w:pPr>
            <w:r>
              <w:rPr>
                <w:rFonts w:ascii="Calibri" w:hAnsi="Calibri" w:eastAsia="Calibri" w:cs="Calibri"/>
                <w:rtl w:val="0"/>
              </w:rPr>
              <w:t>Region_AgeGroup</w:t>
            </w:r>
          </w:p>
        </w:tc>
        <w:tc>
          <w:tcPr>
            <w:vAlign w:val="center"/>
          </w:tcPr>
          <w:p w14:paraId="000000A5">
            <w:pPr>
              <w:spacing w:after="160" w:line="278" w:lineRule="auto"/>
              <w:rPr>
                <w:rFonts w:ascii="Calibri" w:hAnsi="Calibri" w:eastAsia="Calibri" w:cs="Calibri"/>
              </w:rPr>
            </w:pPr>
            <w:r>
              <w:rPr>
                <w:rFonts w:ascii="Calibri" w:hAnsi="Calibri" w:eastAsia="Calibri" w:cs="Calibri"/>
                <w:rtl w:val="0"/>
              </w:rPr>
              <w:t>string</w:t>
            </w:r>
          </w:p>
        </w:tc>
        <w:tc>
          <w:tcPr>
            <w:vAlign w:val="center"/>
          </w:tcPr>
          <w:p w14:paraId="000000A6">
            <w:pPr>
              <w:spacing w:after="160" w:line="278" w:lineRule="auto"/>
              <w:rPr>
                <w:rFonts w:ascii="Calibri" w:hAnsi="Calibri" w:eastAsia="Calibri" w:cs="Calibri"/>
              </w:rPr>
            </w:pPr>
            <w:r>
              <w:rPr>
                <w:rFonts w:ascii="Calibri" w:hAnsi="Calibri" w:eastAsia="Calibri" w:cs="Calibri"/>
                <w:rtl w:val="0"/>
              </w:rPr>
              <w:t>Combined feature of Region and Age Group.</w:t>
            </w:r>
          </w:p>
        </w:tc>
      </w:tr>
      <w:tr w14:paraId="2B42387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A7">
            <w:pPr>
              <w:spacing w:after="160" w:line="278" w:lineRule="auto"/>
              <w:rPr>
                <w:rFonts w:ascii="Calibri" w:hAnsi="Calibri" w:eastAsia="Calibri" w:cs="Calibri"/>
              </w:rPr>
            </w:pPr>
            <w:r>
              <w:rPr>
                <w:rFonts w:ascii="Calibri" w:hAnsi="Calibri" w:eastAsia="Calibri" w:cs="Calibri"/>
                <w:rtl w:val="0"/>
              </w:rPr>
              <w:t>Applications_for_Opportunity</w:t>
            </w:r>
          </w:p>
        </w:tc>
        <w:tc>
          <w:tcPr>
            <w:vAlign w:val="center"/>
          </w:tcPr>
          <w:p w14:paraId="000000A8">
            <w:pPr>
              <w:spacing w:after="160" w:line="278" w:lineRule="auto"/>
              <w:rPr>
                <w:rFonts w:ascii="Calibri" w:hAnsi="Calibri" w:eastAsia="Calibri" w:cs="Calibri"/>
              </w:rPr>
            </w:pPr>
            <w:r>
              <w:rPr>
                <w:rFonts w:ascii="Calibri" w:hAnsi="Calibri" w:eastAsia="Calibri" w:cs="Calibri"/>
                <w:rtl w:val="0"/>
              </w:rPr>
              <w:t>int64</w:t>
            </w:r>
          </w:p>
        </w:tc>
        <w:tc>
          <w:tcPr>
            <w:vAlign w:val="center"/>
          </w:tcPr>
          <w:p w14:paraId="000000A9">
            <w:pPr>
              <w:spacing w:after="160" w:line="278" w:lineRule="auto"/>
              <w:rPr>
                <w:rFonts w:ascii="Calibri" w:hAnsi="Calibri" w:eastAsia="Calibri" w:cs="Calibri"/>
              </w:rPr>
            </w:pPr>
            <w:r>
              <w:rPr>
                <w:rFonts w:ascii="Calibri" w:hAnsi="Calibri" w:eastAsia="Calibri" w:cs="Calibri"/>
                <w:rtl w:val="0"/>
              </w:rPr>
              <w:t>Number of applications received for the specific opportunity.</w:t>
            </w:r>
          </w:p>
        </w:tc>
      </w:tr>
      <w:tr w14:paraId="1B9FF47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AA">
            <w:pPr>
              <w:spacing w:after="160" w:line="278" w:lineRule="auto"/>
              <w:rPr>
                <w:rFonts w:ascii="Calibri" w:hAnsi="Calibri" w:eastAsia="Calibri" w:cs="Calibri"/>
              </w:rPr>
            </w:pPr>
            <w:r>
              <w:rPr>
                <w:rFonts w:ascii="Calibri" w:hAnsi="Calibri" w:eastAsia="Calibri" w:cs="Calibri"/>
                <w:rtl w:val="0"/>
              </w:rPr>
              <w:t>Region_Normalized_Applications</w:t>
            </w:r>
          </w:p>
        </w:tc>
        <w:tc>
          <w:tcPr>
            <w:vAlign w:val="center"/>
          </w:tcPr>
          <w:p w14:paraId="000000AB">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AC">
            <w:pPr>
              <w:spacing w:after="160" w:line="278" w:lineRule="auto"/>
              <w:rPr>
                <w:rFonts w:ascii="Calibri" w:hAnsi="Calibri" w:eastAsia="Calibri" w:cs="Calibri"/>
              </w:rPr>
            </w:pPr>
            <w:r>
              <w:rPr>
                <w:rFonts w:ascii="Calibri" w:hAnsi="Calibri" w:eastAsia="Calibri" w:cs="Calibri"/>
                <w:rtl w:val="0"/>
              </w:rPr>
              <w:t>Normalized application count for a region.</w:t>
            </w:r>
          </w:p>
        </w:tc>
      </w:tr>
      <w:tr w14:paraId="369A275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0AD">
            <w:pPr>
              <w:spacing w:after="160" w:line="278" w:lineRule="auto"/>
              <w:rPr>
                <w:rFonts w:ascii="Calibri" w:hAnsi="Calibri" w:eastAsia="Calibri" w:cs="Calibri"/>
              </w:rPr>
            </w:pPr>
            <w:r>
              <w:rPr>
                <w:rFonts w:ascii="Calibri" w:hAnsi="Calibri" w:eastAsia="Calibri" w:cs="Calibri"/>
                <w:rtl w:val="0"/>
              </w:rPr>
              <w:t>User_Success_Rate</w:t>
            </w:r>
          </w:p>
        </w:tc>
        <w:tc>
          <w:tcPr>
            <w:vAlign w:val="center"/>
          </w:tcPr>
          <w:p w14:paraId="000000AE">
            <w:pPr>
              <w:spacing w:after="160" w:line="278" w:lineRule="auto"/>
              <w:rPr>
                <w:rFonts w:ascii="Calibri" w:hAnsi="Calibri" w:eastAsia="Calibri" w:cs="Calibri"/>
              </w:rPr>
            </w:pPr>
            <w:r>
              <w:rPr>
                <w:rFonts w:ascii="Calibri" w:hAnsi="Calibri" w:eastAsia="Calibri" w:cs="Calibri"/>
                <w:rtl w:val="0"/>
              </w:rPr>
              <w:t>float64</w:t>
            </w:r>
          </w:p>
        </w:tc>
        <w:tc>
          <w:tcPr>
            <w:vAlign w:val="center"/>
          </w:tcPr>
          <w:p w14:paraId="000000AF">
            <w:pPr>
              <w:spacing w:after="160" w:line="278" w:lineRule="auto"/>
              <w:rPr>
                <w:rFonts w:ascii="Calibri" w:hAnsi="Calibri" w:eastAsia="Calibri" w:cs="Calibri"/>
              </w:rPr>
            </w:pPr>
            <w:r>
              <w:rPr>
                <w:rFonts w:ascii="Calibri" w:hAnsi="Calibri" w:eastAsia="Calibri" w:cs="Calibri"/>
                <w:rtl w:val="0"/>
              </w:rPr>
              <w:t>Success rate of the learner’s applications.</w:t>
            </w:r>
          </w:p>
        </w:tc>
      </w:tr>
    </w:tbl>
    <w:p w14:paraId="000000B0">
      <w:pPr>
        <w:jc w:val="both"/>
        <w:rPr>
          <w:rFonts w:ascii="Calibri" w:hAnsi="Calibri" w:eastAsia="Calibri" w:cs="Calibri"/>
        </w:rPr>
      </w:pPr>
    </w:p>
    <w:p w14:paraId="000000B1">
      <w:pPr>
        <w:jc w:val="both"/>
        <w:rPr>
          <w:rFonts w:ascii="Calibri" w:hAnsi="Calibri" w:eastAsia="Calibri" w:cs="Calibri"/>
        </w:rPr>
      </w:pPr>
    </w:p>
    <w:p w14:paraId="000000B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right="0" w:hanging="360"/>
        <w:jc w:val="left"/>
        <w:rPr>
          <w:rFonts w:ascii="Calibri" w:hAnsi="Calibri" w:eastAsia="Calibri" w:cs="Calibri"/>
          <w:b/>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Data Cleaning Process</w:t>
      </w:r>
    </w:p>
    <w:p w14:paraId="000000B3">
      <w:pPr>
        <w:spacing w:line="360" w:lineRule="auto"/>
        <w:rPr>
          <w:rFonts w:ascii="Calibri" w:hAnsi="Calibri" w:eastAsia="Calibri" w:cs="Calibri"/>
          <w:sz w:val="20"/>
          <w:szCs w:val="20"/>
        </w:rPr>
      </w:pPr>
      <w:r>
        <w:rPr>
          <w:rFonts w:ascii="Calibri" w:hAnsi="Calibri" w:eastAsia="Calibri" w:cs="Calibri"/>
          <w:rtl w:val="0"/>
        </w:rPr>
        <w:t>Here are the approaches used for cleaning the dataset:</w:t>
      </w:r>
    </w:p>
    <w:p w14:paraId="000000B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Converted columns to their appropriate data types (e.g., Datetime, INT, Object, Float)</w:t>
      </w:r>
    </w:p>
    <w:p w14:paraId="000000B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Trimmed extra and unnecessary white spaces across all fields.</w:t>
      </w:r>
    </w:p>
    <w:p w14:paraId="000000B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Cleaned and standardized key text columns (Name, Major, Institution, Country) by:</w:t>
      </w:r>
    </w:p>
    <w:p w14:paraId="000000B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Correcting misspellings and variations.</w:t>
      </w:r>
    </w:p>
    <w:p w14:paraId="000000B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Removing invalid or unusually short entries.</w:t>
      </w:r>
    </w:p>
    <w:p w14:paraId="000000B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Stripping digits and symbols.</w:t>
      </w:r>
    </w:p>
    <w:p w14:paraId="000000BA">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Normalizing spaces.</w:t>
      </w:r>
    </w:p>
    <w:p w14:paraId="000000B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Ensuring consistent capitalization.</w:t>
      </w:r>
    </w:p>
    <w:p w14:paraId="000000B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Mapping inconsistent values to standard forms.</w:t>
      </w:r>
    </w:p>
    <w:p w14:paraId="000000B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Translating non-English text into English for consistency.</w:t>
      </w:r>
    </w:p>
    <w:p w14:paraId="000000B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Checked for duplicate records in the dataset.</w:t>
      </w:r>
    </w:p>
    <w:p w14:paraId="000000B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 Filled missing values as follows:</w:t>
      </w:r>
    </w:p>
    <w:p w14:paraId="000000C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“First Name” nulls replaced with “Not Specified”.</w:t>
      </w:r>
    </w:p>
    <w:p w14:paraId="000000C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For “Institution Name and Current/Intended Major” applied group-based imputation (grouped by </w:t>
      </w:r>
      <w:r>
        <w:rPr>
          <w:rFonts w:ascii="Calibri" w:hAnsi="Calibri" w:eastAsia="Calibri" w:cs="Calibri"/>
          <w:b w:val="0"/>
          <w:i/>
          <w:smallCaps w:val="0"/>
          <w:strike w:val="0"/>
          <w:color w:val="000000"/>
          <w:sz w:val="24"/>
          <w:szCs w:val="24"/>
          <w:u w:val="none"/>
          <w:shd w:val="clear" w:fill="auto"/>
          <w:vertAlign w:val="baseline"/>
          <w:rtl w:val="0"/>
        </w:rPr>
        <w:t>First Name, Date of Birth, Country</w:t>
      </w:r>
      <w:r>
        <w:rPr>
          <w:rFonts w:ascii="Calibri" w:hAnsi="Calibri" w:eastAsia="Calibri" w:cs="Calibri"/>
          <w:b w:val="0"/>
          <w:i w:val="0"/>
          <w:smallCaps w:val="0"/>
          <w:strike w:val="0"/>
          <w:color w:val="000000"/>
          <w:sz w:val="24"/>
          <w:szCs w:val="24"/>
          <w:u w:val="none"/>
          <w:shd w:val="clear" w:fill="auto"/>
          <w:vertAlign w:val="baseline"/>
          <w:rtl w:val="0"/>
        </w:rPr>
        <w:t xml:space="preserve">) to fill missing values with the first non-null entry; remaining nulls replaced with </w:t>
      </w:r>
      <w:r>
        <w:rPr>
          <w:rFonts w:ascii="Calibri" w:hAnsi="Calibri" w:eastAsia="Calibri" w:cs="Calibri"/>
          <w:b w:val="0"/>
          <w:i/>
          <w:smallCaps w:val="0"/>
          <w:strike w:val="0"/>
          <w:color w:val="000000"/>
          <w:sz w:val="24"/>
          <w:szCs w:val="24"/>
          <w:u w:val="none"/>
          <w:shd w:val="clear" w:fill="auto"/>
          <w:vertAlign w:val="baseline"/>
          <w:rtl w:val="0"/>
        </w:rPr>
        <w:t>“Not Specified”</w:t>
      </w:r>
      <w:r>
        <w:rPr>
          <w:rFonts w:ascii="Calibri" w:hAnsi="Calibri" w:eastAsia="Calibri" w:cs="Calibri"/>
          <w:b w:val="0"/>
          <w:i w:val="0"/>
          <w:smallCaps w:val="0"/>
          <w:strike w:val="0"/>
          <w:color w:val="000000"/>
          <w:sz w:val="24"/>
          <w:szCs w:val="24"/>
          <w:u w:val="none"/>
          <w:shd w:val="clear" w:fill="auto"/>
          <w:vertAlign w:val="baseline"/>
          <w:rtl w:val="0"/>
        </w:rPr>
        <w:t>.</w:t>
      </w:r>
    </w:p>
    <w:p w14:paraId="000000C2">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Filled missing values in “Opportunity Start Date” with the mode date of each group, after grouping by Opportunity Name. </w:t>
      </w:r>
    </w:p>
    <w:p w14:paraId="000000C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1350" w:right="0" w:hanging="45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For missing values in Opportunity Start Date (Competition category only), calculated the average duration between start and end dates and imputed missing start dates by subtracting this duration from the corresponding end date.</w:t>
      </w:r>
    </w:p>
    <w:p w14:paraId="000000C4">
      <w:pPr>
        <w:spacing w:line="360" w:lineRule="auto"/>
        <w:rPr>
          <w:rFonts w:ascii="Calibri" w:hAnsi="Calibri" w:eastAsia="Calibri" w:cs="Calibri"/>
        </w:rPr>
      </w:pPr>
      <w:r>
        <w:rPr>
          <w:rFonts w:ascii="Calibri" w:hAnsi="Calibri" w:eastAsia="Calibri" w:cs="Calibri"/>
          <w:rtl w:val="0"/>
        </w:rPr>
        <w:t>These steps ensured accuracy, consistency, and completeness of the data.</w:t>
      </w:r>
    </w:p>
    <w:p w14:paraId="000000C5">
      <w:pPr>
        <w:spacing w:line="360" w:lineRule="auto"/>
        <w:rPr>
          <w:rFonts w:ascii="Calibri" w:hAnsi="Calibri" w:eastAsia="Calibri" w:cs="Calibri"/>
        </w:rPr>
      </w:pP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0" w:right="0" w:firstLine="0"/>
        <w:jc w:val="left"/>
      </w:pPr>
    </w:p>
    <w:p w14:paraId="000000C8">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Chars="0" w:right="0" w:rightChars="0"/>
        <w:jc w:val="left"/>
        <w:rPr>
          <w:rFonts w:ascii="Calibri" w:hAnsi="Calibri" w:eastAsia="Calibri" w:cs="Calibri"/>
          <w:b/>
          <w:i w:val="0"/>
          <w:smallCaps w:val="0"/>
          <w:strike w:val="0"/>
          <w:color w:val="000000"/>
          <w:sz w:val="32"/>
          <w:szCs w:val="32"/>
          <w:u w:val="none"/>
          <w:shd w:val="clear" w:fill="auto"/>
          <w:vertAlign w:val="baseline"/>
        </w:rPr>
      </w:pPr>
      <w:r>
        <w:rPr>
          <w:rFonts w:hint="default" w:cs="Calibri"/>
          <w:b/>
          <w:i w:val="0"/>
          <w:smallCaps w:val="0"/>
          <w:strike w:val="0"/>
          <w:color w:val="000000"/>
          <w:sz w:val="32"/>
          <w:szCs w:val="32"/>
          <w:u w:val="none"/>
          <w:shd w:val="clear" w:fill="auto"/>
          <w:vertAlign w:val="baseline"/>
          <w:rtl w:val="0"/>
          <w:lang w:val="en-US"/>
        </w:rPr>
        <w:t>3.</w:t>
      </w:r>
      <w:bookmarkStart w:id="0" w:name="_GoBack"/>
      <w:bookmarkEnd w:id="0"/>
      <w:r>
        <w:rPr>
          <w:rFonts w:ascii="Calibri" w:hAnsi="Calibri" w:eastAsia="Calibri" w:cs="Calibri"/>
          <w:b/>
          <w:i w:val="0"/>
          <w:smallCaps w:val="0"/>
          <w:strike w:val="0"/>
          <w:color w:val="000000"/>
          <w:sz w:val="32"/>
          <w:szCs w:val="32"/>
          <w:u w:val="none"/>
          <w:shd w:val="clear" w:fill="auto"/>
          <w:vertAlign w:val="baseline"/>
          <w:rtl w:val="0"/>
        </w:rPr>
        <w:t xml:space="preserve">  Exploratory Data Analysis (EDA):</w:t>
      </w:r>
    </w:p>
    <w:p w14:paraId="000000C9">
      <w:pPr>
        <w:tabs>
          <w:tab w:val="left" w:pos="0"/>
          <w:tab w:val="left" w:pos="270"/>
        </w:tabs>
        <w:rPr>
          <w:rFonts w:ascii="Calibri" w:hAnsi="Calibri" w:eastAsia="Calibri" w:cs="Calibri"/>
        </w:rPr>
      </w:pPr>
      <w:r>
        <w:rPr>
          <w:rFonts w:ascii="Calibri" w:hAnsi="Calibri" w:eastAsia="Calibri" w:cs="Calibri"/>
          <w:b/>
          <w:sz w:val="28"/>
          <w:szCs w:val="28"/>
          <w:rtl w:val="0"/>
        </w:rPr>
        <w:t>Unique Value Analysis</w:t>
      </w:r>
      <w:r>
        <w:rPr>
          <w:rFonts w:ascii="Calibri" w:hAnsi="Calibri" w:eastAsia="Calibri" w:cs="Calibri"/>
          <w:rtl w:val="0"/>
        </w:rPr>
        <w:t>:</w:t>
      </w:r>
    </w:p>
    <w:p w14:paraId="000000CA">
      <w:pPr>
        <w:tabs>
          <w:tab w:val="left" w:pos="0"/>
          <w:tab w:val="left" w:pos="270"/>
        </w:tabs>
        <w:rPr>
          <w:rFonts w:ascii="Calibri" w:hAnsi="Calibri" w:eastAsia="Calibri" w:cs="Calibri"/>
        </w:rPr>
      </w:pPr>
      <w:r>
        <w:rPr>
          <w:rFonts w:ascii="Calibri" w:hAnsi="Calibri" w:eastAsia="Calibri" w:cs="Calibri"/>
          <w:rtl w:val="0"/>
        </w:rPr>
        <w:t>The unique value analysis provides an overview of the diversity and distinctiveness of entries across all dataset columns.</w:t>
      </w:r>
    </w:p>
    <w:p w14:paraId="000000C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Date &amp; DateTime Columns</w:t>
      </w:r>
    </w:p>
    <w:p w14:paraId="000000CC">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Learner SignUp DateTime: 3907 unique values</w:t>
      </w:r>
    </w:p>
    <w:p w14:paraId="000000CD">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Opportunity End Date: 17 unique values</w:t>
      </w:r>
    </w:p>
    <w:p w14:paraId="000000CE">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Date of Birth: 2620 unique values</w:t>
      </w:r>
    </w:p>
    <w:p w14:paraId="000000CF">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Entry created at: 94 unique values</w:t>
      </w:r>
    </w:p>
    <w:p w14:paraId="000000D0">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Apply Date: 8483 unique values</w:t>
      </w:r>
    </w:p>
    <w:p w14:paraId="000000D1">
      <w:pPr>
        <w:numPr>
          <w:ilvl w:val="0"/>
          <w:numId w:val="9"/>
        </w:numPr>
        <w:tabs>
          <w:tab w:val="left" w:pos="0"/>
          <w:tab w:val="left" w:pos="270"/>
          <w:tab w:val="left" w:pos="1440"/>
        </w:tabs>
        <w:ind w:left="1170" w:hanging="90"/>
        <w:rPr>
          <w:rFonts w:ascii="Calibri" w:hAnsi="Calibri" w:eastAsia="Calibri" w:cs="Calibri"/>
        </w:rPr>
      </w:pPr>
      <w:r>
        <w:rPr>
          <w:rFonts w:ascii="Calibri" w:hAnsi="Calibri" w:eastAsia="Calibri" w:cs="Calibri"/>
          <w:rtl w:val="0"/>
        </w:rPr>
        <w:t>Opportunity Start Date: 20 unique values</w:t>
      </w:r>
    </w:p>
    <w:p w14:paraId="000000D2">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Categorical Columns</w:t>
      </w:r>
    </w:p>
    <w:p w14:paraId="000000D3">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Opportunity Id: 23 unique values </w:t>
      </w:r>
    </w:p>
    <w:p w14:paraId="000000D4">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Opportunity Name: 22 unique values</w:t>
      </w:r>
    </w:p>
    <w:p w14:paraId="000000D5">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Opportunity Category: 5 unique values</w:t>
      </w:r>
    </w:p>
    <w:p w14:paraId="000000D6">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First Name: 2864 unique values </w:t>
      </w:r>
    </w:p>
    <w:p w14:paraId="000000D7">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Gender: 4 unique values</w:t>
      </w:r>
    </w:p>
    <w:p w14:paraId="000000D8">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Country: 70 unique values</w:t>
      </w:r>
    </w:p>
    <w:p w14:paraId="000000D9">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Institution Name: 1466 unique values</w:t>
      </w:r>
    </w:p>
    <w:p w14:paraId="000000DA">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Current/Intended Major: 341 unique values</w:t>
      </w:r>
    </w:p>
    <w:p w14:paraId="000000DB">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Status Description: 8 unique values</w:t>
      </w:r>
    </w:p>
    <w:p w14:paraId="000000DC">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Status Code: 8 unique values </w:t>
      </w:r>
    </w:p>
    <w:p w14:paraId="000000DD">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Signup_Weekday: 7 unique values </w:t>
      </w:r>
    </w:p>
    <w:p w14:paraId="000000DE">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Signup_Month: 12 unique values </w:t>
      </w:r>
    </w:p>
    <w:p w14:paraId="000000DF">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Region: 5 unique values</w:t>
      </w:r>
    </w:p>
    <w:p w14:paraId="000000E0">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Major_Category: 4 unique values</w:t>
      </w:r>
    </w:p>
    <w:p w14:paraId="000000E1">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Age_Major_Combo: 20 unique values </w:t>
      </w:r>
    </w:p>
    <w:p w14:paraId="000000E2">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Country_Gender: 118 unique values </w:t>
      </w:r>
    </w:p>
    <w:p w14:paraId="000000E3">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Region_Opportunity: 23 unique values </w:t>
      </w:r>
    </w:p>
    <w:p w14:paraId="000000E4">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Region_AgeGroup: 24 unique values </w:t>
      </w:r>
    </w:p>
    <w:p w14:paraId="000000E5">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Age_Group: 5 unique values </w:t>
      </w:r>
    </w:p>
    <w:p w14:paraId="000000E6">
      <w:pPr>
        <w:numPr>
          <w:ilvl w:val="1"/>
          <w:numId w:val="10"/>
        </w:numPr>
        <w:tabs>
          <w:tab w:val="left" w:pos="0"/>
          <w:tab w:val="left" w:pos="270"/>
        </w:tabs>
        <w:ind w:left="1440" w:hanging="360"/>
        <w:rPr>
          <w:rFonts w:ascii="Calibri" w:hAnsi="Calibri" w:eastAsia="Calibri" w:cs="Calibri"/>
        </w:rPr>
      </w:pPr>
      <w:r>
        <w:rPr>
          <w:rFonts w:ascii="Calibri" w:hAnsi="Calibri" w:eastAsia="Calibri" w:cs="Calibri"/>
          <w:rtl w:val="0"/>
        </w:rPr>
        <w:t xml:space="preserve">Engagement_Level: 3 unique values </w:t>
      </w:r>
    </w:p>
    <w:p w14:paraId="000000E7">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Numeric Columns</w:t>
      </w:r>
    </w:p>
    <w:p w14:paraId="000000E8">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Age: 42 unique values </w:t>
      </w:r>
    </w:p>
    <w:p w14:paraId="000000E9">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Current_Age: 43 unique values </w:t>
      </w:r>
    </w:p>
    <w:p w14:paraId="000000EA">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Signup_to_Apply_Days: 727 unique values </w:t>
      </w:r>
    </w:p>
    <w:p w14:paraId="000000EB">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Course_Duration_Days: 25 unique values </w:t>
      </w:r>
    </w:p>
    <w:p w14:paraId="000000EC">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Signup_Hour: 24 unique values </w:t>
      </w:r>
    </w:p>
    <w:p w14:paraId="000000ED">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Gender_Encoded: 4 unique values </w:t>
      </w:r>
    </w:p>
    <w:p w14:paraId="000000EE">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Opportunity_Popularity: 22 unique values </w:t>
      </w:r>
    </w:p>
    <w:p w14:paraId="000000EF">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Engagement_Score: 10 unique values </w:t>
      </w:r>
    </w:p>
    <w:p w14:paraId="000000F0">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Apply_vs_Start_Gap: 1018 unique values </w:t>
      </w:r>
    </w:p>
    <w:p w14:paraId="000000F1">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Applications_per_User: 33 unique values </w:t>
      </w:r>
    </w:p>
    <w:p w14:paraId="000000F2">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Unique_Categories_per_User: 5 unique values </w:t>
      </w:r>
    </w:p>
    <w:p w14:paraId="000000F3">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Applications_for_Opportunity: 23 unique values </w:t>
      </w:r>
    </w:p>
    <w:p w14:paraId="000000F4">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Region_Normalized_Applications: 50 unique values </w:t>
      </w:r>
    </w:p>
    <w:p w14:paraId="000000F5">
      <w:pPr>
        <w:numPr>
          <w:ilvl w:val="1"/>
          <w:numId w:val="12"/>
        </w:numPr>
        <w:tabs>
          <w:tab w:val="left" w:pos="0"/>
          <w:tab w:val="left" w:pos="270"/>
        </w:tabs>
        <w:ind w:left="1440" w:hanging="360"/>
        <w:rPr>
          <w:rFonts w:ascii="Calibri" w:hAnsi="Calibri" w:eastAsia="Calibri" w:cs="Calibri"/>
        </w:rPr>
      </w:pPr>
      <w:r>
        <w:rPr>
          <w:rFonts w:ascii="Calibri" w:hAnsi="Calibri" w:eastAsia="Calibri" w:cs="Calibri"/>
          <w:rtl w:val="0"/>
        </w:rPr>
        <w:t xml:space="preserve">User_Success_Rate: 76 unique values </w:t>
      </w:r>
    </w:p>
    <w:p w14:paraId="000000F6">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Binary Columns</w:t>
      </w:r>
    </w:p>
    <w:p w14:paraId="000000F7">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Is_Weekend_Signup: 2 unique values</w:t>
      </w:r>
    </w:p>
    <w:p w14:paraId="000000F8">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Quick_Applicant: 2 unique values</w:t>
      </w:r>
    </w:p>
    <w:p w14:paraId="000000F9">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Invalid_Application_Timing: 2 unique values</w:t>
      </w:r>
    </w:p>
    <w:p w14:paraId="000000FA">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Is_Successful: 2 unique values</w:t>
      </w:r>
    </w:p>
    <w:p w14:paraId="000000FB">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Same_Day_Application: 2 unique values</w:t>
      </w:r>
    </w:p>
    <w:p w14:paraId="000000FC">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Late_Applicant: 2 unique values</w:t>
      </w:r>
    </w:p>
    <w:p w14:paraId="000000FD">
      <w:pPr>
        <w:numPr>
          <w:ilvl w:val="0"/>
          <w:numId w:val="14"/>
        </w:numPr>
        <w:tabs>
          <w:tab w:val="left" w:pos="0"/>
          <w:tab w:val="left" w:pos="270"/>
          <w:tab w:val="left" w:pos="1530"/>
        </w:tabs>
        <w:ind w:left="720" w:firstLine="360"/>
        <w:rPr>
          <w:rFonts w:ascii="Calibri" w:hAnsi="Calibri" w:eastAsia="Calibri" w:cs="Calibri"/>
        </w:rPr>
      </w:pPr>
      <w:r>
        <w:rPr>
          <w:rFonts w:ascii="Calibri" w:hAnsi="Calibri" w:eastAsia="Calibri" w:cs="Calibri"/>
          <w:rtl w:val="0"/>
        </w:rPr>
        <w:t>Popular_Opportunity: 2 unique values</w:t>
      </w:r>
    </w:p>
    <w:p w14:paraId="000000FE">
      <w:pPr>
        <w:tabs>
          <w:tab w:val="left" w:pos="0"/>
          <w:tab w:val="left" w:pos="270"/>
          <w:tab w:val="left" w:pos="1530"/>
        </w:tabs>
        <w:rPr>
          <w:rFonts w:ascii="Calibri" w:hAnsi="Calibri" w:eastAsia="Calibri" w:cs="Calibri"/>
          <w:sz w:val="10"/>
          <w:szCs w:val="10"/>
        </w:rPr>
      </w:pPr>
    </w:p>
    <w:p w14:paraId="000000FF">
      <w:pPr>
        <w:tabs>
          <w:tab w:val="left" w:pos="0"/>
          <w:tab w:val="left" w:pos="270"/>
          <w:tab w:val="left" w:pos="1530"/>
        </w:tabs>
        <w:rPr>
          <w:rFonts w:ascii="Calibri" w:hAnsi="Calibri" w:eastAsia="Calibri" w:cs="Calibri"/>
          <w:b/>
          <w:sz w:val="28"/>
          <w:szCs w:val="28"/>
        </w:rPr>
      </w:pPr>
      <w:r>
        <w:rPr>
          <w:rFonts w:ascii="Calibri" w:hAnsi="Calibri" w:eastAsia="Calibri" w:cs="Calibri"/>
          <w:b/>
          <w:sz w:val="28"/>
          <w:szCs w:val="28"/>
          <w:rtl w:val="0"/>
        </w:rPr>
        <w:t>Outliers (With Box Plot):</w:t>
      </w:r>
    </w:p>
    <w:p w14:paraId="00000100">
      <w:pPr>
        <w:tabs>
          <w:tab w:val="left" w:pos="0"/>
          <w:tab w:val="left" w:pos="270"/>
          <w:tab w:val="left" w:pos="1530"/>
        </w:tabs>
        <w:jc w:val="both"/>
        <w:rPr>
          <w:rFonts w:ascii="Calibri" w:hAnsi="Calibri" w:eastAsia="Calibri" w:cs="Calibri"/>
        </w:rPr>
      </w:pPr>
      <w:r>
        <w:rPr>
          <w:rFonts w:ascii="Calibri" w:hAnsi="Calibri" w:eastAsia="Calibri" w:cs="Calibri"/>
          <w:rtl w:val="0"/>
        </w:rPr>
        <w:t>The outlier analysis identifies extreme values in numeric variables that deviate significantly from the typical range. Boxplots were used to visually detect these outliers.</w:t>
      </w:r>
    </w:p>
    <w:p w14:paraId="00000102">
      <w:pPr>
        <w:tabs>
          <w:tab w:val="left" w:pos="0"/>
          <w:tab w:val="left" w:pos="270"/>
          <w:tab w:val="left" w:pos="1530"/>
        </w:tabs>
        <w:rPr>
          <w:rFonts w:ascii="Calibri" w:hAnsi="Calibri" w:eastAsia="Calibri" w:cs="Calibri"/>
          <w:b/>
          <w:sz w:val="28"/>
          <w:szCs w:val="28"/>
        </w:rPr>
      </w:pPr>
      <w:r>
        <w:rPr>
          <w:rFonts w:ascii="Calibri" w:hAnsi="Calibri" w:eastAsia="Calibri" w:cs="Calibri"/>
        </w:rPr>
        <w:drawing>
          <wp:inline distT="0" distB="0" distL="0" distR="0">
            <wp:extent cx="6400800" cy="3715385"/>
            <wp:effectExtent l="0" t="0" r="0" b="5715"/>
            <wp:docPr id="2076793870" name="image5.png"/>
            <wp:cNvGraphicFramePr/>
            <a:graphic xmlns:a="http://schemas.openxmlformats.org/drawingml/2006/main">
              <a:graphicData uri="http://schemas.openxmlformats.org/drawingml/2006/picture">
                <pic:pic xmlns:pic="http://schemas.openxmlformats.org/drawingml/2006/picture">
                  <pic:nvPicPr>
                    <pic:cNvPr id="2076793870" name="image5.png"/>
                    <pic:cNvPicPr preferRelativeResize="0"/>
                  </pic:nvPicPr>
                  <pic:blipFill>
                    <a:blip r:embed="rId6"/>
                    <a:srcRect/>
                    <a:stretch>
                      <a:fillRect/>
                    </a:stretch>
                  </pic:blipFill>
                  <pic:spPr>
                    <a:xfrm>
                      <a:off x="0" y="0"/>
                      <a:ext cx="6400800" cy="3715385"/>
                    </a:xfrm>
                    <a:prstGeom prst="rect">
                      <a:avLst/>
                    </a:prstGeom>
                  </pic:spPr>
                </pic:pic>
              </a:graphicData>
            </a:graphic>
          </wp:inline>
        </w:drawing>
      </w:r>
      <w:r>
        <w:rPr>
          <w:rFonts w:ascii="Calibri" w:hAnsi="Calibri" w:eastAsia="Calibri" w:cs="Calibri"/>
          <w:b/>
          <w:sz w:val="28"/>
          <w:szCs w:val="28"/>
          <w:rtl w:val="0"/>
        </w:rPr>
        <w:t>Outliers (With Code):</w:t>
      </w:r>
    </w:p>
    <w:p w14:paraId="00000103">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Status Code: 0 outliers</w:t>
      </w:r>
    </w:p>
    <w:p w14:paraId="00000104">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Age: 488 outliers</w:t>
      </w:r>
    </w:p>
    <w:p w14:paraId="00000105">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Current_Age: 640 outliers</w:t>
      </w:r>
    </w:p>
    <w:p w14:paraId="00000106">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Signup_to_Apply_Days: 661 outliers</w:t>
      </w:r>
    </w:p>
    <w:p w14:paraId="00000107">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Course_Duration_Days: 0 outliers</w:t>
      </w:r>
    </w:p>
    <w:p w14:paraId="00000108">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Signup_Month: 0 outliers</w:t>
      </w:r>
    </w:p>
    <w:p w14:paraId="00000109">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Signup_Hour: 0 outliers</w:t>
      </w:r>
    </w:p>
    <w:p w14:paraId="0000010A">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Quick_Applicant: 0 outliers</w:t>
      </w:r>
    </w:p>
    <w:p w14:paraId="0000010B">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Gender_Encoded: 15 outliers</w:t>
      </w:r>
    </w:p>
    <w:p w14:paraId="0000010C">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Is_Successful: 0 outliers</w:t>
      </w:r>
    </w:p>
    <w:p w14:paraId="0000010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Same_Day_Application: 0 outliers</w:t>
      </w:r>
    </w:p>
    <w:p w14:paraId="0000010E">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Late_Applicant: 0 outliers</w:t>
      </w:r>
    </w:p>
    <w:p w14:paraId="0000010F">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Opportunity_Popularity: 0 outliers</w:t>
      </w:r>
    </w:p>
    <w:p w14:paraId="0000011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Popular_Opportunity: 0 outliers</w:t>
      </w:r>
    </w:p>
    <w:p w14:paraId="00000111">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Engagement_Score: 0 outliers</w:t>
      </w:r>
    </w:p>
    <w:p w14:paraId="00000112">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Apply_vs_Start_Gap: 92 outliers</w:t>
      </w:r>
    </w:p>
    <w:p w14:paraId="00000113">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Applications_per_User: 486 outliers</w:t>
      </w:r>
    </w:p>
    <w:p w14:paraId="00000114">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Unique_Categories_per_User: 0 outliers</w:t>
      </w:r>
    </w:p>
    <w:p w14:paraId="00000115">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Applications_for_Opportunity: 0 outliers</w:t>
      </w:r>
    </w:p>
    <w:p w14:paraId="00000116">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Region_Normalized_Applications: 0 outliers</w:t>
      </w:r>
    </w:p>
    <w:p w14:paraId="00000117">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User_Success_Rate: 0 outliers</w:t>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 w:val="left" w:pos="1530"/>
        </w:tabs>
        <w:spacing w:before="0" w:after="160" w:line="278" w:lineRule="auto"/>
        <w:ind w:left="720" w:right="0" w:firstLine="0"/>
        <w:jc w:val="left"/>
        <w:rPr>
          <w:rFonts w:ascii="Calibri" w:hAnsi="Calibri" w:eastAsia="Calibri" w:cs="Calibri"/>
          <w:b w:val="0"/>
          <w:i w:val="0"/>
          <w:smallCaps w:val="0"/>
          <w:strike w:val="0"/>
          <w:color w:val="000000"/>
          <w:sz w:val="10"/>
          <w:szCs w:val="10"/>
          <w:u w:val="none"/>
          <w:shd w:val="clear" w:fill="auto"/>
          <w:vertAlign w:val="baseline"/>
        </w:rPr>
      </w:pPr>
    </w:p>
    <w:p w14:paraId="00000119">
      <w:pPr>
        <w:tabs>
          <w:tab w:val="left" w:pos="0"/>
          <w:tab w:val="left" w:pos="270"/>
          <w:tab w:val="left" w:pos="1530"/>
        </w:tabs>
        <w:rPr>
          <w:rFonts w:ascii="Calibri" w:hAnsi="Calibri" w:eastAsia="Calibri" w:cs="Calibri"/>
          <w:b/>
          <w:sz w:val="28"/>
          <w:szCs w:val="28"/>
        </w:rPr>
      </w:pPr>
      <w:r>
        <w:rPr>
          <w:rFonts w:ascii="Calibri" w:hAnsi="Calibri" w:eastAsia="Calibri" w:cs="Calibri"/>
          <w:b/>
          <w:sz w:val="28"/>
          <w:szCs w:val="28"/>
          <w:rtl w:val="0"/>
        </w:rPr>
        <w:t>Statistical Summary :</w:t>
      </w:r>
    </w:p>
    <w:p w14:paraId="0000011A">
      <w:pPr>
        <w:tabs>
          <w:tab w:val="left" w:pos="0"/>
          <w:tab w:val="left" w:pos="270"/>
          <w:tab w:val="left" w:pos="1530"/>
        </w:tabs>
        <w:jc w:val="both"/>
        <w:rPr>
          <w:rFonts w:ascii="Calibri" w:hAnsi="Calibri" w:eastAsia="Calibri" w:cs="Calibri"/>
        </w:rPr>
      </w:pPr>
      <w:r>
        <w:rPr>
          <w:rFonts w:ascii="Calibri" w:hAnsi="Calibri" w:eastAsia="Calibri" w:cs="Calibri"/>
          <w:rtl w:val="0"/>
        </w:rPr>
        <w:t>The statistical summary provides an overview of the key numerical features in the dataset. It includes measures such as count, mean, standard deviation, minimum, maximum, quartiles, and range.</w:t>
      </w:r>
    </w:p>
    <w:p w14:paraId="0000011B">
      <w:pPr>
        <w:tabs>
          <w:tab w:val="left" w:pos="0"/>
          <w:tab w:val="left" w:pos="270"/>
          <w:tab w:val="left" w:pos="1530"/>
        </w:tabs>
        <w:rPr>
          <w:rFonts w:ascii="Calibri" w:hAnsi="Calibri" w:eastAsia="Calibri" w:cs="Calibri"/>
          <w:sz w:val="6"/>
          <w:szCs w:val="6"/>
        </w:rPr>
      </w:pPr>
    </w:p>
    <w:tbl>
      <w:tblPr>
        <w:tblStyle w:val="40"/>
        <w:tblW w:w="10615" w:type="dxa"/>
        <w:jc w:val="center"/>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605"/>
        <w:gridCol w:w="810"/>
        <w:gridCol w:w="990"/>
        <w:gridCol w:w="720"/>
        <w:gridCol w:w="900"/>
        <w:gridCol w:w="900"/>
        <w:gridCol w:w="900"/>
        <w:gridCol w:w="990"/>
        <w:gridCol w:w="900"/>
        <w:gridCol w:w="900"/>
      </w:tblGrid>
      <w:tr w14:paraId="37F4744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9" w:hRule="atLeast"/>
          <w:jc w:val="center"/>
        </w:trPr>
        <w:tc>
          <w:tcPr>
            <w:vAlign w:val="center"/>
          </w:tcPr>
          <w:p w14:paraId="0000011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Column Name</w:t>
            </w:r>
          </w:p>
        </w:tc>
        <w:tc>
          <w:tcPr>
            <w:vAlign w:val="center"/>
          </w:tcPr>
          <w:p w14:paraId="0000011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Count</w:t>
            </w:r>
          </w:p>
        </w:tc>
        <w:tc>
          <w:tcPr>
            <w:vAlign w:val="center"/>
          </w:tcPr>
          <w:p w14:paraId="0000011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Mean</w:t>
            </w:r>
          </w:p>
        </w:tc>
        <w:tc>
          <w:tcPr>
            <w:vAlign w:val="center"/>
          </w:tcPr>
          <w:p w14:paraId="0000011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Std</w:t>
            </w:r>
          </w:p>
        </w:tc>
        <w:tc>
          <w:tcPr>
            <w:vAlign w:val="center"/>
          </w:tcPr>
          <w:p w14:paraId="0000012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Min</w:t>
            </w:r>
          </w:p>
        </w:tc>
        <w:tc>
          <w:tcPr>
            <w:vAlign w:val="center"/>
          </w:tcPr>
          <w:p w14:paraId="0000012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25%</w:t>
            </w:r>
          </w:p>
        </w:tc>
        <w:tc>
          <w:tcPr>
            <w:vAlign w:val="center"/>
          </w:tcPr>
          <w:p w14:paraId="0000012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50%</w:t>
            </w:r>
          </w:p>
        </w:tc>
        <w:tc>
          <w:tcPr>
            <w:vAlign w:val="center"/>
          </w:tcPr>
          <w:p w14:paraId="0000012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75%</w:t>
            </w:r>
          </w:p>
        </w:tc>
        <w:tc>
          <w:tcPr>
            <w:vAlign w:val="center"/>
          </w:tcPr>
          <w:p w14:paraId="0000012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Max</w:t>
            </w:r>
          </w:p>
        </w:tc>
        <w:tc>
          <w:tcPr>
            <w:vAlign w:val="center"/>
          </w:tcPr>
          <w:p w14:paraId="0000012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Range</w:t>
            </w:r>
          </w:p>
        </w:tc>
      </w:tr>
      <w:tr w14:paraId="5594957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2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Status Code</w:t>
            </w:r>
          </w:p>
        </w:tc>
        <w:tc>
          <w:tcPr>
            <w:vAlign w:val="center"/>
          </w:tcPr>
          <w:p w14:paraId="0000012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2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1052.23</w:t>
            </w:r>
          </w:p>
        </w:tc>
        <w:tc>
          <w:tcPr>
            <w:vAlign w:val="center"/>
          </w:tcPr>
          <w:p w14:paraId="0000012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21.67</w:t>
            </w:r>
          </w:p>
        </w:tc>
        <w:tc>
          <w:tcPr>
            <w:vAlign w:val="center"/>
          </w:tcPr>
          <w:p w14:paraId="0000012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1010.00</w:t>
            </w:r>
          </w:p>
        </w:tc>
        <w:tc>
          <w:tcPr>
            <w:vAlign w:val="center"/>
          </w:tcPr>
          <w:p w14:paraId="0000012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1030.00</w:t>
            </w:r>
          </w:p>
        </w:tc>
        <w:tc>
          <w:tcPr>
            <w:vAlign w:val="center"/>
          </w:tcPr>
          <w:p w14:paraId="0000012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1050.00</w:t>
            </w:r>
          </w:p>
        </w:tc>
        <w:tc>
          <w:tcPr>
            <w:vAlign w:val="center"/>
          </w:tcPr>
          <w:p w14:paraId="0000012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1070.00</w:t>
            </w:r>
          </w:p>
        </w:tc>
        <w:tc>
          <w:tcPr>
            <w:vAlign w:val="center"/>
          </w:tcPr>
          <w:p w14:paraId="0000012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1120.00</w:t>
            </w:r>
          </w:p>
        </w:tc>
        <w:tc>
          <w:tcPr>
            <w:vAlign w:val="center"/>
          </w:tcPr>
          <w:p w14:paraId="0000012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110.00</w:t>
            </w:r>
          </w:p>
        </w:tc>
      </w:tr>
      <w:tr w14:paraId="3F668AB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3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Age</w:t>
            </w:r>
          </w:p>
        </w:tc>
        <w:tc>
          <w:tcPr>
            <w:vAlign w:val="center"/>
          </w:tcPr>
          <w:p w14:paraId="0000013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3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25.39</w:t>
            </w:r>
          </w:p>
        </w:tc>
        <w:tc>
          <w:tcPr>
            <w:vAlign w:val="center"/>
          </w:tcPr>
          <w:p w14:paraId="0000013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4.40</w:t>
            </w:r>
          </w:p>
        </w:tc>
        <w:tc>
          <w:tcPr>
            <w:vAlign w:val="center"/>
          </w:tcPr>
          <w:p w14:paraId="0000013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6.00</w:t>
            </w:r>
          </w:p>
        </w:tc>
        <w:tc>
          <w:tcPr>
            <w:vAlign w:val="center"/>
          </w:tcPr>
          <w:p w14:paraId="0000013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23.00</w:t>
            </w:r>
          </w:p>
        </w:tc>
        <w:tc>
          <w:tcPr>
            <w:vAlign w:val="center"/>
          </w:tcPr>
          <w:p w14:paraId="0000013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25.00</w:t>
            </w:r>
          </w:p>
        </w:tc>
        <w:tc>
          <w:tcPr>
            <w:vAlign w:val="center"/>
          </w:tcPr>
          <w:p w14:paraId="0000013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27.00</w:t>
            </w:r>
          </w:p>
        </w:tc>
        <w:tc>
          <w:tcPr>
            <w:vAlign w:val="center"/>
          </w:tcPr>
          <w:p w14:paraId="0000013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59.00</w:t>
            </w:r>
          </w:p>
        </w:tc>
        <w:tc>
          <w:tcPr>
            <w:vAlign w:val="center"/>
          </w:tcPr>
          <w:p w14:paraId="0000013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53.00</w:t>
            </w:r>
          </w:p>
        </w:tc>
      </w:tr>
      <w:tr w14:paraId="7FCCDBC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3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Current_Age</w:t>
            </w:r>
          </w:p>
        </w:tc>
        <w:tc>
          <w:tcPr>
            <w:vAlign w:val="center"/>
          </w:tcPr>
          <w:p w14:paraId="0000013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3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3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3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-4.40</w:t>
            </w:r>
          </w:p>
        </w:tc>
        <w:tc>
          <w:tcPr>
            <w:vAlign w:val="center"/>
          </w:tcPr>
          <w:p w14:paraId="0000013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-0.54</w:t>
            </w:r>
          </w:p>
        </w:tc>
        <w:tc>
          <w:tcPr>
            <w:vAlign w:val="center"/>
          </w:tcPr>
          <w:p w14:paraId="0000014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-0.08</w:t>
            </w:r>
          </w:p>
        </w:tc>
        <w:tc>
          <w:tcPr>
            <w:vAlign w:val="center"/>
          </w:tcPr>
          <w:p w14:paraId="0000014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0.37</w:t>
            </w:r>
          </w:p>
        </w:tc>
        <w:tc>
          <w:tcPr>
            <w:vAlign w:val="center"/>
          </w:tcPr>
          <w:p w14:paraId="0000014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7.65</w:t>
            </w:r>
          </w:p>
        </w:tc>
        <w:tc>
          <w:tcPr>
            <w:vAlign w:val="center"/>
          </w:tcPr>
          <w:p w14:paraId="0000014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12.05</w:t>
            </w:r>
          </w:p>
        </w:tc>
      </w:tr>
      <w:tr w14:paraId="03C997F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4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Signup_to_Apply_Days</w:t>
            </w:r>
          </w:p>
        </w:tc>
        <w:tc>
          <w:tcPr>
            <w:vAlign w:val="center"/>
          </w:tcPr>
          <w:p w14:paraId="0000014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4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4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4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-3.59</w:t>
            </w:r>
          </w:p>
        </w:tc>
        <w:tc>
          <w:tcPr>
            <w:vAlign w:val="center"/>
          </w:tcPr>
          <w:p w14:paraId="0000014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-0.47</w:t>
            </w:r>
          </w:p>
        </w:tc>
        <w:tc>
          <w:tcPr>
            <w:vAlign w:val="center"/>
          </w:tcPr>
          <w:p w14:paraId="0000014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-0.47</w:t>
            </w:r>
          </w:p>
        </w:tc>
        <w:tc>
          <w:tcPr>
            <w:vAlign w:val="center"/>
          </w:tcPr>
          <w:p w14:paraId="0000014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0.49</w:t>
            </w:r>
          </w:p>
        </w:tc>
        <w:tc>
          <w:tcPr>
            <w:vAlign w:val="center"/>
          </w:tcPr>
          <w:p w14:paraId="0000014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4.40</w:t>
            </w:r>
          </w:p>
        </w:tc>
        <w:tc>
          <w:tcPr>
            <w:vAlign w:val="center"/>
          </w:tcPr>
          <w:p w14:paraId="0000014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7.99</w:t>
            </w:r>
          </w:p>
        </w:tc>
      </w:tr>
      <w:tr w14:paraId="0A11E63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4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Course_Duration_Days</w:t>
            </w:r>
          </w:p>
        </w:tc>
        <w:tc>
          <w:tcPr>
            <w:vAlign w:val="center"/>
          </w:tcPr>
          <w:p w14:paraId="0000014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5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5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5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-1.10</w:t>
            </w:r>
          </w:p>
        </w:tc>
        <w:tc>
          <w:tcPr>
            <w:vAlign w:val="center"/>
          </w:tcPr>
          <w:p w14:paraId="0000015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-0.74</w:t>
            </w:r>
          </w:p>
        </w:tc>
        <w:tc>
          <w:tcPr>
            <w:vAlign w:val="center"/>
          </w:tcPr>
          <w:p w14:paraId="0000015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-0.31</w:t>
            </w:r>
          </w:p>
        </w:tc>
        <w:tc>
          <w:tcPr>
            <w:vAlign w:val="center"/>
          </w:tcPr>
          <w:p w14:paraId="0000015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0.59</w:t>
            </w:r>
          </w:p>
        </w:tc>
        <w:tc>
          <w:tcPr>
            <w:vAlign w:val="center"/>
          </w:tcPr>
          <w:p w14:paraId="0000015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1.91</w:t>
            </w:r>
          </w:p>
        </w:tc>
        <w:tc>
          <w:tcPr>
            <w:vAlign w:val="center"/>
          </w:tcPr>
          <w:p w14:paraId="0000015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3.01</w:t>
            </w:r>
          </w:p>
        </w:tc>
      </w:tr>
      <w:tr w14:paraId="6BD8CB6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5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Signup_Month</w:t>
            </w:r>
          </w:p>
        </w:tc>
        <w:tc>
          <w:tcPr>
            <w:vAlign w:val="center"/>
          </w:tcPr>
          <w:p w14:paraId="0000015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5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6.21</w:t>
            </w:r>
          </w:p>
        </w:tc>
        <w:tc>
          <w:tcPr>
            <w:vAlign w:val="center"/>
          </w:tcPr>
          <w:p w14:paraId="0000015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3.47</w:t>
            </w:r>
          </w:p>
        </w:tc>
        <w:tc>
          <w:tcPr>
            <w:vAlign w:val="center"/>
          </w:tcPr>
          <w:p w14:paraId="0000015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5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3.00</w:t>
            </w:r>
          </w:p>
        </w:tc>
        <w:tc>
          <w:tcPr>
            <w:vAlign w:val="center"/>
          </w:tcPr>
          <w:p w14:paraId="0000015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6.00</w:t>
            </w:r>
          </w:p>
        </w:tc>
        <w:tc>
          <w:tcPr>
            <w:vAlign w:val="center"/>
          </w:tcPr>
          <w:p w14:paraId="0000015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9.00</w:t>
            </w:r>
          </w:p>
        </w:tc>
        <w:tc>
          <w:tcPr>
            <w:vAlign w:val="center"/>
          </w:tcPr>
          <w:p w14:paraId="0000016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12.00</w:t>
            </w:r>
          </w:p>
        </w:tc>
        <w:tc>
          <w:tcPr>
            <w:vAlign w:val="center"/>
          </w:tcPr>
          <w:p w14:paraId="0000016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11.00</w:t>
            </w:r>
          </w:p>
        </w:tc>
      </w:tr>
      <w:tr w14:paraId="0690919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6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Signup_Hour</w:t>
            </w:r>
          </w:p>
        </w:tc>
        <w:tc>
          <w:tcPr>
            <w:vAlign w:val="center"/>
          </w:tcPr>
          <w:p w14:paraId="0000016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6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12.31</w:t>
            </w:r>
          </w:p>
        </w:tc>
        <w:tc>
          <w:tcPr>
            <w:vAlign w:val="center"/>
          </w:tcPr>
          <w:p w14:paraId="0000016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6.83</w:t>
            </w:r>
          </w:p>
        </w:tc>
        <w:tc>
          <w:tcPr>
            <w:vAlign w:val="center"/>
          </w:tcPr>
          <w:p w14:paraId="0000016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6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6.00</w:t>
            </w:r>
          </w:p>
        </w:tc>
        <w:tc>
          <w:tcPr>
            <w:vAlign w:val="center"/>
          </w:tcPr>
          <w:p w14:paraId="0000016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13.00</w:t>
            </w:r>
          </w:p>
        </w:tc>
        <w:tc>
          <w:tcPr>
            <w:vAlign w:val="center"/>
          </w:tcPr>
          <w:p w14:paraId="0000016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18.00</w:t>
            </w:r>
          </w:p>
        </w:tc>
        <w:tc>
          <w:tcPr>
            <w:vAlign w:val="center"/>
          </w:tcPr>
          <w:p w14:paraId="0000016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23.00</w:t>
            </w:r>
          </w:p>
        </w:tc>
        <w:tc>
          <w:tcPr>
            <w:vAlign w:val="center"/>
          </w:tcPr>
          <w:p w14:paraId="0000016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23.00</w:t>
            </w:r>
          </w:p>
        </w:tc>
      </w:tr>
      <w:tr w14:paraId="745B4B7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6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Quick_Applicant</w:t>
            </w:r>
          </w:p>
        </w:tc>
        <w:tc>
          <w:tcPr>
            <w:vAlign w:val="center"/>
          </w:tcPr>
          <w:p w14:paraId="0000016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6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0.52</w:t>
            </w:r>
          </w:p>
        </w:tc>
        <w:tc>
          <w:tcPr>
            <w:vAlign w:val="center"/>
          </w:tcPr>
          <w:p w14:paraId="0000016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0.50</w:t>
            </w:r>
          </w:p>
        </w:tc>
        <w:tc>
          <w:tcPr>
            <w:vAlign w:val="center"/>
          </w:tcPr>
          <w:p w14:paraId="0000017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7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7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6ADF427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7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Gender_Encoded</w:t>
            </w:r>
          </w:p>
        </w:tc>
        <w:tc>
          <w:tcPr>
            <w:vAlign w:val="center"/>
          </w:tcPr>
          <w:p w14:paraId="0000017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7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1.42</w:t>
            </w:r>
          </w:p>
        </w:tc>
        <w:tc>
          <w:tcPr>
            <w:vAlign w:val="center"/>
          </w:tcPr>
          <w:p w14:paraId="0000017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0.50</w:t>
            </w:r>
          </w:p>
        </w:tc>
        <w:tc>
          <w:tcPr>
            <w:vAlign w:val="center"/>
          </w:tcPr>
          <w:p w14:paraId="0000017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7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2.00</w:t>
            </w:r>
          </w:p>
        </w:tc>
        <w:tc>
          <w:tcPr>
            <w:vAlign w:val="center"/>
          </w:tcPr>
          <w:p w14:paraId="0000017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4.00</w:t>
            </w:r>
          </w:p>
        </w:tc>
        <w:tc>
          <w:tcPr>
            <w:vAlign w:val="center"/>
          </w:tcPr>
          <w:p w14:paraId="0000017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3.00</w:t>
            </w:r>
          </w:p>
        </w:tc>
      </w:tr>
      <w:tr w14:paraId="3D44864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8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Is_Successful</w:t>
            </w:r>
          </w:p>
        </w:tc>
        <w:tc>
          <w:tcPr>
            <w:vAlign w:val="center"/>
          </w:tcPr>
          <w:p w14:paraId="0000018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8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0.48</w:t>
            </w:r>
          </w:p>
        </w:tc>
        <w:tc>
          <w:tcPr>
            <w:vAlign w:val="center"/>
          </w:tcPr>
          <w:p w14:paraId="0000018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0.50</w:t>
            </w:r>
          </w:p>
        </w:tc>
        <w:tc>
          <w:tcPr>
            <w:vAlign w:val="center"/>
          </w:tcPr>
          <w:p w14:paraId="0000018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8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8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8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8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8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118654D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8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Same_Day_Application</w:t>
            </w:r>
          </w:p>
        </w:tc>
        <w:tc>
          <w:tcPr>
            <w:vAlign w:val="center"/>
          </w:tcPr>
          <w:p w14:paraId="0000018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8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0.40</w:t>
            </w:r>
          </w:p>
        </w:tc>
        <w:tc>
          <w:tcPr>
            <w:vAlign w:val="center"/>
          </w:tcPr>
          <w:p w14:paraId="0000018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0.49</w:t>
            </w:r>
          </w:p>
        </w:tc>
        <w:tc>
          <w:tcPr>
            <w:vAlign w:val="center"/>
          </w:tcPr>
          <w:p w14:paraId="0000018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8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9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9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9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9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3F4459C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9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Late_Applicant</w:t>
            </w:r>
          </w:p>
        </w:tc>
        <w:tc>
          <w:tcPr>
            <w:vAlign w:val="center"/>
          </w:tcPr>
          <w:p w14:paraId="0000019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9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0.39</w:t>
            </w:r>
          </w:p>
        </w:tc>
        <w:tc>
          <w:tcPr>
            <w:vAlign w:val="center"/>
          </w:tcPr>
          <w:p w14:paraId="0000019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0.49</w:t>
            </w:r>
          </w:p>
        </w:tc>
        <w:tc>
          <w:tcPr>
            <w:vAlign w:val="center"/>
          </w:tcPr>
          <w:p w14:paraId="0000019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9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9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9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9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9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5EE9CF3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9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Opportunity_Popularity</w:t>
            </w:r>
          </w:p>
        </w:tc>
        <w:tc>
          <w:tcPr>
            <w:vAlign w:val="center"/>
          </w:tcPr>
          <w:p w14:paraId="0000019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A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A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A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-1.75</w:t>
            </w:r>
          </w:p>
        </w:tc>
        <w:tc>
          <w:tcPr>
            <w:vAlign w:val="center"/>
          </w:tcPr>
          <w:p w14:paraId="000001A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-0.72</w:t>
            </w:r>
          </w:p>
        </w:tc>
        <w:tc>
          <w:tcPr>
            <w:vAlign w:val="center"/>
          </w:tcPr>
          <w:p w14:paraId="000001A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-0.37</w:t>
            </w:r>
          </w:p>
        </w:tc>
        <w:tc>
          <w:tcPr>
            <w:vAlign w:val="center"/>
          </w:tcPr>
          <w:p w14:paraId="000001A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0.68</w:t>
            </w:r>
          </w:p>
        </w:tc>
        <w:tc>
          <w:tcPr>
            <w:vAlign w:val="center"/>
          </w:tcPr>
          <w:p w14:paraId="000001A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1.78</w:t>
            </w:r>
          </w:p>
        </w:tc>
        <w:tc>
          <w:tcPr>
            <w:vAlign w:val="center"/>
          </w:tcPr>
          <w:p w14:paraId="000001A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3.52</w:t>
            </w:r>
          </w:p>
        </w:tc>
      </w:tr>
      <w:tr w14:paraId="71071F8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A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Popular_Opportunity</w:t>
            </w:r>
          </w:p>
        </w:tc>
        <w:tc>
          <w:tcPr>
            <w:vAlign w:val="center"/>
          </w:tcPr>
          <w:p w14:paraId="000001A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A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0.47</w:t>
            </w:r>
          </w:p>
        </w:tc>
        <w:tc>
          <w:tcPr>
            <w:vAlign w:val="center"/>
          </w:tcPr>
          <w:p w14:paraId="000001A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0.50</w:t>
            </w:r>
          </w:p>
        </w:tc>
        <w:tc>
          <w:tcPr>
            <w:vAlign w:val="center"/>
          </w:tcPr>
          <w:p w14:paraId="000001A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A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A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A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B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B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79DA95A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B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Engagement_Score</w:t>
            </w:r>
          </w:p>
        </w:tc>
        <w:tc>
          <w:tcPr>
            <w:vAlign w:val="center"/>
          </w:tcPr>
          <w:p w14:paraId="000001B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B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0.47</w:t>
            </w:r>
          </w:p>
        </w:tc>
        <w:tc>
          <w:tcPr>
            <w:vAlign w:val="center"/>
          </w:tcPr>
          <w:p w14:paraId="000001B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0.31</w:t>
            </w:r>
          </w:p>
        </w:tc>
        <w:tc>
          <w:tcPr>
            <w:vAlign w:val="center"/>
          </w:tcPr>
          <w:p w14:paraId="000001B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B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0.20</w:t>
            </w:r>
          </w:p>
        </w:tc>
        <w:tc>
          <w:tcPr>
            <w:vAlign w:val="center"/>
          </w:tcPr>
          <w:p w14:paraId="000001B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0.40</w:t>
            </w:r>
          </w:p>
        </w:tc>
        <w:tc>
          <w:tcPr>
            <w:vAlign w:val="center"/>
          </w:tcPr>
          <w:p w14:paraId="000001B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0.65</w:t>
            </w:r>
          </w:p>
        </w:tc>
        <w:tc>
          <w:tcPr>
            <w:vAlign w:val="center"/>
          </w:tcPr>
          <w:p w14:paraId="000001B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B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0920991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B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Apply_vs_Start_Gap</w:t>
            </w:r>
          </w:p>
        </w:tc>
        <w:tc>
          <w:tcPr>
            <w:vAlign w:val="center"/>
          </w:tcPr>
          <w:p w14:paraId="000001B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B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-22.72</w:t>
            </w:r>
          </w:p>
        </w:tc>
        <w:tc>
          <w:tcPr>
            <w:vAlign w:val="center"/>
          </w:tcPr>
          <w:p w14:paraId="000001B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291.01</w:t>
            </w:r>
          </w:p>
        </w:tc>
        <w:tc>
          <w:tcPr>
            <w:vAlign w:val="center"/>
          </w:tcPr>
          <w:p w14:paraId="000001C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-998.00</w:t>
            </w:r>
          </w:p>
        </w:tc>
        <w:tc>
          <w:tcPr>
            <w:vAlign w:val="center"/>
          </w:tcPr>
          <w:p w14:paraId="000001C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-181.00</w:t>
            </w:r>
          </w:p>
        </w:tc>
        <w:tc>
          <w:tcPr>
            <w:vAlign w:val="center"/>
          </w:tcPr>
          <w:p w14:paraId="000001C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C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189.00</w:t>
            </w:r>
          </w:p>
        </w:tc>
        <w:tc>
          <w:tcPr>
            <w:vAlign w:val="center"/>
          </w:tcPr>
          <w:p w14:paraId="000001C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570.00</w:t>
            </w:r>
          </w:p>
        </w:tc>
        <w:tc>
          <w:tcPr>
            <w:vAlign w:val="center"/>
          </w:tcPr>
          <w:p w14:paraId="000001C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1568.00</w:t>
            </w:r>
          </w:p>
        </w:tc>
      </w:tr>
      <w:tr w14:paraId="3873E24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C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Applications_per_User</w:t>
            </w:r>
          </w:p>
        </w:tc>
        <w:tc>
          <w:tcPr>
            <w:vAlign w:val="center"/>
          </w:tcPr>
          <w:p w14:paraId="000001C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C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8.33</w:t>
            </w:r>
          </w:p>
        </w:tc>
        <w:tc>
          <w:tcPr>
            <w:vAlign w:val="center"/>
          </w:tcPr>
          <w:p w14:paraId="000001C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10.48</w:t>
            </w:r>
          </w:p>
        </w:tc>
        <w:tc>
          <w:tcPr>
            <w:vAlign w:val="center"/>
          </w:tcPr>
          <w:p w14:paraId="000001C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C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2.00</w:t>
            </w:r>
          </w:p>
        </w:tc>
        <w:tc>
          <w:tcPr>
            <w:vAlign w:val="center"/>
          </w:tcPr>
          <w:p w14:paraId="000001C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5.00</w:t>
            </w:r>
          </w:p>
        </w:tc>
        <w:tc>
          <w:tcPr>
            <w:vAlign w:val="center"/>
          </w:tcPr>
          <w:p w14:paraId="000001C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11.00</w:t>
            </w:r>
          </w:p>
        </w:tc>
        <w:tc>
          <w:tcPr>
            <w:vAlign w:val="center"/>
          </w:tcPr>
          <w:p w14:paraId="000001C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83.00</w:t>
            </w:r>
          </w:p>
        </w:tc>
        <w:tc>
          <w:tcPr>
            <w:vAlign w:val="center"/>
          </w:tcPr>
          <w:p w14:paraId="000001C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82.00</w:t>
            </w:r>
          </w:p>
        </w:tc>
      </w:tr>
      <w:tr w14:paraId="53C8BF3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D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Unique_Categories_per_User</w:t>
            </w:r>
          </w:p>
        </w:tc>
        <w:tc>
          <w:tcPr>
            <w:vAlign w:val="center"/>
          </w:tcPr>
          <w:p w14:paraId="000001D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D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2.25</w:t>
            </w:r>
          </w:p>
        </w:tc>
        <w:tc>
          <w:tcPr>
            <w:vAlign w:val="center"/>
          </w:tcPr>
          <w:p w14:paraId="000001D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1.26</w:t>
            </w:r>
          </w:p>
        </w:tc>
        <w:tc>
          <w:tcPr>
            <w:vAlign w:val="center"/>
          </w:tcPr>
          <w:p w14:paraId="000001D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D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D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2.00</w:t>
            </w:r>
          </w:p>
        </w:tc>
        <w:tc>
          <w:tcPr>
            <w:vAlign w:val="center"/>
          </w:tcPr>
          <w:p w14:paraId="000001D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3.00</w:t>
            </w:r>
          </w:p>
        </w:tc>
        <w:tc>
          <w:tcPr>
            <w:vAlign w:val="center"/>
          </w:tcPr>
          <w:p w14:paraId="000001D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5.00</w:t>
            </w:r>
          </w:p>
        </w:tc>
        <w:tc>
          <w:tcPr>
            <w:vAlign w:val="center"/>
          </w:tcPr>
          <w:p w14:paraId="000001D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4.00</w:t>
            </w:r>
          </w:p>
        </w:tc>
      </w:tr>
      <w:tr w14:paraId="57E5AEF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D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Applications_for_Opportunity</w:t>
            </w:r>
          </w:p>
        </w:tc>
        <w:tc>
          <w:tcPr>
            <w:vAlign w:val="center"/>
          </w:tcPr>
          <w:p w14:paraId="000001D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D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705.87</w:t>
            </w:r>
          </w:p>
        </w:tc>
        <w:tc>
          <w:tcPr>
            <w:vAlign w:val="center"/>
          </w:tcPr>
          <w:p w14:paraId="000001D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404.97</w:t>
            </w:r>
          </w:p>
        </w:tc>
        <w:tc>
          <w:tcPr>
            <w:vAlign w:val="center"/>
          </w:tcPr>
          <w:p w14:paraId="000001D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4.00</w:t>
            </w:r>
          </w:p>
        </w:tc>
        <w:tc>
          <w:tcPr>
            <w:vAlign w:val="center"/>
          </w:tcPr>
          <w:p w14:paraId="000001D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419.00</w:t>
            </w:r>
          </w:p>
        </w:tc>
        <w:tc>
          <w:tcPr>
            <w:vAlign w:val="center"/>
          </w:tcPr>
          <w:p w14:paraId="000001E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559.00</w:t>
            </w:r>
          </w:p>
        </w:tc>
        <w:tc>
          <w:tcPr>
            <w:vAlign w:val="center"/>
          </w:tcPr>
          <w:p w14:paraId="000001E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980.00</w:t>
            </w:r>
          </w:p>
        </w:tc>
        <w:tc>
          <w:tcPr>
            <w:vAlign w:val="center"/>
          </w:tcPr>
          <w:p w14:paraId="000001E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1423.00</w:t>
            </w:r>
          </w:p>
        </w:tc>
        <w:tc>
          <w:tcPr>
            <w:vAlign w:val="center"/>
          </w:tcPr>
          <w:p w14:paraId="000001E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1419.00</w:t>
            </w:r>
          </w:p>
        </w:tc>
      </w:tr>
      <w:tr w14:paraId="69F5BB1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E4">
            <w:pPr>
              <w:tabs>
                <w:tab w:val="left" w:pos="0"/>
                <w:tab w:val="left" w:pos="270"/>
                <w:tab w:val="left" w:pos="1530"/>
              </w:tabs>
              <w:spacing w:after="160" w:line="278" w:lineRule="auto"/>
              <w:rPr>
                <w:rFonts w:ascii="Calibri" w:hAnsi="Calibri" w:eastAsia="Calibri" w:cs="Calibri"/>
                <w:b w:val="0"/>
              </w:rPr>
            </w:pPr>
            <w:r>
              <w:rPr>
                <w:rFonts w:ascii="Calibri" w:hAnsi="Calibri" w:eastAsia="Calibri" w:cs="Calibri"/>
                <w:rtl w:val="0"/>
              </w:rPr>
              <w:t>Region_Normalized_Applications</w:t>
            </w:r>
          </w:p>
        </w:tc>
        <w:tc>
          <w:tcPr>
            <w:vAlign w:val="center"/>
          </w:tcPr>
          <w:p w14:paraId="000001E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E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0.49</w:t>
            </w:r>
          </w:p>
        </w:tc>
        <w:tc>
          <w:tcPr>
            <w:vAlign w:val="center"/>
          </w:tcPr>
          <w:p w14:paraId="000001E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0.29</w:t>
            </w:r>
          </w:p>
        </w:tc>
        <w:tc>
          <w:tcPr>
            <w:vAlign w:val="center"/>
          </w:tcPr>
          <w:p w14:paraId="000001E8">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E9">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0.29</w:t>
            </w:r>
          </w:p>
        </w:tc>
        <w:tc>
          <w:tcPr>
            <w:vAlign w:val="center"/>
          </w:tcPr>
          <w:p w14:paraId="000001EA">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0.39</w:t>
            </w:r>
          </w:p>
        </w:tc>
        <w:tc>
          <w:tcPr>
            <w:vAlign w:val="center"/>
          </w:tcPr>
          <w:p w14:paraId="000001EB">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0.69</w:t>
            </w:r>
          </w:p>
        </w:tc>
        <w:tc>
          <w:tcPr>
            <w:vAlign w:val="center"/>
          </w:tcPr>
          <w:p w14:paraId="000001EC">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ED">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r w14:paraId="614EB50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jc w:val="center"/>
        </w:trPr>
        <w:tc>
          <w:tcPr>
            <w:vAlign w:val="center"/>
          </w:tcPr>
          <w:p w14:paraId="000001EE">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User_Success_Rate</w:t>
            </w:r>
          </w:p>
        </w:tc>
        <w:tc>
          <w:tcPr>
            <w:vAlign w:val="center"/>
          </w:tcPr>
          <w:p w14:paraId="000001EF">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8,558</w:t>
            </w:r>
          </w:p>
        </w:tc>
        <w:tc>
          <w:tcPr>
            <w:vAlign w:val="center"/>
          </w:tcPr>
          <w:p w14:paraId="000001F0">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0.48</w:t>
            </w:r>
          </w:p>
        </w:tc>
        <w:tc>
          <w:tcPr>
            <w:vAlign w:val="center"/>
          </w:tcPr>
          <w:p w14:paraId="000001F1">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0.34</w:t>
            </w:r>
          </w:p>
        </w:tc>
        <w:tc>
          <w:tcPr>
            <w:vAlign w:val="center"/>
          </w:tcPr>
          <w:p w14:paraId="000001F2">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0.00</w:t>
            </w:r>
          </w:p>
        </w:tc>
        <w:tc>
          <w:tcPr>
            <w:vAlign w:val="center"/>
          </w:tcPr>
          <w:p w14:paraId="000001F3">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0.22</w:t>
            </w:r>
          </w:p>
        </w:tc>
        <w:tc>
          <w:tcPr>
            <w:vAlign w:val="center"/>
          </w:tcPr>
          <w:p w14:paraId="000001F4">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0.49</w:t>
            </w:r>
          </w:p>
        </w:tc>
        <w:tc>
          <w:tcPr>
            <w:vAlign w:val="center"/>
          </w:tcPr>
          <w:p w14:paraId="000001F5">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0.69</w:t>
            </w:r>
          </w:p>
        </w:tc>
        <w:tc>
          <w:tcPr>
            <w:vAlign w:val="center"/>
          </w:tcPr>
          <w:p w14:paraId="000001F6">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c>
          <w:tcPr>
            <w:vAlign w:val="center"/>
          </w:tcPr>
          <w:p w14:paraId="000001F7">
            <w:pPr>
              <w:tabs>
                <w:tab w:val="left" w:pos="0"/>
                <w:tab w:val="left" w:pos="270"/>
                <w:tab w:val="left" w:pos="1530"/>
              </w:tabs>
              <w:spacing w:after="160" w:line="278" w:lineRule="auto"/>
              <w:rPr>
                <w:rFonts w:ascii="Calibri" w:hAnsi="Calibri" w:eastAsia="Calibri" w:cs="Calibri"/>
              </w:rPr>
            </w:pPr>
            <w:r>
              <w:rPr>
                <w:rFonts w:ascii="Calibri" w:hAnsi="Calibri" w:eastAsia="Calibri" w:cs="Calibri"/>
                <w:rtl w:val="0"/>
              </w:rPr>
              <w:t>1.00</w:t>
            </w:r>
          </w:p>
        </w:tc>
      </w:tr>
    </w:tbl>
    <w:p w14:paraId="000001F8">
      <w:pPr>
        <w:rPr>
          <w:rFonts w:ascii="Calibri" w:hAnsi="Calibri" w:eastAsia="Calibri" w:cs="Calibri"/>
          <w:b/>
        </w:rPr>
      </w:pPr>
      <w:r>
        <w:rPr>
          <w:rFonts w:ascii="Calibri" w:hAnsi="Calibri" w:eastAsia="Calibri" w:cs="Calibri"/>
          <w:b/>
          <w:sz w:val="28"/>
          <w:szCs w:val="28"/>
          <w:rtl w:val="0"/>
        </w:rPr>
        <w:br w:type="textWrapping"/>
      </w:r>
      <w:r>
        <w:rPr>
          <w:rFonts w:ascii="Calibri" w:hAnsi="Calibri" w:eastAsia="Calibri" w:cs="Calibri"/>
          <w:b/>
          <w:sz w:val="28"/>
          <w:szCs w:val="28"/>
          <w:rtl w:val="0"/>
        </w:rPr>
        <w:t>Dataset Health Check:</w:t>
      </w:r>
    </w:p>
    <w:p w14:paraId="000001F9">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Shape: 8,558 rows × 47 columns </w:t>
      </w:r>
    </w:p>
    <w:p w14:paraId="000001FA">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Numerical: 23 features </w:t>
      </w:r>
    </w:p>
    <w:p w14:paraId="000001FB">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Categorical: 18 features </w:t>
      </w:r>
    </w:p>
    <w:p w14:paraId="000001FC">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Datetime: 6 features </w:t>
      </w:r>
    </w:p>
    <w:p w14:paraId="000001F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Total Missing: 0 (0.0%) </w:t>
      </w:r>
    </w:p>
    <w:p w14:paraId="000001FE">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Duplicates: 0 rows</w:t>
      </w:r>
    </w:p>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160" w:line="360" w:lineRule="auto"/>
        <w:ind w:left="0" w:right="0" w:firstLine="0"/>
        <w:jc w:val="left"/>
        <w:rPr>
          <w:b/>
          <w:sz w:val="32"/>
          <w:szCs w:val="32"/>
        </w:rPr>
      </w:pPr>
    </w:p>
    <w:p w14:paraId="0000020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160" w:line="360" w:lineRule="auto"/>
        <w:ind w:left="270" w:right="0" w:hanging="360"/>
        <w:jc w:val="left"/>
        <w:rPr>
          <w:rFonts w:ascii="Calibri" w:hAnsi="Calibri" w:eastAsia="Calibri" w:cs="Calibri"/>
          <w:b/>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Data Visualization</w:t>
      </w:r>
    </w:p>
    <w:p w14:paraId="00000202">
      <w:pPr>
        <w:tabs>
          <w:tab w:val="left" w:pos="270"/>
        </w:tabs>
        <w:spacing w:line="276" w:lineRule="auto"/>
        <w:ind w:left="-90" w:firstLine="0"/>
        <w:rPr>
          <w:rFonts w:ascii="Calibri" w:hAnsi="Calibri" w:eastAsia="Calibri" w:cs="Calibri"/>
        </w:rPr>
      </w:pPr>
      <w:r>
        <w:rPr>
          <w:rFonts w:ascii="Calibri" w:hAnsi="Calibri" w:eastAsia="Calibri" w:cs="Calibri"/>
          <w:rtl w:val="0"/>
        </w:rPr>
        <w:t>Data visualization helps to understand trends, patterns, and insights from large, complex datasets that might otherwise be hidden in raw numbers. Here are few visuals:</w:t>
      </w:r>
    </w:p>
    <w:p w14:paraId="7090B24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160" w:line="360" w:lineRule="auto"/>
        <w:ind w:left="360" w:leftChars="0" w:right="0" w:rightChars="0"/>
        <w:jc w:val="left"/>
        <w:rPr>
          <w:rFonts w:ascii="Calibri" w:hAnsi="Calibri" w:eastAsia="Calibri" w:cs="Calibri"/>
          <w:b/>
          <w:i w:val="0"/>
          <w:smallCaps w:val="0"/>
          <w:strike w:val="0"/>
          <w:color w:val="000000"/>
          <w:sz w:val="28"/>
          <w:szCs w:val="28"/>
          <w:u w:val="none"/>
          <w:shd w:val="clear" w:fill="auto"/>
          <w:vertAlign w:val="baseline"/>
        </w:rPr>
      </w:pPr>
    </w:p>
    <w:p w14:paraId="00000203">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tabs>
          <w:tab w:val="left" w:pos="270"/>
          <w:tab w:val="clear" w:pos="420"/>
        </w:tabs>
        <w:spacing w:before="0" w:after="160" w:line="360" w:lineRule="auto"/>
        <w:ind w:left="420" w:leftChars="0" w:right="0" w:rightChars="0" w:hanging="420" w:firstLineChars="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 xml:space="preserve">Monthly Learners SignUps: </w:t>
      </w:r>
      <w:r>
        <w:drawing>
          <wp:anchor distT="0" distB="0" distL="114300" distR="114300" simplePos="0" relativeHeight="251659264" behindDoc="0" locked="0" layoutInCell="1" allowOverlap="1">
            <wp:simplePos x="0" y="0"/>
            <wp:positionH relativeFrom="column">
              <wp:posOffset>-93980</wp:posOffset>
            </wp:positionH>
            <wp:positionV relativeFrom="paragraph">
              <wp:posOffset>472440</wp:posOffset>
            </wp:positionV>
            <wp:extent cx="6729730" cy="3364865"/>
            <wp:effectExtent l="0" t="0" r="0" b="0"/>
            <wp:wrapSquare wrapText="bothSides"/>
            <wp:docPr id="2076793869" name="image3.png"/>
            <wp:cNvGraphicFramePr/>
            <a:graphic xmlns:a="http://schemas.openxmlformats.org/drawingml/2006/main">
              <a:graphicData uri="http://schemas.openxmlformats.org/drawingml/2006/picture">
                <pic:pic xmlns:pic="http://schemas.openxmlformats.org/drawingml/2006/picture">
                  <pic:nvPicPr>
                    <pic:cNvPr id="2076793869" name="image3.png"/>
                    <pic:cNvPicPr preferRelativeResize="0"/>
                  </pic:nvPicPr>
                  <pic:blipFill>
                    <a:blip r:embed="rId7"/>
                    <a:srcRect/>
                    <a:stretch>
                      <a:fillRect/>
                    </a:stretch>
                  </pic:blipFill>
                  <pic:spPr>
                    <a:xfrm>
                      <a:off x="0" y="0"/>
                      <a:ext cx="6729984" cy="3364992"/>
                    </a:xfrm>
                    <a:prstGeom prst="rect">
                      <a:avLst/>
                    </a:prstGeom>
                  </pic:spPr>
                </pic:pic>
              </a:graphicData>
            </a:graphic>
          </wp:anchor>
        </w:drawing>
      </w:r>
    </w:p>
    <w:p w14:paraId="00000204">
      <w:pPr>
        <w:tabs>
          <w:tab w:val="left" w:pos="270"/>
        </w:tabs>
        <w:spacing w:line="360" w:lineRule="auto"/>
        <w:rPr>
          <w:rFonts w:ascii="Calibri" w:hAnsi="Calibri" w:eastAsia="Calibri" w:cs="Calibri"/>
          <w:b/>
          <w:sz w:val="28"/>
          <w:szCs w:val="28"/>
        </w:rPr>
      </w:pPr>
    </w:p>
    <w:p w14:paraId="00000205">
      <w:pPr>
        <w:tabs>
          <w:tab w:val="left" w:pos="270"/>
        </w:tabs>
        <w:spacing w:line="360" w:lineRule="auto"/>
        <w:rPr>
          <w:rFonts w:ascii="Calibri" w:hAnsi="Calibri" w:eastAsia="Calibri" w:cs="Calibri"/>
          <w:b/>
          <w:sz w:val="28"/>
          <w:szCs w:val="28"/>
        </w:rPr>
      </w:pPr>
      <w:r>
        <w:rPr>
          <w:rFonts w:ascii="Calibri" w:hAnsi="Calibri" w:eastAsia="Calibri" w:cs="Calibri"/>
          <w:b/>
          <w:sz w:val="28"/>
          <w:szCs w:val="28"/>
          <w:rtl w:val="0"/>
        </w:rPr>
        <w:t>Insights:</w:t>
      </w:r>
    </w:p>
    <w:p w14:paraId="00000206">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Rapid Growth &amp; Peak (Jan–Aug 2023): Signups steadily increased, peaking at 1008 in Aug 2023, showing strong early adoption.</w:t>
      </w:r>
    </w:p>
    <w:p w14:paraId="00000207">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Decline After Peak (Sep–Dec 2023): Sharp drop in signups after August, falling to nearly one-fourth by October.</w:t>
      </w:r>
    </w:p>
    <w:p w14:paraId="00000208">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Second Surge (Jan–Feb 2024): A strong rebound occurred in early 2024, with 850–796 signups, likely campaign or seasonal-driven.</w:t>
      </w:r>
    </w:p>
    <w:p w14:paraId="00000209">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Sustained Low Levels (Mar–Dec 2024): After Feb 2024, signups fell drastically and stabilized below 200/month, indicating difficulty in maintaining long-term momentum.</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rFonts w:ascii="Calibri" w:hAnsi="Calibri" w:eastAsia="Calibri" w:cs="Calibri"/>
          <w:b w:val="0"/>
          <w:i w:val="0"/>
          <w:smallCaps w:val="0"/>
          <w:strike w:val="0"/>
          <w:color w:val="000000"/>
          <w:sz w:val="24"/>
          <w:szCs w:val="24"/>
          <w:u w:val="none"/>
          <w:shd w:val="clear" w:fill="auto"/>
          <w:vertAlign w:val="baseline"/>
        </w:rPr>
      </w:pPr>
    </w:p>
    <w:p w14:paraId="0000020B">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both"/>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Correlation of Application and User Success Metrics:</w:t>
      </w:r>
    </w:p>
    <w:p w14:paraId="0000020C">
      <w:pPr>
        <w:spacing w:line="360" w:lineRule="auto"/>
        <w:jc w:val="center"/>
        <w:rPr>
          <w:rFonts w:ascii="Calibri" w:hAnsi="Calibri" w:eastAsia="Calibri" w:cs="Calibri"/>
        </w:rPr>
      </w:pPr>
      <w:r>
        <w:rPr>
          <w:rFonts w:ascii="Calibri" w:hAnsi="Calibri" w:eastAsia="Calibri" w:cs="Calibri"/>
        </w:rPr>
        <w:drawing>
          <wp:inline distT="0" distB="0" distL="0" distR="0">
            <wp:extent cx="5638800" cy="4497070"/>
            <wp:effectExtent l="0" t="0" r="0" b="0"/>
            <wp:docPr id="2076793871" name="image4.png"/>
            <wp:cNvGraphicFramePr/>
            <a:graphic xmlns:a="http://schemas.openxmlformats.org/drawingml/2006/main">
              <a:graphicData uri="http://schemas.openxmlformats.org/drawingml/2006/picture">
                <pic:pic xmlns:pic="http://schemas.openxmlformats.org/drawingml/2006/picture">
                  <pic:nvPicPr>
                    <pic:cNvPr id="2076793871" name="image4.png"/>
                    <pic:cNvPicPr preferRelativeResize="0"/>
                  </pic:nvPicPr>
                  <pic:blipFill>
                    <a:blip r:embed="rId8"/>
                    <a:srcRect/>
                    <a:stretch>
                      <a:fillRect/>
                    </a:stretch>
                  </pic:blipFill>
                  <pic:spPr>
                    <a:xfrm>
                      <a:off x="0" y="0"/>
                      <a:ext cx="5638800" cy="4497499"/>
                    </a:xfrm>
                    <a:prstGeom prst="rect">
                      <a:avLst/>
                    </a:prstGeom>
                  </pic:spPr>
                </pic:pic>
              </a:graphicData>
            </a:graphic>
          </wp:inline>
        </w:drawing>
      </w:r>
    </w:p>
    <w:p w14:paraId="0000020D">
      <w:pPr>
        <w:spacing w:line="360" w:lineRule="auto"/>
        <w:rPr>
          <w:rFonts w:ascii="Calibri" w:hAnsi="Calibri" w:eastAsia="Calibri" w:cs="Calibri"/>
          <w:b/>
          <w:sz w:val="28"/>
          <w:szCs w:val="28"/>
        </w:rPr>
      </w:pPr>
      <w:r>
        <w:rPr>
          <w:rFonts w:ascii="Calibri" w:hAnsi="Calibri" w:eastAsia="Calibri" w:cs="Calibri"/>
          <w:b/>
          <w:sz w:val="28"/>
          <w:szCs w:val="28"/>
          <w:rtl w:val="0"/>
        </w:rPr>
        <w:t>Insights:</w:t>
      </w:r>
    </w:p>
    <w:p w14:paraId="0000020E">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Opportunities with higher popularity tend to have a higher user engagement score. The heatmap shows a strong positive correlation (0.47) between Opportunity_Popularity and Engagement_Score.</w:t>
      </w:r>
    </w:p>
    <w:p w14:paraId="0000020F">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There is a significant negative correlation (-0.58) between Late_Applicant and Engagement_Score. This suggests that users who apply later for an opportunity are less engaged overall.</w:t>
      </w:r>
    </w:p>
    <w:p w14:paraId="00000210">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Users who apply to more opportunities also tend to apply across a wider range of categories. This is indicated by a strong positive correlation (0.59) between Applications_per_User and Unique_Categories_per_User.</w:t>
      </w:r>
    </w:p>
    <w:p w14:paraId="00000211">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time gap between a user applying and the start of an opportunity is shorter for more popular opportunities. This is shown by the negative correlation (-0.44) between Opportunity_Popularity and Apply_vs_Start_Gap.</w:t>
      </w:r>
    </w:p>
    <w:p w14:paraId="000002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0" w:line="278" w:lineRule="auto"/>
        <w:ind w:left="72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213">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User Success Rate Distribution:</w:t>
      </w:r>
    </w:p>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270"/>
        </w:tabs>
        <w:spacing w:before="0" w:after="160" w:line="278" w:lineRule="auto"/>
        <w:ind w:left="72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215">
      <w:pPr>
        <w:tabs>
          <w:tab w:val="left" w:pos="0"/>
          <w:tab w:val="left" w:pos="270"/>
        </w:tabs>
        <w:jc w:val="center"/>
        <w:rPr>
          <w:rFonts w:ascii="Calibri" w:hAnsi="Calibri" w:eastAsia="Calibri" w:cs="Calibri"/>
          <w:b/>
          <w:sz w:val="28"/>
          <w:szCs w:val="28"/>
        </w:rPr>
      </w:pPr>
      <w:r>
        <w:rPr>
          <w:rFonts w:ascii="Calibri" w:hAnsi="Calibri" w:eastAsia="Calibri" w:cs="Calibri"/>
          <w:b/>
          <w:sz w:val="28"/>
          <w:szCs w:val="28"/>
        </w:rPr>
        <w:drawing>
          <wp:inline distT="0" distB="0" distL="0" distR="0">
            <wp:extent cx="5423535" cy="3862705"/>
            <wp:effectExtent l="0" t="0" r="0" b="0"/>
            <wp:docPr id="2076793873" name="image1.png"/>
            <wp:cNvGraphicFramePr/>
            <a:graphic xmlns:a="http://schemas.openxmlformats.org/drawingml/2006/main">
              <a:graphicData uri="http://schemas.openxmlformats.org/drawingml/2006/picture">
                <pic:pic xmlns:pic="http://schemas.openxmlformats.org/drawingml/2006/picture">
                  <pic:nvPicPr>
                    <pic:cNvPr id="2076793873" name="image1.png"/>
                    <pic:cNvPicPr preferRelativeResize="0"/>
                  </pic:nvPicPr>
                  <pic:blipFill>
                    <a:blip r:embed="rId9"/>
                    <a:srcRect/>
                    <a:stretch>
                      <a:fillRect/>
                    </a:stretch>
                  </pic:blipFill>
                  <pic:spPr>
                    <a:xfrm>
                      <a:off x="0" y="0"/>
                      <a:ext cx="5423932" cy="3862949"/>
                    </a:xfrm>
                    <a:prstGeom prst="rect">
                      <a:avLst/>
                    </a:prstGeom>
                  </pic:spPr>
                </pic:pic>
              </a:graphicData>
            </a:graphic>
          </wp:inline>
        </w:drawing>
      </w:r>
    </w:p>
    <w:p w14:paraId="00000216">
      <w:pPr>
        <w:tabs>
          <w:tab w:val="left" w:pos="270"/>
        </w:tabs>
        <w:spacing w:line="360" w:lineRule="auto"/>
        <w:rPr>
          <w:rFonts w:ascii="Calibri" w:hAnsi="Calibri" w:eastAsia="Calibri" w:cs="Calibri"/>
          <w:b/>
          <w:sz w:val="28"/>
          <w:szCs w:val="28"/>
        </w:rPr>
      </w:pPr>
      <w:r>
        <w:rPr>
          <w:rFonts w:ascii="Calibri" w:hAnsi="Calibri" w:eastAsia="Calibri" w:cs="Calibri"/>
          <w:b/>
          <w:sz w:val="28"/>
          <w:szCs w:val="28"/>
          <w:rtl w:val="0"/>
        </w:rPr>
        <w:t>Insights:</w:t>
      </w:r>
    </w:p>
    <w:p w14:paraId="00000217">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rates are heavily concentrated at the two extremes (0.0 and 1.0), indicating users tend to either always fail or always succeed in their applications, with very few having a partial success rate.</w:t>
      </w:r>
    </w:p>
    <w:p w14:paraId="00000218">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peak at 1.0 is significantly high, showing a large of users who have a 100% success rate across all their applications.</w:t>
      </w:r>
    </w:p>
    <w:p w14:paraId="00000219">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strong peak at 0.0 reveals a substantial number of users who have never had a successful application.</w:t>
      </w:r>
    </w:p>
    <w:p w14:paraId="0000021A">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very low counts for success rates between 0.2 and 0.8 suggest that consistent, partial success is rare; users are not typically accepted to only a fraction of the opportunities they apply for.</w:t>
      </w:r>
    </w:p>
    <w:p w14:paraId="000002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firstLine="0"/>
        <w:jc w:val="both"/>
        <w:rPr>
          <w:rFonts w:ascii="Calibri" w:hAnsi="Calibri" w:eastAsia="Calibri" w:cs="Calibri"/>
          <w:b w:val="0"/>
          <w:i w:val="0"/>
          <w:smallCaps w:val="0"/>
          <w:strike w:val="0"/>
          <w:color w:val="000000"/>
          <w:sz w:val="24"/>
          <w:szCs w:val="24"/>
          <w:u w:val="none"/>
          <w:shd w:val="clear" w:fill="auto"/>
          <w:vertAlign w:val="baseline"/>
        </w:rPr>
      </w:pPr>
    </w:p>
    <w:p w14:paraId="0000021C">
      <w:pPr>
        <w:rPr>
          <w:rFonts w:ascii="Calibri" w:hAnsi="Calibri" w:eastAsia="Calibri" w:cs="Calibri"/>
        </w:rPr>
      </w:pPr>
    </w:p>
    <w:p w14:paraId="0000021D">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Success by Region &amp; Category:</w:t>
      </w:r>
    </w:p>
    <w:p w14:paraId="0000021E">
      <w:pPr>
        <w:ind w:left="360" w:firstLine="0"/>
        <w:rPr>
          <w:rFonts w:ascii="Calibri" w:hAnsi="Calibri" w:eastAsia="Calibri" w:cs="Calibri"/>
          <w:b/>
        </w:rPr>
      </w:pPr>
    </w:p>
    <w:p w14:paraId="0000021F">
      <w:pPr>
        <w:rPr>
          <w:rFonts w:ascii="Calibri" w:hAnsi="Calibri" w:eastAsia="Calibri" w:cs="Calibri"/>
        </w:rPr>
      </w:pPr>
      <w:r>
        <w:rPr>
          <w:rFonts w:ascii="Calibri" w:hAnsi="Calibri" w:eastAsia="Calibri" w:cs="Calibri"/>
        </w:rPr>
        <w:drawing>
          <wp:inline distT="0" distB="0" distL="0" distR="0">
            <wp:extent cx="6400800" cy="3200400"/>
            <wp:effectExtent l="0" t="0" r="0" b="0"/>
            <wp:docPr id="2076793872" name="image2.png"/>
            <wp:cNvGraphicFramePr/>
            <a:graphic xmlns:a="http://schemas.openxmlformats.org/drawingml/2006/main">
              <a:graphicData uri="http://schemas.openxmlformats.org/drawingml/2006/picture">
                <pic:pic xmlns:pic="http://schemas.openxmlformats.org/drawingml/2006/picture">
                  <pic:nvPicPr>
                    <pic:cNvPr id="2076793872" name="image2.png"/>
                    <pic:cNvPicPr preferRelativeResize="0"/>
                  </pic:nvPicPr>
                  <pic:blipFill>
                    <a:blip r:embed="rId10"/>
                    <a:srcRect/>
                    <a:stretch>
                      <a:fillRect/>
                    </a:stretch>
                  </pic:blipFill>
                  <pic:spPr>
                    <a:xfrm>
                      <a:off x="0" y="0"/>
                      <a:ext cx="6400800" cy="3200400"/>
                    </a:xfrm>
                    <a:prstGeom prst="rect">
                      <a:avLst/>
                    </a:prstGeom>
                  </pic:spPr>
                </pic:pic>
              </a:graphicData>
            </a:graphic>
          </wp:inline>
        </w:drawing>
      </w:r>
    </w:p>
    <w:p w14:paraId="00000220">
      <w:pPr>
        <w:rPr>
          <w:rFonts w:ascii="Calibri" w:hAnsi="Calibri" w:eastAsia="Calibri" w:cs="Calibri"/>
          <w:b/>
          <w:sz w:val="28"/>
          <w:szCs w:val="28"/>
        </w:rPr>
      </w:pPr>
      <w:r>
        <w:rPr>
          <w:rFonts w:ascii="Calibri" w:hAnsi="Calibri" w:eastAsia="Calibri" w:cs="Calibri"/>
          <w:b/>
          <w:sz w:val="28"/>
          <w:szCs w:val="28"/>
          <w:rtl w:val="0"/>
        </w:rPr>
        <w:t>Insights:</w:t>
      </w:r>
    </w:p>
    <w:p w14:paraId="00000221">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Across most regions, the health (red bars) and Tech (orange bars) categories show the highest success rates, suggesting they are consistently strong performers.</w:t>
      </w:r>
    </w:p>
    <w:p w14:paraId="00000222">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Business category (green bars) illustrates this perfectly, with a moderate success rate in South_Asia but the lowest of all categories and regions in Europe.</w:t>
      </w:r>
    </w:p>
    <w:p w14:paraId="00000223">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health category consistently shows a high success rate, often being one of the top performers in its region, regardless of location.</w:t>
      </w:r>
    </w:p>
    <w:p w14:paraId="00000224">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While the Tech category in Europe has an exceptionally high success rate, nearing 1.0, the Business category in the same region has the lowest success rate shown on the chart.</w:t>
      </w:r>
    </w:p>
    <w:p w14:paraId="215B7CAE">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both"/>
        <w:rPr>
          <w:rFonts w:ascii="Calibri" w:hAnsi="Calibri" w:eastAsia="Calibri" w:cs="Calibri"/>
        </w:rPr>
      </w:pPr>
      <w:r>
        <w:rPr>
          <w:rFonts w:ascii="Calibri" w:hAnsi="Calibri" w:eastAsia="Calibri" w:cs="Calibri"/>
          <w:b w:val="0"/>
          <w:i w:val="0"/>
          <w:smallCaps w:val="0"/>
          <w:strike w:val="0"/>
          <w:color w:val="000000"/>
          <w:sz w:val="24"/>
          <w:szCs w:val="24"/>
          <w:u w:val="none"/>
          <w:shd w:val="clear" w:fill="auto"/>
          <w:vertAlign w:val="baseline"/>
          <w:rtl w:val="0"/>
        </w:rPr>
        <w:t>The success rates for all categories in North_America are relatively consistent and fall within a similar range, with no single category showing a significant lead or lag.</w:t>
      </w:r>
    </w:p>
    <w:p w14:paraId="459EA30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360" w:leftChars="0" w:right="0" w:rightChars="0"/>
        <w:jc w:val="both"/>
        <w:rPr>
          <w:rFonts w:ascii="Calibri" w:hAnsi="Calibri" w:eastAsia="Calibri" w:cs="Calibri"/>
        </w:rPr>
      </w:pPr>
    </w:p>
    <w:p w14:paraId="623341E8">
      <w:pPr>
        <w:numPr>
          <w:ilvl w:val="0"/>
          <w:numId w:val="24"/>
        </w:numPr>
        <w:ind w:left="420" w:leftChars="0" w:hanging="420" w:firstLineChars="0"/>
      </w:pPr>
      <w:r>
        <w:rPr>
          <w:rFonts w:hint="default" w:cs="Calibri"/>
          <w:b/>
          <w:bCs/>
          <w:lang w:val="en-US"/>
        </w:rPr>
        <w:t>Numerical Features:</w:t>
      </w:r>
    </w:p>
    <w:p w14:paraId="5F554AC6">
      <w:pPr>
        <w:numPr>
          <w:numId w:val="0"/>
        </w:numPr>
        <w:ind w:leftChars="0"/>
        <w:rPr>
          <w:rFonts w:hint="default"/>
          <w:b/>
          <w:bCs/>
          <w:lang w:val="en-US"/>
        </w:rPr>
      </w:pPr>
      <w:r>
        <w:drawing>
          <wp:anchor distT="0" distB="0" distL="114300" distR="114300" simplePos="0" relativeHeight="251660288" behindDoc="1" locked="0" layoutInCell="1" allowOverlap="1">
            <wp:simplePos x="0" y="0"/>
            <wp:positionH relativeFrom="column">
              <wp:posOffset>-192405</wp:posOffset>
            </wp:positionH>
            <wp:positionV relativeFrom="paragraph">
              <wp:posOffset>194310</wp:posOffset>
            </wp:positionV>
            <wp:extent cx="6393180" cy="4354195"/>
            <wp:effectExtent l="0" t="0" r="7620" b="1905"/>
            <wp:wrapThrough wrapText="bothSides">
              <wp:wrapPolygon>
                <wp:start x="0" y="0"/>
                <wp:lineTo x="0" y="21546"/>
                <wp:lineTo x="21540" y="21546"/>
                <wp:lineTo x="2154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393180" cy="4354195"/>
                    </a:xfrm>
                    <a:prstGeom prst="rect">
                      <a:avLst/>
                    </a:prstGeom>
                    <a:noFill/>
                    <a:ln>
                      <a:noFill/>
                    </a:ln>
                  </pic:spPr>
                </pic:pic>
              </a:graphicData>
            </a:graphic>
          </wp:anchor>
        </w:drawing>
      </w:r>
    </w:p>
    <w:p w14:paraId="516F4A27">
      <w:pPr>
        <w:numPr>
          <w:numId w:val="0"/>
        </w:numPr>
        <w:ind w:leftChars="0"/>
        <w:rPr>
          <w:rFonts w:hint="default"/>
          <w:b/>
          <w:bCs/>
          <w:lang w:val="en-US"/>
        </w:rPr>
      </w:pPr>
    </w:p>
    <w:p w14:paraId="791FB1B0">
      <w:pPr>
        <w:numPr>
          <w:ilvl w:val="0"/>
          <w:numId w:val="24"/>
        </w:numPr>
        <w:ind w:left="420" w:leftChars="0" w:hanging="420" w:firstLineChars="0"/>
        <w:rPr>
          <w:rFonts w:hint="default"/>
          <w:b/>
          <w:bCs/>
          <w:lang w:val="en-US"/>
        </w:rPr>
      </w:pPr>
      <w:r>
        <w:rPr>
          <w:rFonts w:hint="default"/>
          <w:b/>
          <w:bCs/>
          <w:lang w:val="en-US"/>
        </w:rPr>
        <w:t>Pair Plots for Top Correlated Features:</w:t>
      </w:r>
    </w:p>
    <w:p w14:paraId="1E381CA3">
      <w:pPr>
        <w:rPr>
          <w:rFonts w:ascii="Calibri" w:hAnsi="Calibri" w:eastAsia="Calibri" w:cs="Calibri"/>
        </w:rPr>
      </w:pPr>
    </w:p>
    <w:p w14:paraId="2E334360">
      <w:pPr>
        <w:rPr>
          <w:rFonts w:ascii="Calibri" w:hAnsi="Calibri" w:eastAsia="Calibri" w:cs="Calibri"/>
        </w:rPr>
      </w:pPr>
      <w:r>
        <w:drawing>
          <wp:inline distT="0" distB="0" distL="114300" distR="114300">
            <wp:extent cx="6394450" cy="6644640"/>
            <wp:effectExtent l="0" t="0" r="63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394450" cy="6644640"/>
                    </a:xfrm>
                    <a:prstGeom prst="rect">
                      <a:avLst/>
                    </a:prstGeom>
                    <a:noFill/>
                    <a:ln>
                      <a:noFill/>
                    </a:ln>
                  </pic:spPr>
                </pic:pic>
              </a:graphicData>
            </a:graphic>
          </wp:inline>
        </w:drawing>
      </w:r>
    </w:p>
    <w:p w14:paraId="5F02A9C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right="0" w:rightChars="0"/>
        <w:jc w:val="left"/>
        <w:rPr>
          <w:rFonts w:ascii="Calibri" w:hAnsi="Calibri" w:eastAsia="Calibri" w:cs="Calibri"/>
          <w:b/>
          <w:i w:val="0"/>
          <w:smallCaps w:val="0"/>
          <w:strike w:val="0"/>
          <w:color w:val="000000"/>
          <w:sz w:val="40"/>
          <w:szCs w:val="40"/>
          <w:u w:val="none"/>
          <w:shd w:val="clear" w:fill="auto"/>
          <w:vertAlign w:val="baseline"/>
        </w:rPr>
      </w:pPr>
    </w:p>
    <w:p w14:paraId="3AE02AC8">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270"/>
          <w:tab w:val="clear" w:pos="420"/>
        </w:tabs>
        <w:spacing w:before="0" w:after="0" w:line="360" w:lineRule="auto"/>
        <w:ind w:left="420" w:leftChars="0" w:right="0" w:rightChars="0" w:hanging="420" w:firstLineChars="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Pr>
        <w:t>Scatterplot with Regression Line</w:t>
      </w:r>
    </w:p>
    <w:p w14:paraId="771F043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leftChars="0" w:right="0" w:rightChars="0"/>
        <w:jc w:val="left"/>
        <w:rPr>
          <w:rFonts w:ascii="Calibri" w:hAnsi="Calibri" w:eastAsia="Calibri" w:cs="Calibri"/>
          <w:b/>
          <w:i w:val="0"/>
          <w:smallCaps w:val="0"/>
          <w:strike w:val="0"/>
          <w:color w:val="000000"/>
          <w:sz w:val="24"/>
          <w:szCs w:val="24"/>
          <w:u w:val="none"/>
          <w:shd w:val="clear" w:fill="auto"/>
          <w:vertAlign w:val="baseline"/>
        </w:rPr>
      </w:pPr>
    </w:p>
    <w:p w14:paraId="15C8789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right="0" w:rightChars="0"/>
        <w:jc w:val="left"/>
      </w:pPr>
      <w:r>
        <w:drawing>
          <wp:inline distT="0" distB="0" distL="114300" distR="114300">
            <wp:extent cx="6400800" cy="2522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6400800" cy="2522220"/>
                    </a:xfrm>
                    <a:prstGeom prst="rect">
                      <a:avLst/>
                    </a:prstGeom>
                    <a:noFill/>
                    <a:ln>
                      <a:noFill/>
                    </a:ln>
                  </pic:spPr>
                </pic:pic>
              </a:graphicData>
            </a:graphic>
          </wp:inline>
        </w:drawing>
      </w:r>
    </w:p>
    <w:p w14:paraId="0057CBC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right="0" w:rightChars="0"/>
        <w:jc w:val="left"/>
      </w:pPr>
    </w:p>
    <w:p w14:paraId="3A1984B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right="0" w:rightChars="0"/>
        <w:jc w:val="left"/>
      </w:pPr>
    </w:p>
    <w:p w14:paraId="0000022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0" w:line="360" w:lineRule="auto"/>
        <w:ind w:left="270" w:right="0" w:hanging="360"/>
        <w:jc w:val="left"/>
        <w:rPr>
          <w:rFonts w:ascii="Calibri" w:hAnsi="Calibri" w:eastAsia="Calibri" w:cs="Calibri"/>
          <w:b/>
          <w:i w:val="0"/>
          <w:smallCaps w:val="0"/>
          <w:strike w:val="0"/>
          <w:color w:val="000000"/>
          <w:sz w:val="40"/>
          <w:szCs w:val="40"/>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Insight Extraction</w:t>
      </w:r>
    </w:p>
    <w:p w14:paraId="0000022A">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160" w:line="360" w:lineRule="auto"/>
        <w:ind w:left="63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Executive Summary</w:t>
      </w:r>
    </w:p>
    <w:p w14:paraId="0000022B">
      <w:pPr>
        <w:tabs>
          <w:tab w:val="left" w:pos="270"/>
        </w:tabs>
        <w:spacing w:line="360" w:lineRule="auto"/>
        <w:ind w:left="-90" w:firstLine="0"/>
        <w:jc w:val="both"/>
        <w:rPr>
          <w:rFonts w:ascii="Calibri" w:hAnsi="Calibri" w:eastAsia="Calibri" w:cs="Calibri"/>
          <w:color w:val="000000"/>
        </w:rPr>
      </w:pPr>
      <w:r>
        <w:rPr>
          <w:rFonts w:ascii="Calibri" w:hAnsi="Calibri" w:eastAsia="Calibri" w:cs="Calibri"/>
          <w:color w:val="000000"/>
          <w:rtl w:val="0"/>
        </w:rPr>
        <w:t>This report analyzes 6,218 learner records from January 2023 to December 2024, covering applications, demographics, engagement, and outcomes across 68 countries and five opportunity categories (Internship, Course, Event, Engagement, Competition). With an overall success rate of 48.1%, the platform demonstrates strong global engagement (average 7.6 applications per user) but reveals disparities in performance across regions, age groups, genders, and majors. Key findings include exceptional success among teenagers (70.2%) and Health majors (70.7%), contrasted by underperformance in high-volume groups like Young Adults (44.0%) and Tech majors (41.3%). Recommendations for 2025 focus on personalized matching, expanding to underrepresented regions like Europe, and reducing dropouts through targeted engagement.</w:t>
      </w:r>
    </w:p>
    <w:p w14:paraId="0000022C">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tabs>
          <w:tab w:val="left" w:pos="270"/>
        </w:tabs>
        <w:spacing w:before="0" w:after="160" w:line="360" w:lineRule="auto"/>
        <w:ind w:left="63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Dataset Overview</w:t>
      </w:r>
    </w:p>
    <w:p w14:paraId="0000022D">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Total Records: 6,218 (individual applications or interactions)</w:t>
      </w:r>
    </w:p>
    <w:p w14:paraId="0000022E">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Columns: 47 (e.g., Learner SignUp DateTime, Gender, Country, Status Description, Engagement_Score)</w:t>
      </w:r>
    </w:p>
    <w:p w14:paraId="0000022F">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Date Range: January 3, 2023, to December 2, 2024</w:t>
      </w:r>
    </w:p>
    <w:p w14:paraId="00000230">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Overall, Success Rate: 48.1% (success defined as Team Allocated, Started, or Rewards Award)</w:t>
      </w:r>
    </w:p>
    <w:p w14:paraId="00000231">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Countries Represented: 68</w:t>
      </w:r>
    </w:p>
    <w:p w14:paraId="00000232">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Opportunity Categories: 5 (Internship, Course, Event, Engagement, Competition)</w:t>
      </w:r>
    </w:p>
    <w:p w14:paraId="00000233">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Average Applications per User: 7.6 (max: 83)</w:t>
      </w:r>
    </w:p>
    <w:p w14:paraId="000002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The dataset reflects a globally active platform with diverse opportunities. High application volume suggests strong user interest, but the 48.1% success rate indicates room for improving outcome equity, particularly in high-volume regions like North America (38.1% success).</w:t>
      </w:r>
    </w:p>
    <w:p w14:paraId="00000236">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Demographic Analysis</w:t>
      </w:r>
    </w:p>
    <w:p w14:paraId="000002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This section examines user demographics, highlighting participation and performance trends.</w:t>
      </w:r>
    </w:p>
    <w:p w14:paraId="00000238">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Gender Distribution</w:t>
      </w:r>
    </w:p>
    <w:p w14:paraId="00000239">
      <w:pPr>
        <w:rPr>
          <w:rFonts w:ascii="Calibri" w:hAnsi="Calibri" w:eastAsia="Calibri" w:cs="Calibri"/>
          <w:sz w:val="10"/>
          <w:szCs w:val="10"/>
        </w:rPr>
      </w:pPr>
    </w:p>
    <w:tbl>
      <w:tblPr>
        <w:tblStyle w:val="41"/>
        <w:tblW w:w="791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695"/>
        <w:gridCol w:w="1440"/>
        <w:gridCol w:w="1980"/>
        <w:gridCol w:w="1800"/>
      </w:tblGrid>
      <w:tr w14:paraId="7AF3CE2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Gender</w:t>
            </w:r>
          </w:p>
        </w:tc>
        <w:tc>
          <w:tcPr>
            <w:vAlign w:val="center"/>
          </w:tcPr>
          <w:p w14:paraId="000002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2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c>
          <w:tcPr>
            <w:vAlign w:val="center"/>
          </w:tcPr>
          <w:p w14:paraId="000002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r>
      <w:tr w14:paraId="31C28E9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Male</w:t>
            </w:r>
          </w:p>
        </w:tc>
        <w:tc>
          <w:tcPr>
            <w:vAlign w:val="center"/>
          </w:tcPr>
          <w:p w14:paraId="000002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3,628</w:t>
            </w:r>
          </w:p>
        </w:tc>
        <w:tc>
          <w:tcPr>
            <w:vAlign w:val="center"/>
          </w:tcPr>
          <w:p w14:paraId="000002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58.3%</w:t>
            </w:r>
          </w:p>
        </w:tc>
        <w:tc>
          <w:tcPr>
            <w:vAlign w:val="center"/>
          </w:tcPr>
          <w:p w14:paraId="000002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46.5%</w:t>
            </w:r>
          </w:p>
        </w:tc>
      </w:tr>
      <w:tr w14:paraId="0CA2F70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Female</w:t>
            </w:r>
          </w:p>
        </w:tc>
        <w:tc>
          <w:tcPr>
            <w:vAlign w:val="center"/>
          </w:tcPr>
          <w:p w14:paraId="000002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2,576</w:t>
            </w:r>
          </w:p>
        </w:tc>
        <w:tc>
          <w:tcPr>
            <w:vAlign w:val="center"/>
          </w:tcPr>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41.4%</w:t>
            </w:r>
          </w:p>
        </w:tc>
        <w:tc>
          <w:tcPr>
            <w:vAlign w:val="center"/>
          </w:tcPr>
          <w:p w14:paraId="000002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50.2%</w:t>
            </w:r>
          </w:p>
        </w:tc>
      </w:tr>
      <w:tr w14:paraId="603E58A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Don't want to specify</w:t>
            </w:r>
          </w:p>
        </w:tc>
        <w:tc>
          <w:tcPr>
            <w:vAlign w:val="center"/>
          </w:tcPr>
          <w:p w14:paraId="000002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13</w:t>
            </w:r>
          </w:p>
        </w:tc>
        <w:tc>
          <w:tcPr>
            <w:vAlign w:val="center"/>
          </w:tcPr>
          <w:p w14:paraId="000002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0.2%</w:t>
            </w:r>
          </w:p>
        </w:tc>
        <w:tc>
          <w:tcPr>
            <w:vAlign w:val="center"/>
          </w:tcPr>
          <w:p w14:paraId="000002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69.2%</w:t>
            </w:r>
          </w:p>
        </w:tc>
      </w:tr>
      <w:tr w14:paraId="0617821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Other</w:t>
            </w:r>
          </w:p>
        </w:tc>
        <w:tc>
          <w:tcPr>
            <w:vAlign w:val="center"/>
          </w:tcPr>
          <w:p w14:paraId="000002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w:t>
            </w:r>
          </w:p>
        </w:tc>
        <w:tc>
          <w:tcPr>
            <w:vAlign w:val="center"/>
          </w:tcPr>
          <w:p w14:paraId="000002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0.0%</w:t>
            </w:r>
          </w:p>
        </w:tc>
        <w:tc>
          <w:tcPr>
            <w:vAlign w:val="center"/>
          </w:tcPr>
          <w:p w14:paraId="000002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100.0%</w:t>
            </w:r>
          </w:p>
        </w:tc>
      </w:tr>
    </w:tbl>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ascii="Calibri" w:hAnsi="Calibri" w:eastAsia="Calibri" w:cs="Calibri"/>
          <w:b/>
          <w:i w:val="0"/>
          <w:smallCaps w:val="0"/>
          <w:strike w:val="0"/>
          <w:color w:val="000000"/>
          <w:sz w:val="2"/>
          <w:szCs w:val="2"/>
          <w:u w:val="none"/>
          <w:shd w:val="clear" w:fill="auto"/>
          <w:vertAlign w:val="baseline"/>
        </w:rPr>
      </w:pPr>
    </w:p>
    <w:p w14:paraId="000002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p>
    <w:p w14:paraId="00000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Males dominate (58.3%), but females achieve a higher success rate (50.2% vs. 46.5%). Non-binary users (0.2%) show strong performance (69.2% success), though low volume limits impact.</w:t>
      </w:r>
    </w:p>
    <w:p w14:paraId="00000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Increase female and non-binary participation through targeted campaigns in 2025.</w:t>
      </w:r>
    </w:p>
    <w:p w14:paraId="00000252">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Age Group Distribution</w:t>
      </w:r>
    </w:p>
    <w:p w14:paraId="00000253">
      <w:pPr>
        <w:rPr>
          <w:rFonts w:ascii="Calibri" w:hAnsi="Calibri" w:eastAsia="Calibri" w:cs="Calibri"/>
          <w:sz w:val="2"/>
          <w:szCs w:val="2"/>
        </w:rPr>
      </w:pPr>
    </w:p>
    <w:tbl>
      <w:tblPr>
        <w:tblStyle w:val="42"/>
        <w:tblW w:w="791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245"/>
        <w:gridCol w:w="1890"/>
        <w:gridCol w:w="1683"/>
        <w:gridCol w:w="2097"/>
      </w:tblGrid>
      <w:tr w14:paraId="06F6183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Age Group</w:t>
            </w:r>
          </w:p>
        </w:tc>
        <w:tc>
          <w:tcPr>
            <w:vAlign w:val="center"/>
          </w:tcPr>
          <w:p w14:paraId="000002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2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c>
          <w:tcPr>
            <w:vAlign w:val="center"/>
          </w:tcPr>
          <w:p w14:paraId="000002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r>
      <w:tr w14:paraId="53DADE2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Young_Adult</w:t>
            </w:r>
          </w:p>
        </w:tc>
        <w:tc>
          <w:tcPr>
            <w:vAlign w:val="center"/>
          </w:tcPr>
          <w:p w14:paraId="000002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3,408</w:t>
            </w:r>
          </w:p>
        </w:tc>
        <w:tc>
          <w:tcPr>
            <w:vAlign w:val="center"/>
          </w:tcPr>
          <w:p w14:paraId="000002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54.8%</w:t>
            </w:r>
          </w:p>
        </w:tc>
        <w:tc>
          <w:tcPr>
            <w:vAlign w:val="center"/>
          </w:tcPr>
          <w:p w14:paraId="000002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44.0%</w:t>
            </w:r>
          </w:p>
        </w:tc>
      </w:tr>
      <w:tr w14:paraId="703AAE7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Adult</w:t>
            </w:r>
          </w:p>
        </w:tc>
        <w:tc>
          <w:tcPr>
            <w:vAlign w:val="center"/>
          </w:tcPr>
          <w:p w14:paraId="000002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1,710</w:t>
            </w:r>
          </w:p>
        </w:tc>
        <w:tc>
          <w:tcPr>
            <w:vAlign w:val="center"/>
          </w:tcPr>
          <w:p w14:paraId="000002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27.5%</w:t>
            </w:r>
          </w:p>
        </w:tc>
        <w:tc>
          <w:tcPr>
            <w:vAlign w:val="center"/>
          </w:tcPr>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48.8%</w:t>
            </w:r>
          </w:p>
        </w:tc>
      </w:tr>
      <w:tr w14:paraId="35B8E08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Teen</w:t>
            </w:r>
          </w:p>
        </w:tc>
        <w:tc>
          <w:tcPr>
            <w:vAlign w:val="center"/>
          </w:tcPr>
          <w:p w14:paraId="000002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493</w:t>
            </w:r>
          </w:p>
        </w:tc>
        <w:tc>
          <w:tcPr>
            <w:vAlign w:val="center"/>
          </w:tcPr>
          <w:p w14:paraId="000002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7.9%</w:t>
            </w:r>
          </w:p>
        </w:tc>
        <w:tc>
          <w:tcPr>
            <w:vAlign w:val="center"/>
          </w:tcPr>
          <w:p w14:paraId="000002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70.2%</w:t>
            </w:r>
          </w:p>
        </w:tc>
      </w:tr>
      <w:tr w14:paraId="1B6A325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Mid_Adult</w:t>
            </w:r>
          </w:p>
        </w:tc>
        <w:tc>
          <w:tcPr>
            <w:vAlign w:val="center"/>
          </w:tcPr>
          <w:p w14:paraId="000002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382</w:t>
            </w:r>
          </w:p>
        </w:tc>
        <w:tc>
          <w:tcPr>
            <w:vAlign w:val="center"/>
          </w:tcPr>
          <w:p w14:paraId="000002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6.1%</w:t>
            </w:r>
          </w:p>
        </w:tc>
        <w:tc>
          <w:tcPr>
            <w:vAlign w:val="center"/>
          </w:tcPr>
          <w:p w14:paraId="000002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50.0%</w:t>
            </w:r>
          </w:p>
        </w:tc>
      </w:tr>
      <w:tr w14:paraId="19F37B0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Senior</w:t>
            </w:r>
          </w:p>
        </w:tc>
        <w:tc>
          <w:tcPr>
            <w:vAlign w:val="center"/>
          </w:tcPr>
          <w:p w14:paraId="000002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225</w:t>
            </w:r>
          </w:p>
        </w:tc>
        <w:tc>
          <w:tcPr>
            <w:vAlign w:val="center"/>
          </w:tcPr>
          <w:p w14:paraId="000002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3.6%</w:t>
            </w:r>
          </w:p>
        </w:tc>
        <w:tc>
          <w:tcPr>
            <w:vAlign w:val="center"/>
          </w:tcPr>
          <w:p w14:paraId="000002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53.8%</w:t>
            </w:r>
          </w:p>
        </w:tc>
      </w:tr>
    </w:tbl>
    <w:p w14:paraId="000002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
          <w:szCs w:val="2"/>
          <w:u w:val="none"/>
          <w:shd w:val="clear" w:fill="auto"/>
          <w:vertAlign w:val="baseline"/>
        </w:rPr>
      </w:pPr>
    </w:p>
    <w:p w14:paraId="000002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Young Adults (likely 20–29) form the largest group but underperform (44.0%), possibly due to high competition or mismatched opportunities. Teens excel (70.2%), likely from structured environments or enthusiasm. </w:t>
      </w:r>
    </w:p>
    <w:p w14:paraId="000002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Develop teen-focused programs and support Young Adults with career guidance.</w:t>
      </w:r>
    </w:p>
    <w:p w14:paraId="000002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p>
    <w:p w14:paraId="00000271">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Regional Distribution</w:t>
      </w:r>
    </w:p>
    <w:tbl>
      <w:tblPr>
        <w:tblStyle w:val="43"/>
        <w:tblW w:w="791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245"/>
        <w:gridCol w:w="1530"/>
        <w:gridCol w:w="1800"/>
        <w:gridCol w:w="2340"/>
      </w:tblGrid>
      <w:tr w14:paraId="62B273F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Region</w:t>
            </w:r>
          </w:p>
        </w:tc>
        <w:tc>
          <w:tcPr>
            <w:vAlign w:val="center"/>
          </w:tcPr>
          <w:p w14:paraId="000002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2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c>
          <w:tcPr>
            <w:vAlign w:val="center"/>
          </w:tcPr>
          <w:p w14:paraId="00000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r>
      <w:tr w14:paraId="5AA3A95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North_America</w:t>
            </w:r>
          </w:p>
        </w:tc>
        <w:tc>
          <w:tcPr>
            <w:vAlign w:val="center"/>
          </w:tcPr>
          <w:p w14:paraId="000002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2,682</w:t>
            </w:r>
          </w:p>
        </w:tc>
        <w:tc>
          <w:tcPr>
            <w:vAlign w:val="center"/>
          </w:tcPr>
          <w:p w14:paraId="00000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43.1%</w:t>
            </w:r>
          </w:p>
        </w:tc>
        <w:tc>
          <w:tcPr>
            <w:vAlign w:val="center"/>
          </w:tcPr>
          <w:p w14:paraId="000002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38.1%</w:t>
            </w:r>
          </w:p>
        </w:tc>
      </w:tr>
      <w:tr w14:paraId="5804F34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South_Asia</w:t>
            </w:r>
          </w:p>
        </w:tc>
        <w:tc>
          <w:tcPr>
            <w:vAlign w:val="center"/>
          </w:tcPr>
          <w:p w14:paraId="000002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2,394</w:t>
            </w:r>
          </w:p>
        </w:tc>
        <w:tc>
          <w:tcPr>
            <w:vAlign w:val="center"/>
          </w:tcPr>
          <w:p w14:paraId="000002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38.5%</w:t>
            </w:r>
          </w:p>
        </w:tc>
        <w:tc>
          <w:tcPr>
            <w:vAlign w:val="center"/>
          </w:tcPr>
          <w:p w14:paraId="000002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52.3%</w:t>
            </w:r>
          </w:p>
        </w:tc>
      </w:tr>
      <w:tr w14:paraId="30BD12E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Africa</w:t>
            </w:r>
          </w:p>
        </w:tc>
        <w:tc>
          <w:tcPr>
            <w:vAlign w:val="center"/>
          </w:tcPr>
          <w:p w14:paraId="000002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837</w:t>
            </w:r>
          </w:p>
        </w:tc>
        <w:tc>
          <w:tcPr>
            <w:vAlign w:val="center"/>
          </w:tcPr>
          <w:p w14:paraId="000002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13.5%</w:t>
            </w:r>
          </w:p>
        </w:tc>
        <w:tc>
          <w:tcPr>
            <w:vAlign w:val="center"/>
          </w:tcPr>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60.9%</w:t>
            </w:r>
          </w:p>
        </w:tc>
      </w:tr>
      <w:tr w14:paraId="18A465C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Other</w:t>
            </w:r>
          </w:p>
        </w:tc>
        <w:tc>
          <w:tcPr>
            <w:vAlign w:val="center"/>
          </w:tcPr>
          <w:p w14:paraId="000002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285</w:t>
            </w:r>
          </w:p>
        </w:tc>
        <w:tc>
          <w:tcPr>
            <w:vAlign w:val="center"/>
          </w:tcPr>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4.6%</w:t>
            </w:r>
          </w:p>
        </w:tc>
        <w:tc>
          <w:tcPr>
            <w:vAlign w:val="center"/>
          </w:tcPr>
          <w:p w14:paraId="000002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68.8%</w:t>
            </w:r>
          </w:p>
        </w:tc>
      </w:tr>
      <w:tr w14:paraId="35E74B0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Europe</w:t>
            </w:r>
          </w:p>
        </w:tc>
        <w:tc>
          <w:tcPr>
            <w:vAlign w:val="center"/>
          </w:tcPr>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20</w:t>
            </w:r>
          </w:p>
        </w:tc>
        <w:tc>
          <w:tcPr>
            <w:vAlign w:val="center"/>
          </w:tcPr>
          <w:p w14:paraId="000002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0.3%</w:t>
            </w:r>
          </w:p>
        </w:tc>
        <w:tc>
          <w:tcPr>
            <w:vAlign w:val="center"/>
          </w:tcPr>
          <w:p w14:paraId="000002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55.0%</w:t>
            </w:r>
          </w:p>
        </w:tc>
      </w:tr>
    </w:tbl>
    <w:p w14:paraId="000002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
          <w:szCs w:val="2"/>
          <w:u w:val="none"/>
          <w:shd w:val="clear" w:fill="auto"/>
          <w:vertAlign w:val="baseline"/>
        </w:rPr>
      </w:pPr>
    </w:p>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North America and South Asia dominate volume (81.6% combined), but Africa and Other regions outperform (60.9% and 68.8% success). Europe’s low participation (0.3%) signals untapped potential. </w:t>
      </w:r>
    </w:p>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Expand marketing in Europe and replicate African success factors (e.g., targeted opportunities).</w:t>
      </w:r>
    </w:p>
    <w:p w14:paraId="0000028E">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Top 10 Countries</w:t>
      </w:r>
    </w:p>
    <w:tbl>
      <w:tblPr>
        <w:tblStyle w:val="44"/>
        <w:tblW w:w="791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245"/>
        <w:gridCol w:w="1530"/>
        <w:gridCol w:w="1800"/>
        <w:gridCol w:w="2340"/>
      </w:tblGrid>
      <w:tr w14:paraId="471E551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Country</w:t>
            </w:r>
          </w:p>
        </w:tc>
        <w:tc>
          <w:tcPr>
            <w:vAlign w:val="center"/>
          </w:tcPr>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2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c>
          <w:tcPr>
            <w:vAlign w:val="center"/>
          </w:tcPr>
          <w:p w14:paraId="000002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r>
      <w:tr w14:paraId="08B75EE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United States</w:t>
            </w:r>
          </w:p>
        </w:tc>
        <w:tc>
          <w:tcPr>
            <w:vAlign w:val="center"/>
          </w:tcPr>
          <w:p w14:paraId="000002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2,678</w:t>
            </w:r>
          </w:p>
        </w:tc>
        <w:tc>
          <w:tcPr>
            <w:vAlign w:val="center"/>
          </w:tcPr>
          <w:p w14:paraId="000002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43.1%</w:t>
            </w:r>
          </w:p>
        </w:tc>
        <w:tc>
          <w:tcPr>
            <w:vAlign w:val="center"/>
          </w:tcPr>
          <w:p w14:paraId="000002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38.1%</w:t>
            </w:r>
          </w:p>
        </w:tc>
      </w:tr>
      <w:tr w14:paraId="0496397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India</w:t>
            </w:r>
          </w:p>
        </w:tc>
        <w:tc>
          <w:tcPr>
            <w:vAlign w:val="center"/>
          </w:tcPr>
          <w:p w14:paraId="000002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2,141</w:t>
            </w:r>
          </w:p>
        </w:tc>
        <w:tc>
          <w:tcPr>
            <w:vAlign w:val="center"/>
          </w:tcPr>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34.4%</w:t>
            </w:r>
          </w:p>
        </w:tc>
        <w:tc>
          <w:tcPr>
            <w:vAlign w:val="center"/>
          </w:tcPr>
          <w:p w14:paraId="000002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50.2%</w:t>
            </w:r>
          </w:p>
        </w:tc>
      </w:tr>
      <w:tr w14:paraId="7742AD3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Nigeria</w:t>
            </w:r>
          </w:p>
        </w:tc>
        <w:tc>
          <w:tcPr>
            <w:vAlign w:val="center"/>
          </w:tcPr>
          <w:p w14:paraId="000002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583</w:t>
            </w:r>
          </w:p>
        </w:tc>
        <w:tc>
          <w:tcPr>
            <w:vAlign w:val="center"/>
          </w:tcPr>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9.4%</w:t>
            </w:r>
          </w:p>
        </w:tc>
        <w:tc>
          <w:tcPr>
            <w:vAlign w:val="center"/>
          </w:tcPr>
          <w:p w14:paraId="000002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59.9%</w:t>
            </w:r>
          </w:p>
        </w:tc>
      </w:tr>
      <w:tr w14:paraId="4AC34FB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Ghana</w:t>
            </w:r>
          </w:p>
        </w:tc>
        <w:tc>
          <w:tcPr>
            <w:vAlign w:val="center"/>
          </w:tcPr>
          <w:p w14:paraId="000002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208</w:t>
            </w:r>
          </w:p>
        </w:tc>
        <w:tc>
          <w:tcPr>
            <w:vAlign w:val="center"/>
          </w:tcPr>
          <w:p w14:paraId="000002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3.3%</w:t>
            </w:r>
          </w:p>
        </w:tc>
        <w:tc>
          <w:tcPr>
            <w:vAlign w:val="center"/>
          </w:tcPr>
          <w:p w14:paraId="000002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60.1%</w:t>
            </w:r>
          </w:p>
        </w:tc>
      </w:tr>
      <w:tr w14:paraId="5D1331D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Pakistan</w:t>
            </w:r>
          </w:p>
        </w:tc>
        <w:tc>
          <w:tcPr>
            <w:vAlign w:val="center"/>
          </w:tcPr>
          <w:p w14:paraId="000002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204</w:t>
            </w:r>
          </w:p>
        </w:tc>
        <w:tc>
          <w:tcPr>
            <w:vAlign w:val="center"/>
          </w:tcPr>
          <w:p w14:paraId="000002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3.3%</w:t>
            </w:r>
          </w:p>
        </w:tc>
        <w:tc>
          <w:tcPr>
            <w:vAlign w:val="center"/>
          </w:tcPr>
          <w:p w14:paraId="000002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73.0%</w:t>
            </w:r>
          </w:p>
        </w:tc>
      </w:tr>
      <w:tr w14:paraId="4A7942D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Bangladesh</w:t>
            </w:r>
          </w:p>
        </w:tc>
        <w:tc>
          <w:tcPr>
            <w:vAlign w:val="center"/>
          </w:tcPr>
          <w:p w14:paraId="000002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49</w:t>
            </w:r>
          </w:p>
        </w:tc>
        <w:tc>
          <w:tcPr>
            <w:vAlign w:val="center"/>
          </w:tcPr>
          <w:p w14:paraId="000002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0.8%</w:t>
            </w:r>
          </w:p>
        </w:tc>
        <w:tc>
          <w:tcPr>
            <w:vAlign w:val="center"/>
          </w:tcPr>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57.1%</w:t>
            </w:r>
          </w:p>
        </w:tc>
      </w:tr>
      <w:tr w14:paraId="6AA97F4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Egypt</w:t>
            </w:r>
          </w:p>
        </w:tc>
        <w:tc>
          <w:tcPr>
            <w:vAlign w:val="center"/>
          </w:tcPr>
          <w:p w14:paraId="000002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46</w:t>
            </w:r>
          </w:p>
        </w:tc>
        <w:tc>
          <w:tcPr>
            <w:vAlign w:val="center"/>
          </w:tcPr>
          <w:p w14:paraId="000002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0.7%</w:t>
            </w:r>
          </w:p>
        </w:tc>
        <w:tc>
          <w:tcPr>
            <w:vAlign w:val="center"/>
          </w:tcPr>
          <w:p w14:paraId="000002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78.3%</w:t>
            </w:r>
          </w:p>
        </w:tc>
      </w:tr>
      <w:tr w14:paraId="40E1144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Ethiopia</w:t>
            </w:r>
          </w:p>
        </w:tc>
        <w:tc>
          <w:tcPr>
            <w:vAlign w:val="center"/>
          </w:tcPr>
          <w:p w14:paraId="000002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29</w:t>
            </w:r>
          </w:p>
        </w:tc>
        <w:tc>
          <w:tcPr>
            <w:vAlign w:val="center"/>
          </w:tcPr>
          <w:p w14:paraId="000002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0.5%</w:t>
            </w:r>
          </w:p>
        </w:tc>
        <w:tc>
          <w:tcPr>
            <w:vAlign w:val="center"/>
          </w:tcPr>
          <w:p w14:paraId="000002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62.1%</w:t>
            </w:r>
          </w:p>
        </w:tc>
      </w:tr>
      <w:tr w14:paraId="1D84CFF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Kenya</w:t>
            </w:r>
          </w:p>
        </w:tc>
        <w:tc>
          <w:tcPr>
            <w:vAlign w:val="center"/>
          </w:tcPr>
          <w:p w14:paraId="000002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29</w:t>
            </w:r>
          </w:p>
        </w:tc>
        <w:tc>
          <w:tcPr>
            <w:vAlign w:val="center"/>
          </w:tcPr>
          <w:p w14:paraId="000002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0.5%</w:t>
            </w:r>
          </w:p>
        </w:tc>
        <w:tc>
          <w:tcPr>
            <w:vAlign w:val="center"/>
          </w:tcPr>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75.9%</w:t>
            </w:r>
          </w:p>
        </w:tc>
      </w:tr>
      <w:tr w14:paraId="6E8C658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Nepal</w:t>
            </w:r>
          </w:p>
        </w:tc>
        <w:tc>
          <w:tcPr>
            <w:vAlign w:val="center"/>
          </w:tcPr>
          <w:p w14:paraId="000002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19</w:t>
            </w:r>
          </w:p>
        </w:tc>
        <w:tc>
          <w:tcPr>
            <w:vAlign w:val="center"/>
          </w:tcPr>
          <w:p w14:paraId="000002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0.3%</w:t>
            </w:r>
          </w:p>
        </w:tc>
        <w:tc>
          <w:tcPr>
            <w:vAlign w:val="center"/>
          </w:tcPr>
          <w:p w14:paraId="000002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52.6%</w:t>
            </w:r>
          </w:p>
        </w:tc>
      </w:tr>
    </w:tbl>
    <w:p w14:paraId="000002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
          <w:szCs w:val="2"/>
          <w:u w:val="none"/>
          <w:shd w:val="clear" w:fill="auto"/>
          <w:vertAlign w:val="baseline"/>
        </w:rPr>
      </w:pPr>
    </w:p>
    <w:p w14:paraId="000002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p>
    <w:p w14:paraId="000002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African countries (Egypt, Kenya, Pakistan) lead in success, while high-volume US and India lag. Implication: Investigate US/India barriers (e.g., oversaturation) and scale African models.</w:t>
      </w:r>
    </w:p>
    <w:p w14:paraId="000002BE">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Success Analysis</w:t>
      </w:r>
    </w:p>
    <w:p w14:paraId="000002BF">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Overall, Success Rate: 48.1%</w:t>
      </w:r>
    </w:p>
    <w:p w14:paraId="000002C0">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includes statuses: Team Allocated (35.3%), Started (12.3%), and Rewards Award (0.4%).</w:t>
      </w:r>
    </w:p>
    <w:p w14:paraId="000002C1">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Failures include: Rejected (37.8%) and Dropped Out (9.9%).</w:t>
      </w:r>
    </w:p>
    <w:p w14:paraId="000002C2">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Success by Gender</w:t>
      </w:r>
    </w:p>
    <w:p w14:paraId="000002C3">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Don't want to specify: 69.2% (n=13)</w:t>
      </w:r>
    </w:p>
    <w:p w14:paraId="000002C4">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Female: 50.2% (n=2,576)</w:t>
      </w:r>
    </w:p>
    <w:p w14:paraId="000002C5">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Male: 46.5% (n=3,628)</w:t>
      </w:r>
    </w:p>
    <w:p w14:paraId="000002C6">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Other: 100.0% (n=1)</w:t>
      </w:r>
    </w:p>
    <w:p w14:paraId="000002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p>
    <w:p w14:paraId="000002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Females outperform males, possibly due to persistence or better opportunity fit. Non-binary success is notable but volume-limited.</w:t>
      </w:r>
    </w:p>
    <w:p w14:paraId="000002C9">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Success by Region</w:t>
      </w:r>
    </w:p>
    <w:p w14:paraId="000002CA">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Other: 68.8% (n=285)</w:t>
      </w:r>
    </w:p>
    <w:p w14:paraId="000002CB">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Africa: 60.9% (n=837)</w:t>
      </w:r>
    </w:p>
    <w:p w14:paraId="000002CC">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Europe: 55.0% (n=20)</w:t>
      </w:r>
    </w:p>
    <w:p w14:paraId="000002CD">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South_Asia: 52.3% (n=2,394)</w:t>
      </w:r>
    </w:p>
    <w:p w14:paraId="000002CE">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North_America: 38.1% (n=2,682)</w:t>
      </w:r>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Emerging regions (Africa, Other) excel, while North America struggles, likely due to high competition.</w:t>
      </w:r>
    </w:p>
    <w:p w14:paraId="000002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Implement AI-driven opportunity matching to reduce rejections.</w:t>
      </w:r>
    </w:p>
    <w:p w14:paraId="000002D2">
      <w:pPr>
        <w:keepNext w:val="0"/>
        <w:keepLines w:val="0"/>
        <w:pageBreakBefore w:val="0"/>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Success by Age Group</w:t>
      </w:r>
    </w:p>
    <w:p w14:paraId="000002D3">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Teen: 70.2% (n=493)</w:t>
      </w:r>
    </w:p>
    <w:p w14:paraId="000002D4">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Senior: 53.8% (n=225)</w:t>
      </w:r>
    </w:p>
    <w:p w14:paraId="000002D5">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Mid_Adult: 50.0% (n=382)</w:t>
      </w:r>
    </w:p>
    <w:p w14:paraId="000002D6">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Adult: 48.8% (n=1,710)</w:t>
      </w:r>
    </w:p>
    <w:p w14:paraId="000002D7">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Young_Adult: 44.0% (n=3,408)</w:t>
      </w:r>
    </w:p>
    <w:p w14:paraId="000002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Teens led, Young Adults lag. Cross-reference with majors (below) shows Teen_Health as a top combo (87.7%).</w:t>
      </w:r>
    </w:p>
    <w:p w14:paraId="000002DA">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Status Distribution</w:t>
      </w:r>
    </w:p>
    <w:tbl>
      <w:tblPr>
        <w:tblStyle w:val="45"/>
        <w:tblW w:w="6290"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2510"/>
        <w:gridCol w:w="1530"/>
        <w:gridCol w:w="2250"/>
      </w:tblGrid>
      <w:tr w14:paraId="35CF1E6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Status</w:t>
            </w:r>
          </w:p>
        </w:tc>
        <w:tc>
          <w:tcPr>
            <w:vAlign w:val="center"/>
          </w:tcPr>
          <w:p w14:paraId="000002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2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r>
      <w:tr w14:paraId="2A9F7D2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Rejected</w:t>
            </w:r>
          </w:p>
        </w:tc>
        <w:tc>
          <w:tcPr>
            <w:vAlign w:val="center"/>
          </w:tcPr>
          <w:p w14:paraId="000002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2,353</w:t>
            </w:r>
          </w:p>
        </w:tc>
        <w:tc>
          <w:tcPr>
            <w:vAlign w:val="center"/>
          </w:tcPr>
          <w:p w14:paraId="000002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37.8%</w:t>
            </w:r>
          </w:p>
        </w:tc>
      </w:tr>
      <w:tr w14:paraId="23F727D6">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Team Allocated</w:t>
            </w:r>
          </w:p>
        </w:tc>
        <w:tc>
          <w:tcPr>
            <w:vAlign w:val="center"/>
          </w:tcPr>
          <w:p w14:paraId="000002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2,197</w:t>
            </w:r>
          </w:p>
        </w:tc>
        <w:tc>
          <w:tcPr>
            <w:vAlign w:val="center"/>
          </w:tcPr>
          <w:p w14:paraId="000002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35.3%</w:t>
            </w:r>
          </w:p>
        </w:tc>
      </w:tr>
      <w:tr w14:paraId="34D465C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Started</w:t>
            </w:r>
          </w:p>
        </w:tc>
        <w:tc>
          <w:tcPr>
            <w:vAlign w:val="center"/>
          </w:tcPr>
          <w:p w14:paraId="000002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767</w:t>
            </w:r>
          </w:p>
        </w:tc>
        <w:tc>
          <w:tcPr>
            <w:vAlign w:val="center"/>
          </w:tcPr>
          <w:p w14:paraId="000002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12.3%</w:t>
            </w:r>
          </w:p>
        </w:tc>
      </w:tr>
      <w:tr w14:paraId="4558900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Dropped Out</w:t>
            </w:r>
          </w:p>
        </w:tc>
        <w:tc>
          <w:tcPr>
            <w:vAlign w:val="center"/>
          </w:tcPr>
          <w:p w14:paraId="000002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617</w:t>
            </w:r>
          </w:p>
        </w:tc>
        <w:tc>
          <w:tcPr>
            <w:vAlign w:val="center"/>
          </w:tcPr>
          <w:p w14:paraId="000002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9.9%</w:t>
            </w:r>
          </w:p>
        </w:tc>
      </w:tr>
      <w:tr w14:paraId="5CD8835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Waitlisted</w:t>
            </w:r>
          </w:p>
        </w:tc>
        <w:tc>
          <w:tcPr>
            <w:vAlign w:val="center"/>
          </w:tcPr>
          <w:p w14:paraId="000002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109</w:t>
            </w:r>
          </w:p>
        </w:tc>
        <w:tc>
          <w:tcPr>
            <w:vAlign w:val="center"/>
          </w:tcPr>
          <w:p w14:paraId="000002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1.8%</w:t>
            </w:r>
          </w:p>
        </w:tc>
      </w:tr>
      <w:tr w14:paraId="6CE4FF4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Applied</w:t>
            </w:r>
          </w:p>
        </w:tc>
        <w:tc>
          <w:tcPr>
            <w:vAlign w:val="center"/>
          </w:tcPr>
          <w:p w14:paraId="000002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76</w:t>
            </w:r>
          </w:p>
        </w:tc>
        <w:tc>
          <w:tcPr>
            <w:vAlign w:val="center"/>
          </w:tcPr>
          <w:p w14:paraId="000002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1.2%</w:t>
            </w:r>
          </w:p>
        </w:tc>
      </w:tr>
      <w:tr w14:paraId="57F9B80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Withdraw</w:t>
            </w:r>
          </w:p>
        </w:tc>
        <w:tc>
          <w:tcPr>
            <w:vAlign w:val="center"/>
          </w:tcPr>
          <w:p w14:paraId="000002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72</w:t>
            </w:r>
          </w:p>
        </w:tc>
        <w:tc>
          <w:tcPr>
            <w:vAlign w:val="center"/>
          </w:tcPr>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1.2%</w:t>
            </w:r>
          </w:p>
        </w:tc>
      </w:tr>
      <w:tr w14:paraId="0F8DC07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2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Rewards Award</w:t>
            </w:r>
          </w:p>
        </w:tc>
        <w:tc>
          <w:tcPr>
            <w:vAlign w:val="center"/>
          </w:tcPr>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27</w:t>
            </w:r>
          </w:p>
        </w:tc>
        <w:tc>
          <w:tcPr>
            <w:vAlign w:val="center"/>
          </w:tcPr>
          <w:p w14:paraId="000002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0.4%</w:t>
            </w:r>
          </w:p>
        </w:tc>
      </w:tr>
    </w:tbl>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2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2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High rejection rate (37.8%) and dropouts (9.9%) are concerns. </w:t>
      </w:r>
    </w:p>
    <w:p w14:paraId="00000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Analyze rejection reasons and offer dropout prevention (e.g., mentorship).</w:t>
      </w:r>
    </w:p>
    <w:p w14:paraId="000002FA">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Engagement Analysis</w:t>
      </w:r>
    </w:p>
    <w:p w14:paraId="000002FB">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Average Engagement Score: 0.53 (scale unclear, likely 0–1)</w:t>
      </w:r>
    </w:p>
    <w:p w14:paraId="000002FC">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Engagement Levels:</w:t>
      </w:r>
    </w:p>
    <w:p w14:paraId="000002FD">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High: 3,450 (55.5%), 70.6% success</w:t>
      </w:r>
    </w:p>
    <w:p w14:paraId="000002FE">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Medium: 1,182 (19.0%), 47.0% success</w:t>
      </w:r>
    </w:p>
    <w:p w14:paraId="000002FF">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Low: 1,585 (25.5%), 0.0% success</w:t>
      </w:r>
    </w:p>
    <w:p w14:paraId="00000300">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Same Day Applications: 2,739 (44.0%)</w:t>
      </w:r>
    </w:p>
    <w:p w14:paraId="00000301">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Quick Applicants: 3,529 (56.8%)</w:t>
      </w:r>
    </w:p>
    <w:p w14:paraId="00000302">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720" w:right="0" w:hanging="36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Average Applications per User: 7.6 (max: 83)</w:t>
      </w:r>
    </w:p>
    <w:p w14:paraId="000003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3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High engagement strongly predicts success (70.6%). Low-engagement users (25.5%) fail entirely, indicating a need for nudges (e.g., reminders). Quick applications correlate with commitment. </w:t>
      </w:r>
    </w:p>
    <w:p w14:paraId="000003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Gamify engagement for low/medium users in 2025.</w:t>
      </w:r>
    </w:p>
    <w:p w14:paraId="00000306">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Opportunity Analysis</w:t>
      </w:r>
    </w:p>
    <w:tbl>
      <w:tblPr>
        <w:tblStyle w:val="46"/>
        <w:tblW w:w="5480"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0" w:type="dxa"/>
          <w:left w:w="108" w:type="dxa"/>
          <w:bottom w:w="0" w:type="dxa"/>
          <w:right w:w="108" w:type="dxa"/>
        </w:tblCellMar>
      </w:tblPr>
      <w:tblGrid>
        <w:gridCol w:w="1790"/>
        <w:gridCol w:w="1530"/>
        <w:gridCol w:w="2160"/>
      </w:tblGrid>
      <w:tr w14:paraId="74ECCD3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Category</w:t>
            </w:r>
          </w:p>
        </w:tc>
        <w:tc>
          <w:p w14:paraId="000003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p w14:paraId="000003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r>
      <w:tr w14:paraId="6BF5790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Internship</w:t>
            </w:r>
          </w:p>
        </w:tc>
        <w:tc>
          <w:p w14:paraId="000003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3,876</w:t>
            </w:r>
          </w:p>
        </w:tc>
        <w:tc>
          <w:p w14:paraId="000003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62.3%</w:t>
            </w:r>
          </w:p>
        </w:tc>
      </w:tr>
      <w:tr w14:paraId="407492A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Course</w:t>
            </w:r>
          </w:p>
        </w:tc>
        <w:tc>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1,845</w:t>
            </w:r>
          </w:p>
        </w:tc>
        <w:tc>
          <w:p w14:paraId="000003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29.7%</w:t>
            </w:r>
          </w:p>
        </w:tc>
      </w:tr>
      <w:tr w14:paraId="47BE66A6">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Event</w:t>
            </w:r>
          </w:p>
        </w:tc>
        <w:tc>
          <w:p w14:paraId="000003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308</w:t>
            </w:r>
          </w:p>
        </w:tc>
        <w:tc>
          <w:p w14:paraId="000003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5.0%</w:t>
            </w:r>
          </w:p>
        </w:tc>
      </w:tr>
      <w:tr w14:paraId="51CDE48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Engagement</w:t>
            </w:r>
          </w:p>
        </w:tc>
        <w:tc>
          <w:p w14:paraId="000003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130</w:t>
            </w:r>
          </w:p>
        </w:tc>
        <w:tc>
          <w:p w14:paraId="000003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2.1%</w:t>
            </w:r>
          </w:p>
        </w:tc>
      </w:tr>
      <w:tr w14:paraId="3B19FA5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Competition</w:t>
            </w:r>
          </w:p>
        </w:tc>
        <w:tc>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59</w:t>
            </w:r>
          </w:p>
        </w:tc>
        <w:tc>
          <w:p w14:paraId="00000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0.9%</w:t>
            </w:r>
          </w:p>
        </w:tc>
      </w:tr>
    </w:tbl>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Internships dominate (62.3%), aligning with career goals. Courses (29.7%) support learning. Popular opportunities (64.7%) have slight success correlation (0.228).</w:t>
      </w:r>
    </w:p>
    <w:p w14:paraId="0000031C">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Major Categories</w:t>
      </w:r>
    </w:p>
    <w:tbl>
      <w:tblPr>
        <w:tblStyle w:val="47"/>
        <w:tblW w:w="620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0" w:type="dxa"/>
          <w:left w:w="108" w:type="dxa"/>
          <w:bottom w:w="0" w:type="dxa"/>
          <w:right w:w="108" w:type="dxa"/>
        </w:tblCellMar>
      </w:tblPr>
      <w:tblGrid>
        <w:gridCol w:w="1766"/>
        <w:gridCol w:w="1199"/>
        <w:gridCol w:w="1620"/>
        <w:gridCol w:w="1620"/>
      </w:tblGrid>
      <w:tr w14:paraId="06485801">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Major Category</w:t>
            </w:r>
          </w:p>
        </w:tc>
        <w:tc>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p w14:paraId="000003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c>
          <w:p w14:paraId="000003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r>
      <w:tr w14:paraId="1713B88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Tech</w:t>
            </w:r>
          </w:p>
        </w:tc>
        <w:tc>
          <w:p w14:paraId="000003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4,079</w:t>
            </w:r>
          </w:p>
        </w:tc>
        <w:tc>
          <w:p w14:paraId="000003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65.6%</w:t>
            </w:r>
          </w:p>
        </w:tc>
        <w:tc>
          <w:p w14:paraId="000003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41.3%</w:t>
            </w:r>
          </w:p>
        </w:tc>
      </w:tr>
      <w:tr w14:paraId="077B5C1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Other</w:t>
            </w:r>
          </w:p>
        </w:tc>
        <w:tc>
          <w:p w14:paraId="000003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1,326</w:t>
            </w:r>
          </w:p>
        </w:tc>
        <w:tc>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21.3%</w:t>
            </w:r>
          </w:p>
        </w:tc>
        <w:tc>
          <w:p w14:paraId="000003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61.8%</w:t>
            </w:r>
          </w:p>
        </w:tc>
      </w:tr>
      <w:tr w14:paraId="2F586A9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Business</w:t>
            </w:r>
          </w:p>
        </w:tc>
        <w:tc>
          <w:p w14:paraId="000003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492</w:t>
            </w:r>
          </w:p>
        </w:tc>
        <w:tc>
          <w:p w14:paraId="000003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7.9%</w:t>
            </w:r>
          </w:p>
        </w:tc>
        <w:tc>
          <w:p w14:paraId="000003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52.6%</w:t>
            </w:r>
          </w:p>
        </w:tc>
      </w:tr>
      <w:tr w14:paraId="579A6DC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Health</w:t>
            </w:r>
          </w:p>
        </w:tc>
        <w:tc>
          <w:p w14:paraId="00000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321</w:t>
            </w:r>
          </w:p>
        </w:tc>
        <w:tc>
          <w:p w14:paraId="000003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5.2%</w:t>
            </w:r>
          </w:p>
        </w:tc>
        <w:tc>
          <w:p w14:paraId="000003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70.7%</w:t>
            </w:r>
          </w:p>
        </w:tc>
      </w:tr>
    </w:tbl>
    <w:p w14:paraId="000003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p>
    <w:p w14:paraId="000003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Health excels (70.7%) despite low volume; Tech underperforms (41.3%) despite dominance, likely due to oversaturation. </w:t>
      </w:r>
    </w:p>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Diversify Tech offerings, promote Health programs.</w:t>
      </w:r>
    </w:p>
    <w:p w14:paraId="00000334">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Temporal Analysis</w:t>
      </w:r>
    </w:p>
    <w:p w14:paraId="000003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alibri" w:hAnsi="Calibri" w:eastAsia="Calibri" w:cs="Calibri"/>
          <w:b/>
          <w:i w:val="0"/>
          <w:smallCaps w:val="0"/>
          <w:strike w:val="0"/>
          <w:color w:val="000000"/>
          <w:sz w:val="14"/>
          <w:szCs w:val="14"/>
          <w:u w:val="none"/>
          <w:shd w:val="clear" w:fill="auto"/>
          <w:vertAlign w:val="baseline"/>
        </w:rPr>
      </w:pPr>
    </w:p>
    <w:p w14:paraId="00000336">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Signups by Month</w:t>
      </w:r>
    </w:p>
    <w:tbl>
      <w:tblPr>
        <w:tblStyle w:val="48"/>
        <w:tblW w:w="5390"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1700"/>
        <w:gridCol w:w="1530"/>
        <w:gridCol w:w="2160"/>
      </w:tblGrid>
      <w:tr w14:paraId="6FEB474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Month</w:t>
            </w:r>
          </w:p>
        </w:tc>
        <w:tc>
          <w:tcPr>
            <w:vAlign w:val="center"/>
          </w:tcPr>
          <w:p w14:paraId="000003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Signups</w:t>
            </w:r>
          </w:p>
        </w:tc>
        <w:tc>
          <w:tcPr>
            <w:vAlign w:val="center"/>
          </w:tcPr>
          <w:p w14:paraId="000003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r>
      <w:tr w14:paraId="704E055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Jan</w:t>
            </w:r>
          </w:p>
        </w:tc>
        <w:tc>
          <w:tcPr>
            <w:vAlign w:val="center"/>
          </w:tcPr>
          <w:p w14:paraId="000003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630</w:t>
            </w:r>
          </w:p>
        </w:tc>
        <w:tc>
          <w:tcPr>
            <w:vAlign w:val="center"/>
          </w:tcPr>
          <w:p w14:paraId="000003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10.1%</w:t>
            </w:r>
          </w:p>
        </w:tc>
      </w:tr>
      <w:tr w14:paraId="1C8B22B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Feb</w:t>
            </w:r>
          </w:p>
        </w:tc>
        <w:tc>
          <w:tcPr>
            <w:vAlign w:val="center"/>
          </w:tcPr>
          <w:p w14:paraId="000003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571</w:t>
            </w:r>
          </w:p>
        </w:tc>
        <w:tc>
          <w:tcPr>
            <w:vAlign w:val="center"/>
          </w:tcPr>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9.2%</w:t>
            </w:r>
          </w:p>
        </w:tc>
      </w:tr>
      <w:tr w14:paraId="75669323">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Mar</w:t>
            </w:r>
          </w:p>
        </w:tc>
        <w:tc>
          <w:tcPr>
            <w:vAlign w:val="center"/>
          </w:tcPr>
          <w:p w14:paraId="000003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284</w:t>
            </w:r>
          </w:p>
        </w:tc>
        <w:tc>
          <w:tcPr>
            <w:vAlign w:val="center"/>
          </w:tcPr>
          <w:p w14:paraId="000003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4.6%</w:t>
            </w:r>
          </w:p>
        </w:tc>
      </w:tr>
      <w:tr w14:paraId="411965F6">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Apr</w:t>
            </w:r>
          </w:p>
        </w:tc>
        <w:tc>
          <w:tcPr>
            <w:vAlign w:val="center"/>
          </w:tcPr>
          <w:p w14:paraId="000003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342</w:t>
            </w:r>
          </w:p>
        </w:tc>
        <w:tc>
          <w:tcPr>
            <w:vAlign w:val="center"/>
          </w:tcPr>
          <w:p w14:paraId="000003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5.5%</w:t>
            </w:r>
          </w:p>
        </w:tc>
      </w:tr>
      <w:tr w14:paraId="00D5453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May</w:t>
            </w:r>
          </w:p>
        </w:tc>
        <w:tc>
          <w:tcPr>
            <w:vAlign w:val="center"/>
          </w:tcPr>
          <w:p w14:paraId="000003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463</w:t>
            </w:r>
          </w:p>
        </w:tc>
        <w:tc>
          <w:tcPr>
            <w:vAlign w:val="center"/>
          </w:tcPr>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7.4%</w:t>
            </w:r>
          </w:p>
        </w:tc>
      </w:tr>
      <w:tr w14:paraId="71EA69D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Jun</w:t>
            </w:r>
          </w:p>
        </w:tc>
        <w:tc>
          <w:tcPr>
            <w:vAlign w:val="center"/>
          </w:tcPr>
          <w:p w14:paraId="000003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667</w:t>
            </w:r>
          </w:p>
        </w:tc>
        <w:tc>
          <w:tcPr>
            <w:vAlign w:val="center"/>
          </w:tcPr>
          <w:p w14:paraId="000003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10.7%</w:t>
            </w:r>
          </w:p>
        </w:tc>
      </w:tr>
      <w:tr w14:paraId="1B1C140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Jul</w:t>
            </w:r>
          </w:p>
        </w:tc>
        <w:tc>
          <w:tcPr>
            <w:vAlign w:val="center"/>
          </w:tcPr>
          <w:p w14:paraId="00000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513</w:t>
            </w:r>
          </w:p>
        </w:tc>
        <w:tc>
          <w:tcPr>
            <w:vAlign w:val="center"/>
          </w:tcPr>
          <w:p w14:paraId="000003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8.3%</w:t>
            </w:r>
          </w:p>
        </w:tc>
      </w:tr>
      <w:tr w14:paraId="70A8EA0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Aug</w:t>
            </w:r>
          </w:p>
        </w:tc>
        <w:tc>
          <w:tcPr>
            <w:vAlign w:val="center"/>
          </w:tcPr>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946</w:t>
            </w:r>
          </w:p>
        </w:tc>
        <w:tc>
          <w:tcPr>
            <w:vAlign w:val="center"/>
          </w:tcPr>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15.2%</w:t>
            </w:r>
          </w:p>
        </w:tc>
      </w:tr>
      <w:tr w14:paraId="08FCB9A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Sep</w:t>
            </w:r>
          </w:p>
        </w:tc>
        <w:tc>
          <w:tcPr>
            <w:vAlign w:val="center"/>
          </w:tcPr>
          <w:p w14:paraId="000003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654</w:t>
            </w:r>
          </w:p>
        </w:tc>
        <w:tc>
          <w:tcPr>
            <w:vAlign w:val="center"/>
          </w:tcPr>
          <w:p w14:paraId="000003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10.5%</w:t>
            </w:r>
          </w:p>
        </w:tc>
      </w:tr>
      <w:tr w14:paraId="441C0F4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Oct</w:t>
            </w:r>
          </w:p>
        </w:tc>
        <w:tc>
          <w:tcPr>
            <w:vAlign w:val="center"/>
          </w:tcPr>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329</w:t>
            </w:r>
          </w:p>
        </w:tc>
        <w:tc>
          <w:tcPr>
            <w:vAlign w:val="center"/>
          </w:tcPr>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5.3%</w:t>
            </w:r>
          </w:p>
        </w:tc>
      </w:tr>
      <w:tr w14:paraId="787064A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Nov</w:t>
            </w:r>
          </w:p>
        </w:tc>
        <w:tc>
          <w:tcPr>
            <w:vAlign w:val="center"/>
          </w:tcPr>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276</w:t>
            </w:r>
          </w:p>
        </w:tc>
        <w:tc>
          <w:tcPr>
            <w:vAlign w:val="center"/>
          </w:tcPr>
          <w:p w14:paraId="000003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4.4%</w:t>
            </w:r>
          </w:p>
        </w:tc>
      </w:tr>
      <w:tr w14:paraId="178BC51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Dec</w:t>
            </w:r>
          </w:p>
        </w:tc>
        <w:tc>
          <w:tcPr>
            <w:vAlign w:val="center"/>
          </w:tcPr>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543</w:t>
            </w:r>
          </w:p>
        </w:tc>
        <w:tc>
          <w:tcPr>
            <w:vAlign w:val="center"/>
          </w:tcPr>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8.7%</w:t>
            </w:r>
          </w:p>
        </w:tc>
      </w:tr>
    </w:tbl>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Peaks in August (15.2%), June (10.7%), and September (10.5%) align with academic cycles. Lows in November/March suggest lulls. </w:t>
      </w:r>
    </w:p>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Target August 2025 for campaigns, November for retention.</w:t>
      </w:r>
    </w:p>
    <w:p w14:paraId="00000361">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Signups by Weekday</w:t>
      </w:r>
    </w:p>
    <w:tbl>
      <w:tblPr>
        <w:tblStyle w:val="49"/>
        <w:tblW w:w="539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1705"/>
        <w:gridCol w:w="1530"/>
        <w:gridCol w:w="2160"/>
      </w:tblGrid>
      <w:tr w14:paraId="4FE8C250">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Weekday</w:t>
            </w:r>
          </w:p>
        </w:tc>
        <w:tc>
          <w:tcPr>
            <w:vAlign w:val="center"/>
          </w:tcPr>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c>
          <w:tcPr>
            <w:vAlign w:val="center"/>
          </w:tcPr>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Percentage</w:t>
            </w:r>
          </w:p>
        </w:tc>
      </w:tr>
      <w:tr w14:paraId="72615FF2">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Thursday</w:t>
            </w:r>
          </w:p>
        </w:tc>
        <w:tc>
          <w:tcPr>
            <w:vAlign w:val="center"/>
          </w:tcPr>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1,052</w:t>
            </w:r>
          </w:p>
        </w:tc>
        <w:tc>
          <w:tcPr>
            <w:vAlign w:val="center"/>
          </w:tcPr>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16.9%</w:t>
            </w:r>
          </w:p>
        </w:tc>
      </w:tr>
      <w:tr w14:paraId="085F8E3F">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Monday</w:t>
            </w:r>
          </w:p>
        </w:tc>
        <w:tc>
          <w:tcPr>
            <w:vAlign w:val="center"/>
          </w:tcPr>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988</w:t>
            </w:r>
          </w:p>
        </w:tc>
        <w:tc>
          <w:tcPr>
            <w:vAlign w:val="center"/>
          </w:tcPr>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15.9%</w:t>
            </w:r>
          </w:p>
        </w:tc>
      </w:tr>
      <w:tr w14:paraId="2A29392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Friday</w:t>
            </w:r>
          </w:p>
        </w:tc>
        <w:tc>
          <w:tcPr>
            <w:vAlign w:val="center"/>
          </w:tcPr>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984</w:t>
            </w:r>
          </w:p>
        </w:tc>
        <w:tc>
          <w:tcPr>
            <w:vAlign w:val="center"/>
          </w:tcPr>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15.8%</w:t>
            </w:r>
          </w:p>
        </w:tc>
      </w:tr>
      <w:tr w14:paraId="4BF14FD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Tuesday</w:t>
            </w:r>
          </w:p>
        </w:tc>
        <w:tc>
          <w:tcPr>
            <w:vAlign w:val="center"/>
          </w:tcPr>
          <w:p w14:paraId="000003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899</w:t>
            </w:r>
          </w:p>
        </w:tc>
        <w:tc>
          <w:tcPr>
            <w:vAlign w:val="center"/>
          </w:tcPr>
          <w:p w14:paraId="000003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14.5%</w:t>
            </w:r>
          </w:p>
        </w:tc>
      </w:tr>
      <w:tr w14:paraId="714C8D3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Wednesday</w:t>
            </w:r>
          </w:p>
        </w:tc>
        <w:tc>
          <w:tcPr>
            <w:vAlign w:val="center"/>
          </w:tcPr>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898</w:t>
            </w:r>
          </w:p>
        </w:tc>
        <w:tc>
          <w:tcPr>
            <w:vAlign w:val="center"/>
          </w:tcPr>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14.4%</w:t>
            </w:r>
          </w:p>
        </w:tc>
      </w:tr>
      <w:tr w14:paraId="7273A56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Saturday</w:t>
            </w:r>
          </w:p>
        </w:tc>
        <w:tc>
          <w:tcPr>
            <w:vAlign w:val="center"/>
          </w:tcPr>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729</w:t>
            </w:r>
          </w:p>
        </w:tc>
        <w:tc>
          <w:tcPr>
            <w:vAlign w:val="center"/>
          </w:tcPr>
          <w:p w14:paraId="000003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11.7%</w:t>
            </w:r>
          </w:p>
        </w:tc>
      </w:tr>
      <w:tr w14:paraId="7C63DF3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Sunday</w:t>
            </w:r>
          </w:p>
        </w:tc>
        <w:tc>
          <w:tcPr>
            <w:vAlign w:val="center"/>
          </w:tcPr>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668</w:t>
            </w:r>
          </w:p>
        </w:tc>
        <w:tc>
          <w:tcPr>
            <w:vAlign w:val="center"/>
          </w:tcPr>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10.7%</w:t>
            </w:r>
          </w:p>
        </w:tc>
      </w:tr>
    </w:tbl>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Weekdays (77.5%) outperform weekends (22.5%) in volume and success (48.8% vs. 45.7%). Thursday peaks suggest mid-week focus.</w:t>
      </w:r>
    </w:p>
    <w:p w14:paraId="0000037C">
      <w:pPr>
        <w:keepNext w:val="0"/>
        <w:keepLines w:val="0"/>
        <w:pageBreakBefore w:val="0"/>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Advanced Insights</w:t>
      </w:r>
    </w:p>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alibri" w:hAnsi="Calibri" w:eastAsia="Calibri" w:cs="Calibri"/>
          <w:b/>
          <w:i w:val="0"/>
          <w:smallCaps w:val="0"/>
          <w:strike w:val="0"/>
          <w:color w:val="000000"/>
          <w:sz w:val="14"/>
          <w:szCs w:val="14"/>
          <w:u w:val="none"/>
          <w:shd w:val="clear" w:fill="auto"/>
          <w:vertAlign w:val="baseline"/>
        </w:rPr>
      </w:pPr>
    </w:p>
    <w:p w14:paraId="0000037E">
      <w:pPr>
        <w:keepNext w:val="0"/>
        <w:keepLines w:val="0"/>
        <w:pageBreakBefore w:val="0"/>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Top Country-Gender Combinations </w:t>
      </w:r>
    </w:p>
    <w:tbl>
      <w:tblPr>
        <w:tblStyle w:val="50"/>
        <w:tblW w:w="5395"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14" w:type="dxa"/>
          <w:left w:w="14" w:type="dxa"/>
          <w:bottom w:w="14" w:type="dxa"/>
          <w:right w:w="14" w:type="dxa"/>
        </w:tblCellMar>
      </w:tblPr>
      <w:tblGrid>
        <w:gridCol w:w="1795"/>
        <w:gridCol w:w="1710"/>
        <w:gridCol w:w="1890"/>
      </w:tblGrid>
      <w:tr w14:paraId="3F864EB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Combination</w:t>
            </w:r>
          </w:p>
        </w:tc>
        <w:tc>
          <w:tcPr>
            <w:vAlign w:val="center"/>
          </w:tcPr>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c>
          <w:tcPr>
            <w:vAlign w:val="center"/>
          </w:tcPr>
          <w:p w14:paraId="00000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r>
      <w:tr w14:paraId="5A51EF4C">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Vietnam_Male</w:t>
            </w:r>
          </w:p>
        </w:tc>
        <w:tc>
          <w:tcPr>
            <w:vAlign w:val="center"/>
          </w:tcPr>
          <w:p w14:paraId="000003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100.0%</w:t>
            </w:r>
          </w:p>
        </w:tc>
        <w:tc>
          <w:tcPr>
            <w:vAlign w:val="center"/>
          </w:tcPr>
          <w:p w14:paraId="000003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w:t>
            </w:r>
          </w:p>
        </w:tc>
      </w:tr>
      <w:tr w14:paraId="60C2D78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Uganda_Female</w:t>
            </w:r>
          </w:p>
        </w:tc>
        <w:tc>
          <w:tcPr>
            <w:vAlign w:val="center"/>
          </w:tcPr>
          <w:p w14:paraId="000003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100.0%</w:t>
            </w:r>
          </w:p>
        </w:tc>
        <w:tc>
          <w:tcPr>
            <w:vAlign w:val="center"/>
          </w:tcPr>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w:t>
            </w:r>
          </w:p>
        </w:tc>
      </w:tr>
      <w:tr w14:paraId="354828EB">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Kenya_Female</w:t>
            </w:r>
          </w:p>
        </w:tc>
        <w:tc>
          <w:tcPr>
            <w:vAlign w:val="center"/>
          </w:tcPr>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88.2%</w:t>
            </w:r>
          </w:p>
        </w:tc>
        <w:tc>
          <w:tcPr>
            <w:vAlign w:val="center"/>
          </w:tcPr>
          <w:p w14:paraId="000003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17</w:t>
            </w:r>
          </w:p>
        </w:tc>
      </w:tr>
      <w:tr w14:paraId="00B72A54">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Rwanda_Male</w:t>
            </w:r>
          </w:p>
        </w:tc>
        <w:tc>
          <w:tcPr>
            <w:vAlign w:val="center"/>
          </w:tcPr>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85.7%</w:t>
            </w:r>
          </w:p>
        </w:tc>
        <w:tc>
          <w:tcPr>
            <w:vAlign w:val="center"/>
          </w:tcPr>
          <w:p w14:paraId="000003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w:t>
            </w:r>
          </w:p>
        </w:tc>
      </w:tr>
      <w:tr w14:paraId="254FB20D">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14" w:type="dxa"/>
            <w:left w:w="14" w:type="dxa"/>
            <w:bottom w:w="14" w:type="dxa"/>
            <w:right w:w="14" w:type="dxa"/>
          </w:tblCellMar>
        </w:tblPrEx>
        <w:trPr>
          <w:trHeight w:val="576" w:hRule="atLeast"/>
        </w:trPr>
        <w:tc>
          <w:tcPr>
            <w:vAlign w:val="center"/>
          </w:tcPr>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Uganda_Male</w:t>
            </w:r>
          </w:p>
        </w:tc>
        <w:tc>
          <w:tcPr>
            <w:vAlign w:val="center"/>
          </w:tcPr>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83.3%</w:t>
            </w:r>
          </w:p>
        </w:tc>
        <w:tc>
          <w:tcPr>
            <w:vAlign w:val="center"/>
          </w:tcPr>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w:t>
            </w:r>
          </w:p>
        </w:tc>
      </w:tr>
    </w:tbl>
    <w:p w14:paraId="000003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392">
      <w:pPr>
        <w:keepNext w:val="0"/>
        <w:keepLines w:val="0"/>
        <w:pageBreakBefore w:val="0"/>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left"/>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 xml:space="preserve">Top Age-Major Combinations </w:t>
      </w:r>
    </w:p>
    <w:tbl>
      <w:tblPr>
        <w:tblStyle w:val="51"/>
        <w:tblW w:w="5390" w:type="dxa"/>
        <w:tblInd w:w="0"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CellMar>
          <w:top w:w="0" w:type="dxa"/>
          <w:left w:w="108" w:type="dxa"/>
          <w:bottom w:w="0" w:type="dxa"/>
          <w:right w:w="108" w:type="dxa"/>
        </w:tblCellMar>
      </w:tblPr>
      <w:tblGrid>
        <w:gridCol w:w="2510"/>
        <w:gridCol w:w="1530"/>
        <w:gridCol w:w="1350"/>
      </w:tblGrid>
      <w:tr w14:paraId="609BF48A">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Combination</w:t>
            </w:r>
          </w:p>
        </w:tc>
        <w:tc>
          <w:tcPr>
            <w:vAlign w:val="center"/>
          </w:tcPr>
          <w:p w14:paraId="000003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Success Rate</w:t>
            </w:r>
          </w:p>
        </w:tc>
        <w:tc>
          <w:tcPr>
            <w:vAlign w:val="center"/>
          </w:tcPr>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Count</w:t>
            </w:r>
          </w:p>
        </w:tc>
      </w:tr>
      <w:tr w14:paraId="0D39FE69">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Teen_Health</w:t>
            </w:r>
          </w:p>
        </w:tc>
        <w:tc>
          <w:tcPr>
            <w:vAlign w:val="center"/>
          </w:tcPr>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87.7%</w:t>
            </w:r>
          </w:p>
        </w:tc>
        <w:tc>
          <w:tcPr>
            <w:vAlign w:val="center"/>
          </w:tcPr>
          <w:p w14:paraId="000003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57</w:t>
            </w:r>
          </w:p>
        </w:tc>
      </w:tr>
      <w:tr w14:paraId="57115DC8">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Teen_Other</w:t>
            </w:r>
          </w:p>
        </w:tc>
        <w:tc>
          <w:tcPr>
            <w:vAlign w:val="center"/>
          </w:tcPr>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73.2%</w:t>
            </w:r>
          </w:p>
        </w:tc>
        <w:tc>
          <w:tcPr>
            <w:vAlign w:val="center"/>
          </w:tcPr>
          <w:p w14:paraId="000003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190</w:t>
            </w:r>
          </w:p>
        </w:tc>
      </w:tr>
      <w:tr w14:paraId="0B9BEC2E">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Young_Adult_Health</w:t>
            </w:r>
          </w:p>
        </w:tc>
        <w:tc>
          <w:tcPr>
            <w:vAlign w:val="center"/>
          </w:tcPr>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69.4%</w:t>
            </w:r>
          </w:p>
        </w:tc>
        <w:tc>
          <w:tcPr>
            <w:vAlign w:val="center"/>
          </w:tcPr>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85</w:t>
            </w:r>
          </w:p>
        </w:tc>
      </w:tr>
      <w:tr w14:paraId="6C50FA85">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Adult_Health</w:t>
            </w:r>
          </w:p>
        </w:tc>
        <w:tc>
          <w:tcPr>
            <w:vAlign w:val="center"/>
          </w:tcPr>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69.2%</w:t>
            </w:r>
          </w:p>
        </w:tc>
        <w:tc>
          <w:tcPr>
            <w:vAlign w:val="center"/>
          </w:tcPr>
          <w:p w14:paraId="000003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120</w:t>
            </w:r>
          </w:p>
        </w:tc>
      </w:tr>
      <w:tr w14:paraId="1548DC47">
        <w:tblPrEx>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CellMar>
            <w:top w:w="0" w:type="dxa"/>
            <w:left w:w="108" w:type="dxa"/>
            <w:bottom w:w="0" w:type="dxa"/>
            <w:right w:w="108" w:type="dxa"/>
          </w:tblCellMar>
        </w:tblPrEx>
        <w:trPr>
          <w:trHeight w:val="576" w:hRule="atLeast"/>
        </w:trPr>
        <w:tc>
          <w:tcPr>
            <w:vAlign w:val="center"/>
          </w:tcPr>
          <w:p w14:paraId="000003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Mid_Adult_Health</w:t>
            </w:r>
          </w:p>
        </w:tc>
        <w:tc>
          <w:tcPr>
            <w:vAlign w:val="center"/>
          </w:tcPr>
          <w:p w14:paraId="000003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66.7%</w:t>
            </w:r>
          </w:p>
        </w:tc>
        <w:tc>
          <w:tcPr>
            <w:vAlign w:val="center"/>
          </w:tcPr>
          <w:p w14:paraId="000003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27</w:t>
            </w:r>
          </w:p>
        </w:tc>
      </w:tr>
    </w:tbl>
    <w:p w14:paraId="000003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Insights:</w:t>
      </w:r>
      <w:r>
        <w:rPr>
          <w:rFonts w:ascii="Calibri" w:hAnsi="Calibri" w:eastAsia="Calibri" w:cs="Calibri"/>
          <w:b w:val="0"/>
          <w:i w:val="0"/>
          <w:smallCaps w:val="0"/>
          <w:strike w:val="0"/>
          <w:color w:val="000000"/>
          <w:sz w:val="24"/>
          <w:szCs w:val="24"/>
          <w:u w:val="none"/>
          <w:shd w:val="clear" w:fill="auto"/>
          <w:vertAlign w:val="baseline"/>
          <w:rtl w:val="0"/>
        </w:rPr>
        <w:t xml:space="preserve"> </w:t>
      </w:r>
    </w:p>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African gender combos and Health-related youth groups excel. Small institutions achieve perfect success, likely from focused cohorts. </w:t>
      </w:r>
    </w:p>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8"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Recommendation:</w:t>
      </w:r>
      <w:r>
        <w:rPr>
          <w:rFonts w:ascii="Calibri" w:hAnsi="Calibri" w:eastAsia="Calibri" w:cs="Calibri"/>
          <w:b w:val="0"/>
          <w:i w:val="0"/>
          <w:smallCaps w:val="0"/>
          <w:strike w:val="0"/>
          <w:color w:val="000000"/>
          <w:sz w:val="24"/>
          <w:szCs w:val="24"/>
          <w:u w:val="none"/>
          <w:shd w:val="clear" w:fill="auto"/>
          <w:vertAlign w:val="baseline"/>
          <w:rtl w:val="0"/>
        </w:rPr>
        <w:t xml:space="preserve"> Create cohort-based programs (e.g., Teen_Health in Africa) and scale learnings from smaller institutions to larger ones.</w:t>
      </w:r>
    </w:p>
    <w:p w14:paraId="000003A8">
      <w:pPr>
        <w:rPr>
          <w:rFonts w:ascii="Calibri" w:hAnsi="Calibri" w:eastAsia="Calibri" w:cs="Calibri"/>
          <w:b/>
          <w:sz w:val="32"/>
          <w:szCs w:val="32"/>
        </w:rPr>
      </w:pPr>
    </w:p>
    <w:p w14:paraId="000003A9">
      <w:pPr>
        <w:rPr>
          <w:rFonts w:ascii="Calibri" w:hAnsi="Calibri" w:eastAsia="Calibri" w:cs="Calibri"/>
          <w:b/>
          <w:sz w:val="32"/>
          <w:szCs w:val="32"/>
        </w:rPr>
      </w:pPr>
    </w:p>
    <w:p w14:paraId="000003A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0"/>
          <w:tab w:val="left" w:pos="360"/>
        </w:tabs>
        <w:spacing w:before="0" w:after="160" w:line="360" w:lineRule="auto"/>
        <w:ind w:left="630" w:right="0" w:hanging="720"/>
        <w:jc w:val="left"/>
        <w:rPr>
          <w:rFonts w:ascii="Calibri" w:hAnsi="Calibri" w:eastAsia="Calibri" w:cs="Calibri"/>
          <w:b/>
          <w:i w:val="0"/>
          <w:smallCaps w:val="0"/>
          <w:strike w:val="0"/>
          <w:color w:val="000000"/>
          <w:sz w:val="40"/>
          <w:szCs w:val="40"/>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Research Hypotheses</w:t>
      </w:r>
    </w:p>
    <w:p w14:paraId="000003AB">
      <w:pPr>
        <w:numPr>
          <w:ilvl w:val="0"/>
          <w:numId w:val="51"/>
        </w:numPr>
        <w:ind w:left="720" w:hanging="360"/>
        <w:rPr>
          <w:rFonts w:ascii="Calibri" w:hAnsi="Calibri" w:eastAsia="Calibri" w:cs="Calibri"/>
          <w:sz w:val="28"/>
          <w:szCs w:val="28"/>
        </w:rPr>
      </w:pPr>
      <w:r>
        <w:rPr>
          <w:rFonts w:ascii="Calibri" w:hAnsi="Calibri" w:eastAsia="Calibri" w:cs="Calibri"/>
          <w:b/>
          <w:sz w:val="28"/>
          <w:szCs w:val="28"/>
          <w:rtl w:val="0"/>
        </w:rPr>
        <w:t>Gender and Success</w:t>
      </w:r>
    </w:p>
    <w:p w14:paraId="000003AC">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08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H1: Female learners are more likely to achieve higher success rates than male learners due to stronger alignment between their chosen opportunities and persistence.</w:t>
      </w:r>
    </w:p>
    <w:p w14:paraId="000003AD">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1080" w:right="0" w:hanging="36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H0: There is no significant difference in success rates between male and female learners.</w:t>
      </w:r>
    </w:p>
    <w:p w14:paraId="000003AE">
      <w:pPr>
        <w:numPr>
          <w:ilvl w:val="0"/>
          <w:numId w:val="53"/>
        </w:numPr>
        <w:ind w:left="720" w:hanging="360"/>
        <w:rPr>
          <w:rFonts w:ascii="Calibri" w:hAnsi="Calibri" w:eastAsia="Calibri" w:cs="Calibri"/>
          <w:sz w:val="28"/>
          <w:szCs w:val="28"/>
        </w:rPr>
      </w:pPr>
      <w:r>
        <w:rPr>
          <w:rFonts w:ascii="Calibri" w:hAnsi="Calibri" w:eastAsia="Calibri" w:cs="Calibri"/>
          <w:b/>
          <w:sz w:val="28"/>
          <w:szCs w:val="28"/>
          <w:rtl w:val="0"/>
        </w:rPr>
        <w:t>Age and Success</w:t>
      </w:r>
    </w:p>
    <w:p w14:paraId="000003AF">
      <w:pPr>
        <w:numPr>
          <w:ilvl w:val="0"/>
          <w:numId w:val="54"/>
        </w:numPr>
        <w:ind w:left="1080" w:hanging="360"/>
        <w:jc w:val="both"/>
        <w:rPr>
          <w:rFonts w:ascii="Calibri" w:hAnsi="Calibri" w:eastAsia="Calibri" w:cs="Calibri"/>
        </w:rPr>
      </w:pPr>
      <w:r>
        <w:rPr>
          <w:rFonts w:ascii="Calibri" w:hAnsi="Calibri" w:eastAsia="Calibri" w:cs="Calibri"/>
          <w:rtl w:val="0"/>
        </w:rPr>
        <w:t>H1: Teen learners will outperform other age groups because of higher enthusiasm, structured academic support, and lower competition.</w:t>
      </w:r>
    </w:p>
    <w:p w14:paraId="000003B0">
      <w:pPr>
        <w:numPr>
          <w:ilvl w:val="0"/>
          <w:numId w:val="54"/>
        </w:numPr>
        <w:ind w:left="1080" w:hanging="360"/>
        <w:jc w:val="both"/>
        <w:rPr>
          <w:rFonts w:ascii="Calibri" w:hAnsi="Calibri" w:eastAsia="Calibri" w:cs="Calibri"/>
        </w:rPr>
      </w:pPr>
      <w:r>
        <w:rPr>
          <w:rFonts w:ascii="Calibri" w:hAnsi="Calibri" w:eastAsia="Calibri" w:cs="Calibri"/>
          <w:rtl w:val="0"/>
        </w:rPr>
        <w:t>H0: Success rates do not differ significantly across age groups.</w:t>
      </w:r>
    </w:p>
    <w:p w14:paraId="000003B1">
      <w:pPr>
        <w:numPr>
          <w:ilvl w:val="0"/>
          <w:numId w:val="55"/>
        </w:numPr>
        <w:ind w:left="720" w:hanging="360"/>
        <w:rPr>
          <w:rFonts w:ascii="Calibri" w:hAnsi="Calibri" w:eastAsia="Calibri" w:cs="Calibri"/>
          <w:sz w:val="28"/>
          <w:szCs w:val="28"/>
        </w:rPr>
      </w:pPr>
      <w:r>
        <w:rPr>
          <w:rFonts w:ascii="Calibri" w:hAnsi="Calibri" w:eastAsia="Calibri" w:cs="Calibri"/>
          <w:b/>
          <w:sz w:val="28"/>
          <w:szCs w:val="28"/>
          <w:rtl w:val="0"/>
        </w:rPr>
        <w:t>Regional Performance</w:t>
      </w:r>
    </w:p>
    <w:p w14:paraId="000003B2">
      <w:pPr>
        <w:numPr>
          <w:ilvl w:val="0"/>
          <w:numId w:val="56"/>
        </w:numPr>
        <w:ind w:left="1080" w:hanging="360"/>
        <w:jc w:val="both"/>
        <w:rPr>
          <w:rFonts w:ascii="Calibri" w:hAnsi="Calibri" w:eastAsia="Calibri" w:cs="Calibri"/>
        </w:rPr>
      </w:pPr>
      <w:r>
        <w:rPr>
          <w:rFonts w:ascii="Calibri" w:hAnsi="Calibri" w:eastAsia="Calibri" w:cs="Calibri"/>
          <w:rtl w:val="0"/>
        </w:rPr>
        <w:t>H1: Learners from Africa and “Other” regions have higher success rates due to better-targeted opportunities compared to oversaturated regions like North America.</w:t>
      </w:r>
    </w:p>
    <w:p w14:paraId="000003B3">
      <w:pPr>
        <w:numPr>
          <w:ilvl w:val="0"/>
          <w:numId w:val="56"/>
        </w:numPr>
        <w:ind w:left="1080" w:hanging="360"/>
        <w:jc w:val="both"/>
        <w:rPr>
          <w:rFonts w:ascii="Calibri" w:hAnsi="Calibri" w:eastAsia="Calibri" w:cs="Calibri"/>
        </w:rPr>
      </w:pPr>
      <w:r>
        <w:rPr>
          <w:rFonts w:ascii="Calibri" w:hAnsi="Calibri" w:eastAsia="Calibri" w:cs="Calibri"/>
          <w:rtl w:val="0"/>
        </w:rPr>
        <w:t>H0: Regional differences in success rates are not statistically significant.</w:t>
      </w:r>
    </w:p>
    <w:p w14:paraId="000003B4">
      <w:pPr>
        <w:numPr>
          <w:ilvl w:val="0"/>
          <w:numId w:val="57"/>
        </w:numPr>
        <w:ind w:left="720" w:hanging="360"/>
        <w:rPr>
          <w:rFonts w:ascii="Calibri" w:hAnsi="Calibri" w:eastAsia="Calibri" w:cs="Calibri"/>
          <w:sz w:val="28"/>
          <w:szCs w:val="28"/>
        </w:rPr>
      </w:pPr>
      <w:r>
        <w:rPr>
          <w:rFonts w:ascii="Calibri" w:hAnsi="Calibri" w:eastAsia="Calibri" w:cs="Calibri"/>
          <w:b/>
          <w:sz w:val="28"/>
          <w:szCs w:val="28"/>
          <w:rtl w:val="0"/>
        </w:rPr>
        <w:t>Engagement and Success</w:t>
      </w:r>
    </w:p>
    <w:p w14:paraId="000003B5">
      <w:pPr>
        <w:numPr>
          <w:ilvl w:val="0"/>
          <w:numId w:val="58"/>
        </w:numPr>
        <w:ind w:left="1080" w:hanging="360"/>
        <w:jc w:val="both"/>
        <w:rPr>
          <w:rFonts w:ascii="Calibri" w:hAnsi="Calibri" w:eastAsia="Calibri" w:cs="Calibri"/>
        </w:rPr>
      </w:pPr>
      <w:r>
        <w:rPr>
          <w:rFonts w:ascii="Calibri" w:hAnsi="Calibri" w:eastAsia="Calibri" w:cs="Calibri"/>
          <w:rtl w:val="0"/>
        </w:rPr>
        <w:t>H1: Higher engagement scores directly correlate with higher success rates (e.g., high-engagement learners succeed more often).</w:t>
      </w:r>
    </w:p>
    <w:p w14:paraId="000003B6">
      <w:pPr>
        <w:numPr>
          <w:ilvl w:val="0"/>
          <w:numId w:val="58"/>
        </w:numPr>
        <w:ind w:left="1080" w:hanging="360"/>
        <w:jc w:val="both"/>
        <w:rPr>
          <w:rFonts w:ascii="Calibri" w:hAnsi="Calibri" w:eastAsia="Calibri" w:cs="Calibri"/>
        </w:rPr>
      </w:pPr>
      <w:r>
        <w:rPr>
          <w:rFonts w:ascii="Calibri" w:hAnsi="Calibri" w:eastAsia="Calibri" w:cs="Calibri"/>
          <w:rtl w:val="0"/>
        </w:rPr>
        <w:t>H0: Engagement level does not significantly impact success outcomes.</w:t>
      </w:r>
    </w:p>
    <w:p w14:paraId="000003B7">
      <w:pPr>
        <w:numPr>
          <w:ilvl w:val="0"/>
          <w:numId w:val="59"/>
        </w:numPr>
        <w:ind w:left="720" w:hanging="360"/>
        <w:rPr>
          <w:rFonts w:ascii="Calibri" w:hAnsi="Calibri" w:eastAsia="Calibri" w:cs="Calibri"/>
          <w:sz w:val="28"/>
          <w:szCs w:val="28"/>
        </w:rPr>
      </w:pPr>
      <w:r>
        <w:rPr>
          <w:rFonts w:ascii="Calibri" w:hAnsi="Calibri" w:eastAsia="Calibri" w:cs="Calibri"/>
          <w:b/>
          <w:sz w:val="28"/>
          <w:szCs w:val="28"/>
          <w:rtl w:val="0"/>
        </w:rPr>
        <w:t>Major and Success</w:t>
      </w:r>
    </w:p>
    <w:p w14:paraId="000003B8">
      <w:pPr>
        <w:numPr>
          <w:ilvl w:val="0"/>
          <w:numId w:val="60"/>
        </w:numPr>
        <w:ind w:left="1080" w:hanging="360"/>
        <w:jc w:val="both"/>
        <w:rPr>
          <w:rFonts w:ascii="Calibri" w:hAnsi="Calibri" w:eastAsia="Calibri" w:cs="Calibri"/>
        </w:rPr>
      </w:pPr>
      <w:r>
        <w:rPr>
          <w:rFonts w:ascii="Calibri" w:hAnsi="Calibri" w:eastAsia="Calibri" w:cs="Calibri"/>
          <w:rtl w:val="0"/>
        </w:rPr>
        <w:t>H1: Health majors will continue to achieve higher success rates than Tech majors because of lower competition and stronger program fit.</w:t>
      </w:r>
    </w:p>
    <w:p w14:paraId="000003B9">
      <w:pPr>
        <w:numPr>
          <w:ilvl w:val="0"/>
          <w:numId w:val="60"/>
        </w:numPr>
        <w:ind w:left="1080" w:hanging="360"/>
        <w:jc w:val="both"/>
        <w:rPr>
          <w:rFonts w:ascii="Calibri" w:hAnsi="Calibri" w:eastAsia="Calibri" w:cs="Calibri"/>
        </w:rPr>
      </w:pPr>
      <w:r>
        <w:rPr>
          <w:rFonts w:ascii="Calibri" w:hAnsi="Calibri" w:eastAsia="Calibri" w:cs="Calibri"/>
          <w:rtl w:val="0"/>
        </w:rPr>
        <w:t>H0: Major choice has no significant effect on success rates.</w:t>
      </w:r>
    </w:p>
    <w:p w14:paraId="000003BA">
      <w:pPr>
        <w:numPr>
          <w:ilvl w:val="0"/>
          <w:numId w:val="61"/>
        </w:numPr>
        <w:ind w:left="720" w:hanging="360"/>
        <w:rPr>
          <w:rFonts w:ascii="Calibri" w:hAnsi="Calibri" w:eastAsia="Calibri" w:cs="Calibri"/>
          <w:sz w:val="28"/>
          <w:szCs w:val="28"/>
        </w:rPr>
      </w:pPr>
      <w:r>
        <w:rPr>
          <w:rFonts w:ascii="Calibri" w:hAnsi="Calibri" w:eastAsia="Calibri" w:cs="Calibri"/>
          <w:b/>
          <w:sz w:val="28"/>
          <w:szCs w:val="28"/>
          <w:rtl w:val="0"/>
        </w:rPr>
        <w:t>Opportunity Category</w:t>
      </w:r>
    </w:p>
    <w:p w14:paraId="000003BB">
      <w:pPr>
        <w:numPr>
          <w:ilvl w:val="0"/>
          <w:numId w:val="62"/>
        </w:numPr>
        <w:ind w:left="1080" w:hanging="360"/>
        <w:jc w:val="both"/>
        <w:rPr>
          <w:rFonts w:ascii="Calibri" w:hAnsi="Calibri" w:eastAsia="Calibri" w:cs="Calibri"/>
        </w:rPr>
      </w:pPr>
      <w:r>
        <w:rPr>
          <w:rFonts w:ascii="Calibri" w:hAnsi="Calibri" w:eastAsia="Calibri" w:cs="Calibri"/>
          <w:rtl w:val="0"/>
        </w:rPr>
        <w:t>H1: Learners applying to internships are less likely to succeed than those applying to health-related courses due to oversubscription.</w:t>
      </w:r>
    </w:p>
    <w:p w14:paraId="000003BC">
      <w:pPr>
        <w:numPr>
          <w:ilvl w:val="0"/>
          <w:numId w:val="62"/>
        </w:numPr>
        <w:ind w:left="1080" w:hanging="360"/>
        <w:jc w:val="both"/>
        <w:rPr>
          <w:rFonts w:ascii="Calibri" w:hAnsi="Calibri" w:eastAsia="Calibri" w:cs="Calibri"/>
        </w:rPr>
      </w:pPr>
      <w:r>
        <w:rPr>
          <w:rFonts w:ascii="Calibri" w:hAnsi="Calibri" w:eastAsia="Calibri" w:cs="Calibri"/>
          <w:rtl w:val="0"/>
        </w:rPr>
        <w:t>H0: Opportunity type does not influence learner success rates.</w:t>
      </w:r>
    </w:p>
    <w:p w14:paraId="000003BD">
      <w:pPr>
        <w:numPr>
          <w:ilvl w:val="0"/>
          <w:numId w:val="63"/>
        </w:numPr>
        <w:ind w:left="720" w:hanging="360"/>
        <w:rPr>
          <w:rFonts w:ascii="Calibri" w:hAnsi="Calibri" w:eastAsia="Calibri" w:cs="Calibri"/>
          <w:sz w:val="28"/>
          <w:szCs w:val="28"/>
        </w:rPr>
      </w:pPr>
      <w:r>
        <w:rPr>
          <w:rFonts w:ascii="Calibri" w:hAnsi="Calibri" w:eastAsia="Calibri" w:cs="Calibri"/>
          <w:b/>
          <w:sz w:val="28"/>
          <w:szCs w:val="28"/>
          <w:rtl w:val="0"/>
        </w:rPr>
        <w:t>Temporal Trends</w:t>
      </w:r>
    </w:p>
    <w:p w14:paraId="000003BE">
      <w:pPr>
        <w:numPr>
          <w:ilvl w:val="0"/>
          <w:numId w:val="64"/>
        </w:numPr>
        <w:ind w:left="720" w:firstLine="0"/>
        <w:jc w:val="both"/>
        <w:rPr>
          <w:rFonts w:ascii="Calibri" w:hAnsi="Calibri" w:eastAsia="Calibri" w:cs="Calibri"/>
        </w:rPr>
      </w:pPr>
      <w:r>
        <w:rPr>
          <w:rFonts w:ascii="Calibri" w:hAnsi="Calibri" w:eastAsia="Calibri" w:cs="Calibri"/>
          <w:rtl w:val="0"/>
        </w:rPr>
        <w:t>H1: Learner signups in peak academic months (June–September) result in higher success</w:t>
      </w:r>
    </w:p>
    <w:p w14:paraId="000003BF">
      <w:pPr>
        <w:ind w:left="720" w:firstLine="0"/>
        <w:jc w:val="both"/>
        <w:rPr>
          <w:rFonts w:ascii="Calibri" w:hAnsi="Calibri" w:eastAsia="Calibri" w:cs="Calibri"/>
        </w:rPr>
      </w:pPr>
      <w:r>
        <w:rPr>
          <w:rFonts w:ascii="Calibri" w:hAnsi="Calibri" w:eastAsia="Calibri" w:cs="Calibri"/>
          <w:rtl w:val="0"/>
        </w:rPr>
        <w:t xml:space="preserve">             rates due to better alignment with academic cycles.</w:t>
      </w:r>
    </w:p>
    <w:p w14:paraId="000003C0">
      <w:pPr>
        <w:numPr>
          <w:ilvl w:val="0"/>
          <w:numId w:val="64"/>
        </w:numPr>
        <w:ind w:left="720" w:firstLine="0"/>
        <w:jc w:val="both"/>
        <w:rPr>
          <w:rFonts w:ascii="Calibri" w:hAnsi="Calibri" w:eastAsia="Calibri" w:cs="Calibri"/>
        </w:rPr>
      </w:pPr>
      <w:r>
        <w:rPr>
          <w:rFonts w:ascii="Calibri" w:hAnsi="Calibri" w:eastAsia="Calibri" w:cs="Calibri"/>
          <w:rtl w:val="0"/>
        </w:rPr>
        <w:t>H0: Signup month has no effect on success outcomes.</w:t>
      </w:r>
    </w:p>
    <w:p w14:paraId="000003C1">
      <w:pPr>
        <w:jc w:val="both"/>
        <w:rPr>
          <w:rFonts w:ascii="Calibri" w:hAnsi="Calibri" w:eastAsia="Calibri" w:cs="Calibri"/>
          <w:b/>
        </w:rPr>
      </w:pPr>
      <w:r>
        <w:rPr>
          <w:rFonts w:ascii="Calibri" w:hAnsi="Calibri" w:eastAsia="Calibri" w:cs="Calibri"/>
          <w:b/>
          <w:rtl w:val="0"/>
        </w:rPr>
        <w:t xml:space="preserve">Insights: </w:t>
      </w:r>
    </w:p>
    <w:p w14:paraId="000003C2">
      <w:pPr>
        <w:jc w:val="both"/>
        <w:rPr>
          <w:rFonts w:ascii="Calibri" w:hAnsi="Calibri" w:eastAsia="Calibri" w:cs="Calibri"/>
        </w:rPr>
      </w:pPr>
      <w:r>
        <w:rPr>
          <w:rFonts w:ascii="Calibri" w:hAnsi="Calibri" w:eastAsia="Calibri" w:cs="Calibri"/>
          <w:rtl w:val="0"/>
        </w:rPr>
        <w:t>Most hypotheses were confirmed, especially those relating to gender, age, region, engagement, and majors. Teens, females, African learners, highly engaged users, and Health majors consistently showed stronger success. Hypotheses on opportunity type and timing were only partially supported, requiring further exploration.</w:t>
      </w:r>
    </w:p>
    <w:p w14:paraId="000003C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160" w:line="278" w:lineRule="auto"/>
        <w:ind w:left="450" w:right="0" w:hanging="540"/>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Conclusion</w:t>
      </w:r>
    </w:p>
    <w:p w14:paraId="000003C4">
      <w:pPr>
        <w:tabs>
          <w:tab w:val="left" w:pos="0"/>
        </w:tabs>
        <w:ind w:left="-90" w:firstLine="0"/>
        <w:jc w:val="both"/>
        <w:rPr>
          <w:rFonts w:ascii="Calibri" w:hAnsi="Calibri" w:eastAsia="Calibri" w:cs="Calibri"/>
        </w:rPr>
      </w:pPr>
      <w:r>
        <w:rPr>
          <w:rFonts w:ascii="Calibri" w:hAnsi="Calibri" w:eastAsia="Calibri" w:cs="Calibri"/>
          <w:rtl w:val="0"/>
        </w:rPr>
        <w:t>The analysis shows strong global participation but uneven success outcomes. Teens and Health majors excel (≈70% success), while Young Adults, Tech majors, and North American learners underperform. Engagement is the strongest success driver—highly engaged users succeed ≈70%, while low-engagement users almost never succeed. Regional disparities exist: Africa performs best, North America lags. Peaks in signups occur around academic cycles, but sustaining long-term momentum is a challenge.</w:t>
      </w:r>
    </w:p>
    <w:p w14:paraId="000003C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450" w:right="0" w:hanging="45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Recommendations</w:t>
      </w:r>
    </w:p>
    <w:p w14:paraId="000003C6">
      <w:pPr>
        <w:numPr>
          <w:ilvl w:val="0"/>
          <w:numId w:val="65"/>
        </w:numPr>
        <w:ind w:left="720" w:hanging="360"/>
        <w:jc w:val="both"/>
        <w:rPr>
          <w:rFonts w:ascii="Calibri" w:hAnsi="Calibri" w:eastAsia="Calibri" w:cs="Calibri"/>
        </w:rPr>
      </w:pPr>
      <w:r>
        <w:rPr>
          <w:rFonts w:ascii="Calibri" w:hAnsi="Calibri" w:eastAsia="Calibri" w:cs="Calibri"/>
          <w:b/>
          <w:rtl w:val="0"/>
        </w:rPr>
        <w:t>Regional Strategy</w:t>
      </w:r>
      <w:r>
        <w:rPr>
          <w:rFonts w:ascii="Calibri" w:hAnsi="Calibri" w:eastAsia="Calibri" w:cs="Calibri"/>
          <w:rtl w:val="0"/>
        </w:rPr>
        <w:t>: Expand into Europe and replicate Africa’s success model; address barriers in North America/India.</w:t>
      </w:r>
    </w:p>
    <w:p w14:paraId="000003C7">
      <w:pPr>
        <w:numPr>
          <w:ilvl w:val="0"/>
          <w:numId w:val="65"/>
        </w:numPr>
        <w:ind w:left="720" w:hanging="360"/>
        <w:jc w:val="both"/>
        <w:rPr>
          <w:rFonts w:ascii="Calibri" w:hAnsi="Calibri" w:eastAsia="Calibri" w:cs="Calibri"/>
        </w:rPr>
      </w:pPr>
      <w:r>
        <w:rPr>
          <w:rFonts w:ascii="Calibri" w:hAnsi="Calibri" w:eastAsia="Calibri" w:cs="Calibri"/>
          <w:b/>
          <w:rtl w:val="0"/>
        </w:rPr>
        <w:t>Better Matching</w:t>
      </w:r>
      <w:r>
        <w:rPr>
          <w:rFonts w:ascii="Calibri" w:hAnsi="Calibri" w:eastAsia="Calibri" w:cs="Calibri"/>
          <w:rtl w:val="0"/>
        </w:rPr>
        <w:t>: Apply AI-driven recommendations to reduce rejections and balance oversaturated Tech fields.</w:t>
      </w:r>
    </w:p>
    <w:p w14:paraId="000003C8">
      <w:pPr>
        <w:numPr>
          <w:ilvl w:val="0"/>
          <w:numId w:val="65"/>
        </w:numPr>
        <w:ind w:left="720" w:hanging="360"/>
        <w:jc w:val="both"/>
        <w:rPr>
          <w:rFonts w:ascii="Calibri" w:hAnsi="Calibri" w:eastAsia="Calibri" w:cs="Calibri"/>
        </w:rPr>
      </w:pPr>
      <w:r>
        <w:rPr>
          <w:rFonts w:ascii="Calibri" w:hAnsi="Calibri" w:eastAsia="Calibri" w:cs="Calibri"/>
          <w:b/>
          <w:rtl w:val="0"/>
        </w:rPr>
        <w:t>Seasonal Planning</w:t>
      </w:r>
      <w:r>
        <w:rPr>
          <w:rFonts w:ascii="Calibri" w:hAnsi="Calibri" w:eastAsia="Calibri" w:cs="Calibri"/>
          <w:rtl w:val="0"/>
        </w:rPr>
        <w:t>: Leverage academic-cycle peaks (Aug, Jun, Sep) and improve retention in quieter months.</w:t>
      </w:r>
    </w:p>
    <w:p w14:paraId="000003C9">
      <w:pPr>
        <w:numPr>
          <w:ilvl w:val="0"/>
          <w:numId w:val="65"/>
        </w:numPr>
        <w:ind w:left="720" w:hanging="360"/>
        <w:jc w:val="both"/>
        <w:rPr>
          <w:rFonts w:ascii="Calibri" w:hAnsi="Calibri" w:eastAsia="Calibri" w:cs="Calibri"/>
        </w:rPr>
      </w:pPr>
      <w:r>
        <w:rPr>
          <w:rFonts w:ascii="Calibri" w:hAnsi="Calibri" w:eastAsia="Calibri" w:cs="Calibri"/>
          <w:b/>
          <w:rtl w:val="0"/>
        </w:rPr>
        <w:t>Target Underperforming Groups</w:t>
      </w:r>
      <w:r>
        <w:rPr>
          <w:rFonts w:ascii="Calibri" w:hAnsi="Calibri" w:eastAsia="Calibri" w:cs="Calibri"/>
          <w:rtl w:val="0"/>
        </w:rPr>
        <w:t>: Focus mentorship and tailored support on Young Adults, Tech majors, and low-performing regions.</w:t>
      </w:r>
    </w:p>
    <w:p w14:paraId="000003CA">
      <w:pPr>
        <w:ind w:left="720" w:firstLine="0"/>
        <w:jc w:val="both"/>
        <w:rPr>
          <w:rFonts w:ascii="Calibri" w:hAnsi="Calibri" w:eastAsia="Calibri" w:cs="Calibri"/>
        </w:rPr>
      </w:pPr>
    </w:p>
    <w:p w14:paraId="000003CB">
      <w:pPr>
        <w:rPr>
          <w:rFonts w:ascii="Calibri" w:hAnsi="Calibri" w:eastAsia="Calibri" w:cs="Calibri"/>
        </w:rPr>
      </w:pPr>
    </w:p>
    <w:p w14:paraId="000003CC">
      <w:pPr>
        <w:rPr>
          <w:rFonts w:ascii="Calibri" w:hAnsi="Calibri" w:eastAsia="Calibri" w:cs="Calibri"/>
        </w:rPr>
      </w:pPr>
    </w:p>
    <w:sectPr>
      <w:pgSz w:w="12240" w:h="15840"/>
      <w:pgMar w:top="1440" w:right="1080"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swiss"/>
    <w:pitch w:val="default"/>
    <w:sig w:usb0="E4002EFF" w:usb1="C200247B"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845B5372"/>
    <w:multiLevelType w:val="multilevel"/>
    <w:tmpl w:val="845B537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8461FADE"/>
    <w:multiLevelType w:val="multilevel"/>
    <w:tmpl w:val="8461FADE"/>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8CAEB125"/>
    <w:multiLevelType w:val="multilevel"/>
    <w:tmpl w:val="8CAEB125"/>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91995D4F"/>
    <w:multiLevelType w:val="multilevel"/>
    <w:tmpl w:val="91995D4F"/>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9288B902"/>
    <w:multiLevelType w:val="multilevel"/>
    <w:tmpl w:val="9288B902"/>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B0F1ACD9"/>
    <w:multiLevelType w:val="multilevel"/>
    <w:tmpl w:val="B0F1ACD9"/>
    <w:lvl w:ilvl="0" w:tentative="0">
      <w:start w:val="1"/>
      <w:numFmt w:val="bullet"/>
      <w:lvlText w:val="●"/>
      <w:lvlJc w:val="left"/>
      <w:pPr>
        <w:ind w:left="630" w:hanging="360"/>
      </w:pPr>
      <w:rPr>
        <w:rFonts w:ascii="Noto Sans Symbols" w:hAnsi="Noto Sans Symbols" w:eastAsia="Noto Sans Symbols" w:cs="Noto Sans Symbols"/>
      </w:rPr>
    </w:lvl>
    <w:lvl w:ilvl="1" w:tentative="0">
      <w:start w:val="1"/>
      <w:numFmt w:val="bullet"/>
      <w:lvlText w:val="o"/>
      <w:lvlJc w:val="left"/>
      <w:pPr>
        <w:ind w:left="1350" w:hanging="360"/>
      </w:pPr>
      <w:rPr>
        <w:rFonts w:ascii="Courier New" w:hAnsi="Courier New" w:eastAsia="Courier New" w:cs="Courier New"/>
      </w:rPr>
    </w:lvl>
    <w:lvl w:ilvl="2" w:tentative="0">
      <w:start w:val="1"/>
      <w:numFmt w:val="bullet"/>
      <w:lvlText w:val="▪"/>
      <w:lvlJc w:val="left"/>
      <w:pPr>
        <w:ind w:left="2070" w:hanging="360"/>
      </w:pPr>
      <w:rPr>
        <w:rFonts w:ascii="Noto Sans Symbols" w:hAnsi="Noto Sans Symbols" w:eastAsia="Noto Sans Symbols" w:cs="Noto Sans Symbols"/>
      </w:rPr>
    </w:lvl>
    <w:lvl w:ilvl="3" w:tentative="0">
      <w:start w:val="1"/>
      <w:numFmt w:val="bullet"/>
      <w:lvlText w:val="●"/>
      <w:lvlJc w:val="left"/>
      <w:pPr>
        <w:ind w:left="2790" w:hanging="360"/>
      </w:pPr>
      <w:rPr>
        <w:rFonts w:ascii="Noto Sans Symbols" w:hAnsi="Noto Sans Symbols" w:eastAsia="Noto Sans Symbols" w:cs="Noto Sans Symbols"/>
      </w:rPr>
    </w:lvl>
    <w:lvl w:ilvl="4" w:tentative="0">
      <w:start w:val="1"/>
      <w:numFmt w:val="bullet"/>
      <w:lvlText w:val="o"/>
      <w:lvlJc w:val="left"/>
      <w:pPr>
        <w:ind w:left="3510" w:hanging="360"/>
      </w:pPr>
      <w:rPr>
        <w:rFonts w:ascii="Courier New" w:hAnsi="Courier New" w:eastAsia="Courier New" w:cs="Courier New"/>
      </w:rPr>
    </w:lvl>
    <w:lvl w:ilvl="5" w:tentative="0">
      <w:start w:val="1"/>
      <w:numFmt w:val="bullet"/>
      <w:lvlText w:val="▪"/>
      <w:lvlJc w:val="left"/>
      <w:pPr>
        <w:ind w:left="4230" w:hanging="360"/>
      </w:pPr>
      <w:rPr>
        <w:rFonts w:ascii="Noto Sans Symbols" w:hAnsi="Noto Sans Symbols" w:eastAsia="Noto Sans Symbols" w:cs="Noto Sans Symbols"/>
      </w:rPr>
    </w:lvl>
    <w:lvl w:ilvl="6" w:tentative="0">
      <w:start w:val="1"/>
      <w:numFmt w:val="bullet"/>
      <w:lvlText w:val="●"/>
      <w:lvlJc w:val="left"/>
      <w:pPr>
        <w:ind w:left="4950" w:hanging="360"/>
      </w:pPr>
      <w:rPr>
        <w:rFonts w:ascii="Noto Sans Symbols" w:hAnsi="Noto Sans Symbols" w:eastAsia="Noto Sans Symbols" w:cs="Noto Sans Symbols"/>
      </w:rPr>
    </w:lvl>
    <w:lvl w:ilvl="7" w:tentative="0">
      <w:start w:val="1"/>
      <w:numFmt w:val="bullet"/>
      <w:lvlText w:val="o"/>
      <w:lvlJc w:val="left"/>
      <w:pPr>
        <w:ind w:left="5670" w:hanging="360"/>
      </w:pPr>
      <w:rPr>
        <w:rFonts w:ascii="Courier New" w:hAnsi="Courier New" w:eastAsia="Courier New" w:cs="Courier New"/>
      </w:rPr>
    </w:lvl>
    <w:lvl w:ilvl="8" w:tentative="0">
      <w:start w:val="1"/>
      <w:numFmt w:val="bullet"/>
      <w:lvlText w:val="▪"/>
      <w:lvlJc w:val="left"/>
      <w:pPr>
        <w:ind w:left="6390" w:hanging="360"/>
      </w:pPr>
      <w:rPr>
        <w:rFonts w:ascii="Noto Sans Symbols" w:hAnsi="Noto Sans Symbols" w:eastAsia="Noto Sans Symbols" w:cs="Noto Sans Symbols"/>
      </w:rPr>
    </w:lvl>
  </w:abstractNum>
  <w:abstractNum w:abstractNumId="9">
    <w:nsid w:val="B53F3350"/>
    <w:multiLevelType w:val="multilevel"/>
    <w:tmpl w:val="B53F335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B5E306ED"/>
    <w:multiLevelType w:val="multilevel"/>
    <w:tmpl w:val="B5E306ED"/>
    <w:lvl w:ilvl="0" w:tentative="0">
      <w:start w:val="1"/>
      <w:numFmt w:val="bullet"/>
      <w:lvlText w:val="o"/>
      <w:lvlJc w:val="left"/>
      <w:pPr>
        <w:ind w:left="1859" w:hanging="360"/>
      </w:pPr>
      <w:rPr>
        <w:rFonts w:ascii="Courier New" w:hAnsi="Courier New" w:eastAsia="Courier New" w:cs="Courier New"/>
      </w:rPr>
    </w:lvl>
    <w:lvl w:ilvl="1" w:tentative="0">
      <w:start w:val="1"/>
      <w:numFmt w:val="bullet"/>
      <w:lvlText w:val="o"/>
      <w:lvlJc w:val="left"/>
      <w:pPr>
        <w:ind w:left="2579" w:hanging="360"/>
      </w:pPr>
      <w:rPr>
        <w:rFonts w:ascii="Courier New" w:hAnsi="Courier New" w:eastAsia="Courier New" w:cs="Courier New"/>
      </w:rPr>
    </w:lvl>
    <w:lvl w:ilvl="2" w:tentative="0">
      <w:start w:val="1"/>
      <w:numFmt w:val="bullet"/>
      <w:lvlText w:val="▪"/>
      <w:lvlJc w:val="left"/>
      <w:pPr>
        <w:ind w:left="3299" w:hanging="360"/>
      </w:pPr>
      <w:rPr>
        <w:rFonts w:ascii="Noto Sans Symbols" w:hAnsi="Noto Sans Symbols" w:eastAsia="Noto Sans Symbols" w:cs="Noto Sans Symbols"/>
      </w:rPr>
    </w:lvl>
    <w:lvl w:ilvl="3" w:tentative="0">
      <w:start w:val="1"/>
      <w:numFmt w:val="bullet"/>
      <w:lvlText w:val="●"/>
      <w:lvlJc w:val="left"/>
      <w:pPr>
        <w:ind w:left="4019" w:hanging="360"/>
      </w:pPr>
      <w:rPr>
        <w:rFonts w:ascii="Noto Sans Symbols" w:hAnsi="Noto Sans Symbols" w:eastAsia="Noto Sans Symbols" w:cs="Noto Sans Symbols"/>
      </w:rPr>
    </w:lvl>
    <w:lvl w:ilvl="4" w:tentative="0">
      <w:start w:val="1"/>
      <w:numFmt w:val="bullet"/>
      <w:lvlText w:val="o"/>
      <w:lvlJc w:val="left"/>
      <w:pPr>
        <w:ind w:left="4739" w:hanging="360"/>
      </w:pPr>
      <w:rPr>
        <w:rFonts w:ascii="Courier New" w:hAnsi="Courier New" w:eastAsia="Courier New" w:cs="Courier New"/>
      </w:rPr>
    </w:lvl>
    <w:lvl w:ilvl="5" w:tentative="0">
      <w:start w:val="1"/>
      <w:numFmt w:val="bullet"/>
      <w:lvlText w:val="▪"/>
      <w:lvlJc w:val="left"/>
      <w:pPr>
        <w:ind w:left="5459" w:hanging="360"/>
      </w:pPr>
      <w:rPr>
        <w:rFonts w:ascii="Noto Sans Symbols" w:hAnsi="Noto Sans Symbols" w:eastAsia="Noto Sans Symbols" w:cs="Noto Sans Symbols"/>
      </w:rPr>
    </w:lvl>
    <w:lvl w:ilvl="6" w:tentative="0">
      <w:start w:val="1"/>
      <w:numFmt w:val="bullet"/>
      <w:lvlText w:val="●"/>
      <w:lvlJc w:val="left"/>
      <w:pPr>
        <w:ind w:left="6179" w:hanging="360"/>
      </w:pPr>
      <w:rPr>
        <w:rFonts w:ascii="Noto Sans Symbols" w:hAnsi="Noto Sans Symbols" w:eastAsia="Noto Sans Symbols" w:cs="Noto Sans Symbols"/>
      </w:rPr>
    </w:lvl>
    <w:lvl w:ilvl="7" w:tentative="0">
      <w:start w:val="1"/>
      <w:numFmt w:val="bullet"/>
      <w:lvlText w:val="o"/>
      <w:lvlJc w:val="left"/>
      <w:pPr>
        <w:ind w:left="6899" w:hanging="360"/>
      </w:pPr>
      <w:rPr>
        <w:rFonts w:ascii="Courier New" w:hAnsi="Courier New" w:eastAsia="Courier New" w:cs="Courier New"/>
      </w:rPr>
    </w:lvl>
    <w:lvl w:ilvl="8" w:tentative="0">
      <w:start w:val="1"/>
      <w:numFmt w:val="bullet"/>
      <w:lvlText w:val="▪"/>
      <w:lvlJc w:val="left"/>
      <w:pPr>
        <w:ind w:left="7619" w:hanging="360"/>
      </w:pPr>
      <w:rPr>
        <w:rFonts w:ascii="Noto Sans Symbols" w:hAnsi="Noto Sans Symbols" w:eastAsia="Noto Sans Symbols" w:cs="Noto Sans Symbols"/>
      </w:rPr>
    </w:lvl>
  </w:abstractNum>
  <w:abstractNum w:abstractNumId="11">
    <w:nsid w:val="B8CEF35B"/>
    <w:multiLevelType w:val="multilevel"/>
    <w:tmpl w:val="B8CEF35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BB64CFA9"/>
    <w:multiLevelType w:val="multilevel"/>
    <w:tmpl w:val="BB64CFA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
    <w:nsid w:val="BE923771"/>
    <w:multiLevelType w:val="multilevel"/>
    <w:tmpl w:val="BE92377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BF205925"/>
    <w:multiLevelType w:val="multilevel"/>
    <w:tmpl w:val="BF205925"/>
    <w:lvl w:ilvl="0" w:tentative="0">
      <w:start w:val="1"/>
      <w:numFmt w:val="bullet"/>
      <w:lvlText w:val="●"/>
      <w:lvlJc w:val="left"/>
      <w:pPr>
        <w:ind w:left="1499" w:hanging="360"/>
      </w:pPr>
      <w:rPr>
        <w:rFonts w:ascii="Noto Sans Symbols" w:hAnsi="Noto Sans Symbols" w:eastAsia="Noto Sans Symbols" w:cs="Noto Sans Symbols"/>
      </w:rPr>
    </w:lvl>
    <w:lvl w:ilvl="1" w:tentative="0">
      <w:start w:val="1"/>
      <w:numFmt w:val="bullet"/>
      <w:lvlText w:val="o"/>
      <w:lvlJc w:val="left"/>
      <w:pPr>
        <w:ind w:left="2219" w:hanging="360"/>
      </w:pPr>
      <w:rPr>
        <w:rFonts w:ascii="Courier New" w:hAnsi="Courier New" w:eastAsia="Courier New" w:cs="Courier New"/>
      </w:rPr>
    </w:lvl>
    <w:lvl w:ilvl="2" w:tentative="0">
      <w:start w:val="1"/>
      <w:numFmt w:val="bullet"/>
      <w:lvlText w:val="▪"/>
      <w:lvlJc w:val="left"/>
      <w:pPr>
        <w:ind w:left="2939" w:hanging="360"/>
      </w:pPr>
      <w:rPr>
        <w:rFonts w:ascii="Noto Sans Symbols" w:hAnsi="Noto Sans Symbols" w:eastAsia="Noto Sans Symbols" w:cs="Noto Sans Symbols"/>
      </w:rPr>
    </w:lvl>
    <w:lvl w:ilvl="3" w:tentative="0">
      <w:start w:val="1"/>
      <w:numFmt w:val="bullet"/>
      <w:lvlText w:val="●"/>
      <w:lvlJc w:val="left"/>
      <w:pPr>
        <w:ind w:left="3659" w:hanging="360"/>
      </w:pPr>
      <w:rPr>
        <w:rFonts w:ascii="Noto Sans Symbols" w:hAnsi="Noto Sans Symbols" w:eastAsia="Noto Sans Symbols" w:cs="Noto Sans Symbols"/>
      </w:rPr>
    </w:lvl>
    <w:lvl w:ilvl="4" w:tentative="0">
      <w:start w:val="1"/>
      <w:numFmt w:val="bullet"/>
      <w:lvlText w:val="o"/>
      <w:lvlJc w:val="left"/>
      <w:pPr>
        <w:ind w:left="4379" w:hanging="360"/>
      </w:pPr>
      <w:rPr>
        <w:rFonts w:ascii="Courier New" w:hAnsi="Courier New" w:eastAsia="Courier New" w:cs="Courier New"/>
      </w:rPr>
    </w:lvl>
    <w:lvl w:ilvl="5" w:tentative="0">
      <w:start w:val="1"/>
      <w:numFmt w:val="bullet"/>
      <w:lvlText w:val="▪"/>
      <w:lvlJc w:val="left"/>
      <w:pPr>
        <w:ind w:left="5099" w:hanging="360"/>
      </w:pPr>
      <w:rPr>
        <w:rFonts w:ascii="Noto Sans Symbols" w:hAnsi="Noto Sans Symbols" w:eastAsia="Noto Sans Symbols" w:cs="Noto Sans Symbols"/>
      </w:rPr>
    </w:lvl>
    <w:lvl w:ilvl="6" w:tentative="0">
      <w:start w:val="1"/>
      <w:numFmt w:val="bullet"/>
      <w:lvlText w:val="●"/>
      <w:lvlJc w:val="left"/>
      <w:pPr>
        <w:ind w:left="5819" w:hanging="360"/>
      </w:pPr>
      <w:rPr>
        <w:rFonts w:ascii="Noto Sans Symbols" w:hAnsi="Noto Sans Symbols" w:eastAsia="Noto Sans Symbols" w:cs="Noto Sans Symbols"/>
      </w:rPr>
    </w:lvl>
    <w:lvl w:ilvl="7" w:tentative="0">
      <w:start w:val="1"/>
      <w:numFmt w:val="bullet"/>
      <w:lvlText w:val="o"/>
      <w:lvlJc w:val="left"/>
      <w:pPr>
        <w:ind w:left="6539" w:hanging="360"/>
      </w:pPr>
      <w:rPr>
        <w:rFonts w:ascii="Courier New" w:hAnsi="Courier New" w:eastAsia="Courier New" w:cs="Courier New"/>
      </w:rPr>
    </w:lvl>
    <w:lvl w:ilvl="8" w:tentative="0">
      <w:start w:val="1"/>
      <w:numFmt w:val="bullet"/>
      <w:lvlText w:val="▪"/>
      <w:lvlJc w:val="left"/>
      <w:pPr>
        <w:ind w:left="7259" w:hanging="360"/>
      </w:pPr>
      <w:rPr>
        <w:rFonts w:ascii="Noto Sans Symbols" w:hAnsi="Noto Sans Symbols" w:eastAsia="Noto Sans Symbols" w:cs="Noto Sans Symbols"/>
      </w:rPr>
    </w:lvl>
  </w:abstractNum>
  <w:abstractNum w:abstractNumId="15">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CF092B84"/>
    <w:multiLevelType w:val="multilevel"/>
    <w:tmpl w:val="CF092B84"/>
    <w:lvl w:ilvl="0" w:tentative="0">
      <w:start w:val="1"/>
      <w:numFmt w:val="decimal"/>
      <w:lvlText w:val="%1."/>
      <w:lvlJc w:val="left"/>
      <w:pPr>
        <w:ind w:left="720" w:hanging="360"/>
      </w:pPr>
      <w:rPr>
        <w:b/>
        <w:sz w:val="32"/>
        <w:szCs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D7D140E4"/>
    <w:multiLevelType w:val="multilevel"/>
    <w:tmpl w:val="D7D140E4"/>
    <w:lvl w:ilvl="0" w:tentative="0">
      <w:start w:val="1"/>
      <w:numFmt w:val="bullet"/>
      <w:lvlText w:val="o"/>
      <w:lvlJc w:val="left"/>
      <w:pPr>
        <w:ind w:left="1080" w:hanging="360"/>
      </w:pPr>
      <w:rPr>
        <w:rFonts w:ascii="Courier New" w:hAnsi="Courier New" w:eastAsia="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8">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9">
    <w:nsid w:val="E093A4B0"/>
    <w:multiLevelType w:val="multilevel"/>
    <w:tmpl w:val="E093A4B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E473D54A"/>
    <w:multiLevelType w:val="singleLevel"/>
    <w:tmpl w:val="E473D5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F0E89278"/>
    <w:multiLevelType w:val="multilevel"/>
    <w:tmpl w:val="F0E8927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3">
    <w:nsid w:val="F7735DC9"/>
    <w:multiLevelType w:val="multilevel"/>
    <w:tmpl w:val="F7735DC9"/>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4">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b w:val="0"/>
        <w:sz w:val="24"/>
        <w:szCs w:val="24"/>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5">
    <w:nsid w:val="0248C179"/>
    <w:multiLevelType w:val="multilevel"/>
    <w:tmpl w:val="0248C179"/>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03A63A41"/>
    <w:multiLevelType w:val="multilevel"/>
    <w:tmpl w:val="03A63A4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7">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8">
    <w:nsid w:val="0709FD3E"/>
    <w:multiLevelType w:val="multilevel"/>
    <w:tmpl w:val="0709FD3E"/>
    <w:lvl w:ilvl="0" w:tentative="0">
      <w:start w:val="1"/>
      <w:numFmt w:val="bullet"/>
      <w:lvlText w:val="o"/>
      <w:lvlJc w:val="left"/>
      <w:pPr>
        <w:ind w:left="1080" w:hanging="360"/>
      </w:pPr>
      <w:rPr>
        <w:rFonts w:ascii="Courier New" w:hAnsi="Courier New" w:eastAsia="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9">
    <w:nsid w:val="0CEF100B"/>
    <w:multiLevelType w:val="multilevel"/>
    <w:tmpl w:val="0CEF100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0">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0F9F9CCA"/>
    <w:multiLevelType w:val="multilevel"/>
    <w:tmpl w:val="0F9F9CC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nsid w:val="1ACDE60F"/>
    <w:multiLevelType w:val="multilevel"/>
    <w:tmpl w:val="1ACDE60F"/>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3">
    <w:nsid w:val="1C257C7B"/>
    <w:multiLevelType w:val="multilevel"/>
    <w:tmpl w:val="1C257C7B"/>
    <w:lvl w:ilvl="0" w:tentative="0">
      <w:start w:val="1"/>
      <w:numFmt w:val="bullet"/>
      <w:lvlText w:val="o"/>
      <w:lvlJc w:val="left"/>
      <w:pPr>
        <w:ind w:left="1080" w:hanging="360"/>
      </w:pPr>
      <w:rPr>
        <w:rFonts w:ascii="Courier New" w:hAnsi="Courier New" w:eastAsia="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34">
    <w:nsid w:val="235FFCEE"/>
    <w:multiLevelType w:val="singleLevel"/>
    <w:tmpl w:val="235FFC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3E97754"/>
    <w:multiLevelType w:val="multilevel"/>
    <w:tmpl w:val="23E97754"/>
    <w:lvl w:ilvl="0" w:tentative="0">
      <w:start w:val="1"/>
      <w:numFmt w:val="bullet"/>
      <w:lvlText w:val="o"/>
      <w:lvlJc w:val="left"/>
      <w:pPr>
        <w:ind w:left="1080" w:hanging="360"/>
      </w:pPr>
      <w:rPr>
        <w:rFonts w:ascii="Courier New" w:hAnsi="Courier New" w:eastAsia="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36">
    <w:nsid w:val="243FCF68"/>
    <w:multiLevelType w:val="multilevel"/>
    <w:tmpl w:val="243FCF68"/>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7">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8">
    <w:nsid w:val="25B654F3"/>
    <w:multiLevelType w:val="multilevel"/>
    <w:tmpl w:val="25B654F3"/>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9">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0">
    <w:nsid w:val="30FC5B15"/>
    <w:multiLevelType w:val="multilevel"/>
    <w:tmpl w:val="30FC5B15"/>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1">
    <w:nsid w:val="322D85CA"/>
    <w:multiLevelType w:val="multilevel"/>
    <w:tmpl w:val="322D85CA"/>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2">
    <w:nsid w:val="32A7AF2D"/>
    <w:multiLevelType w:val="multilevel"/>
    <w:tmpl w:val="32A7AF2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3">
    <w:nsid w:val="35E83B33"/>
    <w:multiLevelType w:val="multilevel"/>
    <w:tmpl w:val="35E83B33"/>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4">
    <w:nsid w:val="39A0D9AC"/>
    <w:multiLevelType w:val="multilevel"/>
    <w:tmpl w:val="39A0D9AC"/>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5">
    <w:nsid w:val="40B249F9"/>
    <w:multiLevelType w:val="multilevel"/>
    <w:tmpl w:val="40B249F9"/>
    <w:lvl w:ilvl="0" w:tentative="0">
      <w:start w:val="1"/>
      <w:numFmt w:val="bullet"/>
      <w:lvlText w:val="o"/>
      <w:lvlJc w:val="left"/>
      <w:pPr>
        <w:ind w:left="1080" w:hanging="360"/>
      </w:pPr>
      <w:rPr>
        <w:rFonts w:ascii="Courier New" w:hAnsi="Courier New" w:eastAsia="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46">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7">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8">
    <w:nsid w:val="4C3D7A74"/>
    <w:multiLevelType w:val="multilevel"/>
    <w:tmpl w:val="4C3D7A7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9">
    <w:nsid w:val="4D4DC07F"/>
    <w:multiLevelType w:val="multilevel"/>
    <w:tmpl w:val="4D4DC07F"/>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0">
    <w:nsid w:val="4D94DA66"/>
    <w:multiLevelType w:val="multilevel"/>
    <w:tmpl w:val="4D94DA6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1">
    <w:nsid w:val="58765686"/>
    <w:multiLevelType w:val="multilevel"/>
    <w:tmpl w:val="5876568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2">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8"/>
        <w:szCs w:val="2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3">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4">
    <w:nsid w:val="5E29AB5A"/>
    <w:multiLevelType w:val="multilevel"/>
    <w:tmpl w:val="5E29AB5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5">
    <w:nsid w:val="5FFFB1A7"/>
    <w:multiLevelType w:val="multilevel"/>
    <w:tmpl w:val="5FFFB1A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6">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7">
    <w:nsid w:val="629F7852"/>
    <w:multiLevelType w:val="multilevel"/>
    <w:tmpl w:val="629F7852"/>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8">
    <w:nsid w:val="65CD0074"/>
    <w:multiLevelType w:val="multilevel"/>
    <w:tmpl w:val="65CD007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9">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0">
    <w:nsid w:val="74C28B35"/>
    <w:multiLevelType w:val="multilevel"/>
    <w:tmpl w:val="74C28B35"/>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1">
    <w:nsid w:val="77ECEA79"/>
    <w:multiLevelType w:val="multilevel"/>
    <w:tmpl w:val="77ECEA79"/>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2">
    <w:nsid w:val="79AA4FA4"/>
    <w:multiLevelType w:val="multilevel"/>
    <w:tmpl w:val="79AA4FA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3">
    <w:nsid w:val="7C246926"/>
    <w:multiLevelType w:val="multilevel"/>
    <w:tmpl w:val="7C246926"/>
    <w:lvl w:ilvl="0" w:tentative="0">
      <w:start w:val="1"/>
      <w:numFmt w:val="bullet"/>
      <w:lvlText w:val="●"/>
      <w:lvlJc w:val="left"/>
      <w:pPr>
        <w:ind w:left="630" w:hanging="360"/>
      </w:pPr>
      <w:rPr>
        <w:rFonts w:ascii="Noto Sans Symbols" w:hAnsi="Noto Sans Symbols" w:eastAsia="Noto Sans Symbols" w:cs="Noto Sans Symbols"/>
      </w:rPr>
    </w:lvl>
    <w:lvl w:ilvl="1" w:tentative="0">
      <w:start w:val="1"/>
      <w:numFmt w:val="bullet"/>
      <w:lvlText w:val="o"/>
      <w:lvlJc w:val="left"/>
      <w:pPr>
        <w:ind w:left="1350" w:hanging="360"/>
      </w:pPr>
      <w:rPr>
        <w:rFonts w:ascii="Courier New" w:hAnsi="Courier New" w:eastAsia="Courier New" w:cs="Courier New"/>
      </w:rPr>
    </w:lvl>
    <w:lvl w:ilvl="2" w:tentative="0">
      <w:start w:val="1"/>
      <w:numFmt w:val="bullet"/>
      <w:lvlText w:val="▪"/>
      <w:lvlJc w:val="left"/>
      <w:pPr>
        <w:ind w:left="2070" w:hanging="360"/>
      </w:pPr>
      <w:rPr>
        <w:rFonts w:ascii="Noto Sans Symbols" w:hAnsi="Noto Sans Symbols" w:eastAsia="Noto Sans Symbols" w:cs="Noto Sans Symbols"/>
      </w:rPr>
    </w:lvl>
    <w:lvl w:ilvl="3" w:tentative="0">
      <w:start w:val="1"/>
      <w:numFmt w:val="bullet"/>
      <w:lvlText w:val="●"/>
      <w:lvlJc w:val="left"/>
      <w:pPr>
        <w:ind w:left="2790" w:hanging="360"/>
      </w:pPr>
      <w:rPr>
        <w:rFonts w:ascii="Noto Sans Symbols" w:hAnsi="Noto Sans Symbols" w:eastAsia="Noto Sans Symbols" w:cs="Noto Sans Symbols"/>
      </w:rPr>
    </w:lvl>
    <w:lvl w:ilvl="4" w:tentative="0">
      <w:start w:val="1"/>
      <w:numFmt w:val="bullet"/>
      <w:lvlText w:val="o"/>
      <w:lvlJc w:val="left"/>
      <w:pPr>
        <w:ind w:left="3510" w:hanging="360"/>
      </w:pPr>
      <w:rPr>
        <w:rFonts w:ascii="Courier New" w:hAnsi="Courier New" w:eastAsia="Courier New" w:cs="Courier New"/>
      </w:rPr>
    </w:lvl>
    <w:lvl w:ilvl="5" w:tentative="0">
      <w:start w:val="1"/>
      <w:numFmt w:val="bullet"/>
      <w:lvlText w:val="▪"/>
      <w:lvlJc w:val="left"/>
      <w:pPr>
        <w:ind w:left="4230" w:hanging="360"/>
      </w:pPr>
      <w:rPr>
        <w:rFonts w:ascii="Noto Sans Symbols" w:hAnsi="Noto Sans Symbols" w:eastAsia="Noto Sans Symbols" w:cs="Noto Sans Symbols"/>
      </w:rPr>
    </w:lvl>
    <w:lvl w:ilvl="6" w:tentative="0">
      <w:start w:val="1"/>
      <w:numFmt w:val="bullet"/>
      <w:lvlText w:val="●"/>
      <w:lvlJc w:val="left"/>
      <w:pPr>
        <w:ind w:left="4950" w:hanging="360"/>
      </w:pPr>
      <w:rPr>
        <w:rFonts w:ascii="Noto Sans Symbols" w:hAnsi="Noto Sans Symbols" w:eastAsia="Noto Sans Symbols" w:cs="Noto Sans Symbols"/>
      </w:rPr>
    </w:lvl>
    <w:lvl w:ilvl="7" w:tentative="0">
      <w:start w:val="1"/>
      <w:numFmt w:val="bullet"/>
      <w:lvlText w:val="o"/>
      <w:lvlJc w:val="left"/>
      <w:pPr>
        <w:ind w:left="5670" w:hanging="360"/>
      </w:pPr>
      <w:rPr>
        <w:rFonts w:ascii="Courier New" w:hAnsi="Courier New" w:eastAsia="Courier New" w:cs="Courier New"/>
      </w:rPr>
    </w:lvl>
    <w:lvl w:ilvl="8" w:tentative="0">
      <w:start w:val="1"/>
      <w:numFmt w:val="bullet"/>
      <w:lvlText w:val="▪"/>
      <w:lvlJc w:val="left"/>
      <w:pPr>
        <w:ind w:left="6390" w:hanging="360"/>
      </w:pPr>
      <w:rPr>
        <w:rFonts w:ascii="Noto Sans Symbols" w:hAnsi="Noto Sans Symbols" w:eastAsia="Noto Sans Symbols" w:cs="Noto Sans Symbols"/>
      </w:rPr>
    </w:lvl>
  </w:abstractNum>
  <w:abstractNum w:abstractNumId="64">
    <w:nsid w:val="7DEC2089"/>
    <w:multiLevelType w:val="multilevel"/>
    <w:tmpl w:val="7DEC2089"/>
    <w:lvl w:ilvl="0" w:tentative="0">
      <w:start w:val="1"/>
      <w:numFmt w:val="bullet"/>
      <w:lvlText w:val="o"/>
      <w:lvlJc w:val="left"/>
      <w:pPr>
        <w:ind w:left="720" w:hanging="360"/>
      </w:pPr>
      <w:rPr>
        <w:rFonts w:ascii="Courier New" w:hAnsi="Courier New" w:eastAsia="Courier New" w:cs="Courier New"/>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4"/>
  </w:num>
  <w:num w:numId="2">
    <w:abstractNumId w:val="16"/>
  </w:num>
  <w:num w:numId="3">
    <w:abstractNumId w:val="52"/>
  </w:num>
  <w:num w:numId="4">
    <w:abstractNumId w:val="14"/>
  </w:num>
  <w:num w:numId="5">
    <w:abstractNumId w:val="10"/>
  </w:num>
  <w:num w:numId="6">
    <w:abstractNumId w:val="27"/>
  </w:num>
  <w:num w:numId="7">
    <w:abstractNumId w:val="38"/>
  </w:num>
  <w:num w:numId="8">
    <w:abstractNumId w:val="59"/>
  </w:num>
  <w:num w:numId="9">
    <w:abstractNumId w:val="25"/>
  </w:num>
  <w:num w:numId="10">
    <w:abstractNumId w:val="5"/>
  </w:num>
  <w:num w:numId="11">
    <w:abstractNumId w:val="39"/>
  </w:num>
  <w:num w:numId="12">
    <w:abstractNumId w:val="53"/>
  </w:num>
  <w:num w:numId="13">
    <w:abstractNumId w:val="15"/>
  </w:num>
  <w:num w:numId="14">
    <w:abstractNumId w:val="49"/>
  </w:num>
  <w:num w:numId="15">
    <w:abstractNumId w:val="22"/>
  </w:num>
  <w:num w:numId="16">
    <w:abstractNumId w:val="37"/>
  </w:num>
  <w:num w:numId="17">
    <w:abstractNumId w:val="34"/>
  </w:num>
  <w:num w:numId="18">
    <w:abstractNumId w:val="18"/>
  </w:num>
  <w:num w:numId="19">
    <w:abstractNumId w:val="7"/>
  </w:num>
  <w:num w:numId="20">
    <w:abstractNumId w:val="47"/>
  </w:num>
  <w:num w:numId="21">
    <w:abstractNumId w:val="56"/>
  </w:num>
  <w:num w:numId="22">
    <w:abstractNumId w:val="30"/>
  </w:num>
  <w:num w:numId="23">
    <w:abstractNumId w:val="46"/>
  </w:num>
  <w:num w:numId="24">
    <w:abstractNumId w:val="20"/>
  </w:num>
  <w:num w:numId="25">
    <w:abstractNumId w:val="8"/>
  </w:num>
  <w:num w:numId="26">
    <w:abstractNumId w:val="63"/>
  </w:num>
  <w:num w:numId="27">
    <w:abstractNumId w:val="61"/>
  </w:num>
  <w:num w:numId="28">
    <w:abstractNumId w:val="13"/>
  </w:num>
  <w:num w:numId="29">
    <w:abstractNumId w:val="57"/>
  </w:num>
  <w:num w:numId="30">
    <w:abstractNumId w:val="6"/>
  </w:num>
  <w:num w:numId="31">
    <w:abstractNumId w:val="44"/>
  </w:num>
  <w:num w:numId="32">
    <w:abstractNumId w:val="2"/>
  </w:num>
  <w:num w:numId="33">
    <w:abstractNumId w:val="51"/>
  </w:num>
  <w:num w:numId="34">
    <w:abstractNumId w:val="64"/>
  </w:num>
  <w:num w:numId="35">
    <w:abstractNumId w:val="0"/>
  </w:num>
  <w:num w:numId="36">
    <w:abstractNumId w:val="36"/>
  </w:num>
  <w:num w:numId="37">
    <w:abstractNumId w:val="50"/>
  </w:num>
  <w:num w:numId="38">
    <w:abstractNumId w:val="23"/>
  </w:num>
  <w:num w:numId="39">
    <w:abstractNumId w:val="19"/>
  </w:num>
  <w:num w:numId="40">
    <w:abstractNumId w:val="40"/>
  </w:num>
  <w:num w:numId="41">
    <w:abstractNumId w:val="62"/>
  </w:num>
  <w:num w:numId="42">
    <w:abstractNumId w:val="12"/>
  </w:num>
  <w:num w:numId="43">
    <w:abstractNumId w:val="4"/>
  </w:num>
  <w:num w:numId="44">
    <w:abstractNumId w:val="11"/>
  </w:num>
  <w:num w:numId="45">
    <w:abstractNumId w:val="54"/>
  </w:num>
  <w:num w:numId="46">
    <w:abstractNumId w:val="1"/>
  </w:num>
  <w:num w:numId="47">
    <w:abstractNumId w:val="32"/>
  </w:num>
  <w:num w:numId="48">
    <w:abstractNumId w:val="3"/>
  </w:num>
  <w:num w:numId="49">
    <w:abstractNumId w:val="55"/>
  </w:num>
  <w:num w:numId="50">
    <w:abstractNumId w:val="60"/>
  </w:num>
  <w:num w:numId="51">
    <w:abstractNumId w:val="48"/>
  </w:num>
  <w:num w:numId="52">
    <w:abstractNumId w:val="41"/>
  </w:num>
  <w:num w:numId="53">
    <w:abstractNumId w:val="58"/>
  </w:num>
  <w:num w:numId="54">
    <w:abstractNumId w:val="28"/>
  </w:num>
  <w:num w:numId="55">
    <w:abstractNumId w:val="29"/>
  </w:num>
  <w:num w:numId="56">
    <w:abstractNumId w:val="17"/>
  </w:num>
  <w:num w:numId="57">
    <w:abstractNumId w:val="42"/>
  </w:num>
  <w:num w:numId="58">
    <w:abstractNumId w:val="33"/>
  </w:num>
  <w:num w:numId="59">
    <w:abstractNumId w:val="21"/>
  </w:num>
  <w:num w:numId="60">
    <w:abstractNumId w:val="35"/>
  </w:num>
  <w:num w:numId="61">
    <w:abstractNumId w:val="9"/>
  </w:num>
  <w:num w:numId="62">
    <w:abstractNumId w:val="45"/>
  </w:num>
  <w:num w:numId="63">
    <w:abstractNumId w:val="31"/>
  </w:num>
  <w:num w:numId="64">
    <w:abstractNumId w:val="43"/>
  </w:num>
  <w:num w:numId="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6048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
    </w:rPr>
  </w:style>
  <w:style w:type="paragraph" w:styleId="2">
    <w:name w:val="heading 1"/>
    <w:basedOn w:val="1"/>
    <w:next w:val="1"/>
    <w:link w:val="19"/>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link w:val="20"/>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link w:val="21"/>
    <w:qFormat/>
    <w:uiPriority w:val="0"/>
    <w:pPr>
      <w:keepNext/>
      <w:keepLines/>
      <w:spacing w:before="160" w:after="80"/>
    </w:pPr>
    <w:rPr>
      <w:color w:val="2F5496"/>
      <w:sz w:val="28"/>
      <w:szCs w:val="28"/>
    </w:rPr>
  </w:style>
  <w:style w:type="paragraph" w:styleId="5">
    <w:name w:val="heading 4"/>
    <w:basedOn w:val="1"/>
    <w:next w:val="1"/>
    <w:link w:val="22"/>
    <w:qFormat/>
    <w:uiPriority w:val="0"/>
    <w:pPr>
      <w:keepNext/>
      <w:keepLines/>
      <w:spacing w:before="80" w:after="40"/>
    </w:pPr>
    <w:rPr>
      <w:i/>
      <w:color w:val="2F5496"/>
    </w:rPr>
  </w:style>
  <w:style w:type="paragraph" w:styleId="6">
    <w:name w:val="heading 5"/>
    <w:basedOn w:val="1"/>
    <w:next w:val="1"/>
    <w:link w:val="23"/>
    <w:uiPriority w:val="0"/>
    <w:pPr>
      <w:keepNext/>
      <w:keepLines/>
      <w:spacing w:before="80" w:after="40"/>
    </w:pPr>
    <w:rPr>
      <w:color w:val="2F5496"/>
    </w:rPr>
  </w:style>
  <w:style w:type="paragraph" w:styleId="7">
    <w:name w:val="heading 6"/>
    <w:basedOn w:val="1"/>
    <w:next w:val="1"/>
    <w:link w:val="24"/>
    <w:uiPriority w:val="0"/>
    <w:pPr>
      <w:keepNext/>
      <w:keepLines/>
      <w:spacing w:before="40" w:after="0"/>
    </w:pPr>
    <w:rPr>
      <w:i/>
      <w:color w:val="595959"/>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unhideWhenUsed/>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uiPriority w:val="0"/>
    <w:rPr>
      <w:color w:val="595959"/>
      <w:sz w:val="28"/>
      <w:szCs w:val="28"/>
    </w:rPr>
  </w:style>
  <w:style w:type="paragraph" w:styleId="17">
    <w:name w:val="Title"/>
    <w:basedOn w:val="1"/>
    <w:next w:val="1"/>
    <w:link w:val="28"/>
    <w:qFormat/>
    <w:uiPriority w:val="0"/>
    <w:pPr>
      <w:spacing w:after="80" w:line="240" w:lineRule="auto"/>
    </w:pPr>
    <w:rPr>
      <w:rFonts w:ascii="Calibri" w:hAnsi="Calibri" w:eastAsia="Calibri" w:cs="Calibri"/>
      <w:sz w:val="56"/>
      <w:szCs w:val="56"/>
    </w:rPr>
  </w:style>
  <w:style w:type="table" w:customStyle="1" w:styleId="18">
    <w:name w:val="TableNormal"/>
    <w:uiPriority w:val="0"/>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table" w:customStyle="1" w:styleId="37">
    <w:name w:val="Grid Table 1 Light Accent 3"/>
    <w:basedOn w:val="18"/>
    <w:qFormat/>
    <w:uiPriority w:val="46"/>
    <w:pPr>
      <w:spacing w:after="0" w:line="240" w:lineRule="auto"/>
    </w:p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character" w:customStyle="1" w:styleId="38">
    <w:name w:val="Unresolved Mention"/>
    <w:basedOn w:val="11"/>
    <w:semiHidden/>
    <w:unhideWhenUsed/>
    <w:uiPriority w:val="99"/>
    <w:rPr>
      <w:color w:val="605E5C"/>
      <w:shd w:val="clear" w:color="auto" w:fill="E1DFDD"/>
    </w:rPr>
  </w:style>
  <w:style w:type="table" w:customStyle="1" w:styleId="39">
    <w:name w:val="_Style 38"/>
    <w:basedOn w:val="18"/>
    <w:uiPriority w:val="0"/>
    <w:pPr>
      <w:spacing w:after="0" w:line="240" w:lineRule="auto"/>
    </w:pPr>
    <w:tblPr>
      <w:tblCellMar>
        <w:top w:w="0" w:type="dxa"/>
        <w:left w:w="108" w:type="dxa"/>
        <w:bottom w:w="0" w:type="dxa"/>
        <w:right w:w="108"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0">
    <w:name w:val="_Style 39"/>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1">
    <w:name w:val="_Style 40"/>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2">
    <w:name w:val="_Style 41"/>
    <w:basedOn w:val="18"/>
    <w:qFormat/>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3">
    <w:name w:val="_Style 42"/>
    <w:basedOn w:val="18"/>
    <w:qFormat/>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4">
    <w:name w:val="_Style 43"/>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5">
    <w:name w:val="_Style 44"/>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6">
    <w:name w:val="_Style 45"/>
    <w:basedOn w:val="18"/>
    <w:uiPriority w:val="0"/>
    <w:pPr>
      <w:spacing w:after="0" w:line="240" w:lineRule="auto"/>
    </w:pPr>
    <w:tblPr>
      <w:tblCellMar>
        <w:top w:w="0" w:type="dxa"/>
        <w:left w:w="108" w:type="dxa"/>
        <w:bottom w:w="0" w:type="dxa"/>
        <w:right w:w="108"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7">
    <w:name w:val="_Style 46"/>
    <w:basedOn w:val="18"/>
    <w:uiPriority w:val="0"/>
    <w:pPr>
      <w:spacing w:after="0" w:line="240" w:lineRule="auto"/>
    </w:pPr>
    <w:tblPr>
      <w:tblCellMar>
        <w:top w:w="0" w:type="dxa"/>
        <w:left w:w="108" w:type="dxa"/>
        <w:bottom w:w="0" w:type="dxa"/>
        <w:right w:w="108"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8">
    <w:name w:val="_Style 47"/>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49">
    <w:name w:val="_Style 48"/>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50">
    <w:name w:val="_Style 49"/>
    <w:basedOn w:val="18"/>
    <w:uiPriority w:val="0"/>
    <w:pPr>
      <w:spacing w:after="0" w:line="240" w:lineRule="auto"/>
    </w:pPr>
    <w:tblPr>
      <w:tblCellMar>
        <w:top w:w="14" w:type="dxa"/>
        <w:left w:w="14" w:type="dxa"/>
        <w:bottom w:w="14" w:type="dxa"/>
        <w:right w:w="14"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 w:type="table" w:customStyle="1" w:styleId="51">
    <w:name w:val="_Style 50"/>
    <w:basedOn w:val="18"/>
    <w:uiPriority w:val="0"/>
    <w:pPr>
      <w:spacing w:after="0" w:line="240" w:lineRule="auto"/>
    </w:pPr>
    <w:tblPr>
      <w:tblCellMar>
        <w:top w:w="0" w:type="dxa"/>
        <w:left w:w="108" w:type="dxa"/>
        <w:bottom w:w="0" w:type="dxa"/>
        <w:right w:w="108" w:type="dxa"/>
      </w:tblCellMar>
    </w:tblPr>
    <w:tblStylePr w:type="firstRow">
      <w:rPr>
        <w:b/>
      </w:rPr>
      <w:tcPr>
        <w:tcBorders>
          <w:bottom w:val="single" w:color="C9C9C9" w:sz="12" w:space="0"/>
        </w:tcBorders>
      </w:tcPr>
    </w:tblStylePr>
    <w:tblStylePr w:type="lastRow">
      <w:rPr>
        <w:b/>
      </w:rPr>
      <w:tcPr>
        <w:tcBorders>
          <w:top w:val="single" w:color="C9C9C9" w:sz="4" w:space="0"/>
        </w:tcBorders>
      </w:tcPr>
    </w:tblStylePr>
    <w:tblStylePr w:type="firstCol">
      <w:rPr>
        <w:b/>
      </w:rPr>
    </w:tblStylePr>
    <w:tblStylePr w:type="lastCol">
      <w:rPr>
        <w:b/>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Wdv0pbbziLaUMdBejLfZO0TCw==">CgMxLjA4AHIhMTdIVm5FZ1VwRTl6a2huMHllVEZiUVkzT1J1cmpuMm5S</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28</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2025-08-22T04:07:00Z</dcterms:created>
  <dc:creator>Sumaya Mateen</dc:creator>
  <cp:lastModifiedBy>Laiba Jawaid</cp:lastModifiedBy>
  <dcterms:modified xsi:type="dcterms:W3CDTF">2025-08-25T18:19:30Z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591A2029A2D049FABC2AB5B8CEA67FB9_12</vt:lpwstr>
  </property>
</Properties>
</file>