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Week 3: Predictive Modelling and Churn Analysis Report</w:t>
      </w:r>
    </w:p>
    <w:p w:rsidR="00000000" w:rsidDel="00000000" w:rsidP="00000000" w:rsidRDefault="00000000" w:rsidRPr="00000000" w14:paraId="00000002">
      <w:pPr>
        <w:spacing w:line="240" w:lineRule="auto"/>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Intern Name: </w:t>
      </w:r>
    </w:p>
    <w:p w:rsidR="00000000" w:rsidDel="00000000" w:rsidP="00000000" w:rsidRDefault="00000000" w:rsidRPr="00000000" w14:paraId="00000003">
      <w:pPr>
        <w:spacing w:line="240" w:lineRule="auto"/>
        <w:rPr>
          <w:rFonts w:ascii="Calibri" w:cs="Calibri" w:eastAsia="Calibri" w:hAnsi="Calibri"/>
          <w:sz w:val="28"/>
          <w:szCs w:val="28"/>
          <w:vertAlign w:val="superscript"/>
        </w:rPr>
      </w:pPr>
      <w:r w:rsidDel="00000000" w:rsidR="00000000" w:rsidRPr="00000000">
        <w:rPr>
          <w:rFonts w:ascii="Calibri" w:cs="Calibri" w:eastAsia="Calibri" w:hAnsi="Calibri"/>
          <w:b w:val="1"/>
          <w:sz w:val="28"/>
          <w:szCs w:val="28"/>
          <w:rtl w:val="0"/>
        </w:rPr>
        <w:t xml:space="preserve">Date of Submission: </w:t>
      </w:r>
      <w:r w:rsidDel="00000000" w:rsidR="00000000" w:rsidRPr="00000000">
        <w:rPr>
          <w:rFonts w:ascii="Calibri" w:cs="Calibri" w:eastAsia="Calibri" w:hAnsi="Calibri"/>
          <w:sz w:val="28"/>
          <w:szCs w:val="28"/>
          <w:rtl w:val="0"/>
        </w:rPr>
        <w:t xml:space="preserve">1</w:t>
      </w:r>
      <w:r w:rsidDel="00000000" w:rsidR="00000000" w:rsidRPr="00000000">
        <w:rPr>
          <w:rFonts w:ascii="Calibri" w:cs="Calibri" w:eastAsia="Calibri" w:hAnsi="Calibri"/>
          <w:sz w:val="28"/>
          <w:szCs w:val="28"/>
          <w:vertAlign w:val="superscript"/>
          <w:rtl w:val="0"/>
        </w:rPr>
        <w:t xml:space="preserve">st</w:t>
      </w:r>
      <w:r w:rsidDel="00000000" w:rsidR="00000000" w:rsidRPr="00000000">
        <w:rPr>
          <w:rFonts w:ascii="Calibri" w:cs="Calibri" w:eastAsia="Calibri" w:hAnsi="Calibri"/>
          <w:sz w:val="28"/>
          <w:szCs w:val="28"/>
          <w:rtl w:val="0"/>
        </w:rPr>
        <w:t xml:space="preserve"> September, 2025</w:t>
      </w: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Team Members: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before="34" w:line="360" w:lineRule="auto"/>
        <w:ind w:left="720" w:hanging="360"/>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Hammad Mengrani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before="34" w:line="360" w:lineRule="auto"/>
        <w:ind w:left="720" w:hanging="360"/>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Kareem Mamdouh </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before="34" w:line="360" w:lineRule="auto"/>
        <w:ind w:left="720" w:hanging="360"/>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Laiba Jawaid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before="34" w:line="360" w:lineRule="auto"/>
        <w:ind w:left="720" w:hanging="360"/>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Priyanka Kute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before="34" w:line="360" w:lineRule="auto"/>
        <w:ind w:left="720" w:hanging="360"/>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Reeba Joshi </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before="34" w:line="360" w:lineRule="auto"/>
        <w:ind w:left="720" w:hanging="360"/>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Rifat Islam </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before="34" w:line="360" w:lineRule="auto"/>
        <w:ind w:left="720" w:hanging="360"/>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Sumaya Mateen</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before="34" w:line="360" w:lineRule="auto"/>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Predictive Model Link:</w:t>
      </w:r>
    </w:p>
    <w:p w:rsidR="00000000" w:rsidDel="00000000" w:rsidP="00000000" w:rsidRDefault="00000000" w:rsidRPr="00000000" w14:paraId="0000000F">
      <w:pPr>
        <w:spacing w:line="240" w:lineRule="auto"/>
        <w:rPr>
          <w:rFonts w:ascii="Calibri" w:cs="Calibri" w:eastAsia="Calibri" w:hAnsi="Calibri"/>
          <w:sz w:val="32"/>
          <w:szCs w:val="32"/>
        </w:rPr>
      </w:pPr>
      <w:hyperlink r:id="rId7">
        <w:r w:rsidDel="00000000" w:rsidR="00000000" w:rsidRPr="00000000">
          <w:rPr>
            <w:rFonts w:ascii="Calibri" w:cs="Calibri" w:eastAsia="Calibri" w:hAnsi="Calibri"/>
            <w:color w:val="1155cc"/>
            <w:sz w:val="32"/>
            <w:szCs w:val="32"/>
            <w:u w:val="single"/>
            <w:rtl w:val="0"/>
          </w:rPr>
          <w:t xml:space="preserve">https://colab.research.google.com/drive/1RJ5kLoNZNjHsgvq0nsiGxP2TKNrLU4j4?usp=sharing</w:t>
        </w:r>
      </w:hyperlink>
      <w:r w:rsidDel="00000000" w:rsidR="00000000" w:rsidRPr="00000000">
        <w:rPr>
          <w:rtl w:val="0"/>
        </w:rPr>
      </w:r>
    </w:p>
    <w:p w:rsidR="00000000" w:rsidDel="00000000" w:rsidP="00000000" w:rsidRDefault="00000000" w:rsidRPr="00000000" w14:paraId="00000010">
      <w:pPr>
        <w:spacing w:line="240" w:lineRule="auto"/>
        <w:rPr>
          <w:sz w:val="32"/>
          <w:szCs w:val="32"/>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1. Introduction</w:t>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Objective: </w:t>
      </w:r>
    </w:p>
    <w:p w:rsidR="00000000" w:rsidDel="00000000" w:rsidP="00000000" w:rsidRDefault="00000000" w:rsidRPr="00000000" w14:paraId="0000001C">
      <w:pPr>
        <w:jc w:val="both"/>
        <w:rPr>
          <w:rFonts w:ascii="Calibri" w:cs="Calibri" w:eastAsia="Calibri" w:hAnsi="Calibri"/>
        </w:rPr>
      </w:pPr>
      <w:r w:rsidDel="00000000" w:rsidR="00000000" w:rsidRPr="00000000">
        <w:rPr>
          <w:rFonts w:ascii="Calibri" w:cs="Calibri" w:eastAsia="Calibri" w:hAnsi="Calibri"/>
          <w:rtl w:val="0"/>
        </w:rPr>
        <w:t xml:space="preserve">The primary objective of this analysis is to identify learners at high risk of churning (discontinuing courses or not returning to the platform) and to uncover the key factors contributing to drop-offs. By applying churn analysis, predictive modeling, and actionable recommendations, this report aims to help the platform move from a reactive to a proactive retention strategy. The insights will support improved learner engagement, higher course completion rates, and timely interventions to enhance the overall learning experience.</w:t>
      </w:r>
    </w:p>
    <w:p w:rsidR="00000000" w:rsidDel="00000000" w:rsidP="00000000" w:rsidRDefault="00000000" w:rsidRPr="00000000" w14:paraId="0000001D">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 2. Data Preparation</w:t>
      </w:r>
    </w:p>
    <w:p w:rsidR="00000000" w:rsidDel="00000000" w:rsidP="00000000" w:rsidRDefault="00000000" w:rsidRPr="00000000" w14:paraId="0000001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Data Cleaning: </w:t>
      </w:r>
    </w:p>
    <w:p w:rsidR="00000000" w:rsidDel="00000000" w:rsidP="00000000" w:rsidRDefault="00000000" w:rsidRPr="00000000" w14:paraId="0000001F">
      <w:pPr>
        <w:spacing w:line="360" w:lineRule="auto"/>
        <w:rPr>
          <w:rFonts w:ascii="Calibri" w:cs="Calibri" w:eastAsia="Calibri" w:hAnsi="Calibri"/>
          <w:sz w:val="20"/>
          <w:szCs w:val="20"/>
        </w:rPr>
      </w:pPr>
      <w:r w:rsidDel="00000000" w:rsidR="00000000" w:rsidRPr="00000000">
        <w:rPr>
          <w:rFonts w:ascii="Calibri" w:cs="Calibri" w:eastAsia="Calibri" w:hAnsi="Calibri"/>
          <w:rtl w:val="0"/>
        </w:rPr>
        <w:t xml:space="preserve">Here are the approaches used for cleaning the dataset: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Converted columns to appropriate data types (Datetime, INT, Object, Float) and trimmed unnecessary spaces.</w:t>
      </w:r>
    </w:p>
    <w:p w:rsidR="00000000" w:rsidDel="00000000" w:rsidP="00000000" w:rsidRDefault="00000000" w:rsidRPr="00000000" w14:paraId="000000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Standardized key text fields (Name, Major, Institution, Country) by correcting misspellings, normalizing spaces, removing symbols/digits, ensuring consistent capitalization, and translating non-English text.</w:t>
      </w:r>
    </w:p>
    <w:p w:rsidR="00000000" w:rsidDel="00000000" w:rsidP="00000000" w:rsidRDefault="00000000" w:rsidRPr="00000000" w14:paraId="000000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Mapped inconsistent values to standard forms and removed invalid or unusually short entries.</w:t>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Checked for duplicate records and handled them appropriately.</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Filled missing values: First Name → “Not Specified”; Institution/Major → group-based imputation or “Not Specified”; Opportunity Start Date → group mode or calculated from end dates for competitions.</w:t>
      </w:r>
    </w:p>
    <w:p w:rsidR="00000000" w:rsidDel="00000000" w:rsidP="00000000" w:rsidRDefault="00000000" w:rsidRPr="00000000" w14:paraId="00000025">
      <w:pPr>
        <w:spacing w:after="280" w:before="280" w:line="360" w:lineRule="auto"/>
        <w:jc w:val="both"/>
        <w:rPr>
          <w:rFonts w:ascii="Calibri" w:cs="Calibri" w:eastAsia="Calibri" w:hAnsi="Calibri"/>
        </w:rPr>
      </w:pPr>
      <w:r w:rsidDel="00000000" w:rsidR="00000000" w:rsidRPr="00000000">
        <w:rPr>
          <w:rFonts w:ascii="Calibri" w:cs="Calibri" w:eastAsia="Calibri" w:hAnsi="Calibri"/>
          <w:rtl w:val="0"/>
        </w:rPr>
        <w:t xml:space="preserve">These steps ensured data accuracy, consistency, and completeness for analysis.</w:t>
      </w:r>
    </w:p>
    <w:p w:rsidR="00000000" w:rsidDel="00000000" w:rsidP="00000000" w:rsidRDefault="00000000" w:rsidRPr="00000000" w14:paraId="000000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Feature Selection:</w:t>
      </w:r>
    </w:p>
    <w:p w:rsidR="00000000" w:rsidDel="00000000" w:rsidP="00000000" w:rsidRDefault="00000000" w:rsidRPr="00000000" w14:paraId="0000002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Features used in churn analysis: Engagement_Score, Applications_per_User, User_Success_Rate, Apply_vs_Start_Gap.</w:t>
      </w:r>
    </w:p>
    <w:p w:rsidR="00000000" w:rsidDel="00000000" w:rsidP="00000000" w:rsidRDefault="00000000" w:rsidRPr="00000000" w14:paraId="0000002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Features used in model training: Quick_Applicant, Late_Applicant, Signup_to_Apply_Days, Course_Duration_Days, Region_Normalized_Applications, Opportunity_Popularity.</w:t>
      </w:r>
    </w:p>
    <w:p w:rsidR="00000000" w:rsidDel="00000000" w:rsidP="00000000" w:rsidRDefault="00000000" w:rsidRPr="00000000" w14:paraId="0000002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Target variable: Churned (binary, 1 = churned, 0 = retained).</w:t>
      </w:r>
    </w:p>
    <w:p w:rsidR="00000000" w:rsidDel="00000000" w:rsidP="00000000" w:rsidRDefault="00000000" w:rsidRPr="00000000" w14:paraId="0000002A">
      <w:pPr>
        <w:jc w:val="both"/>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3.  Exploratory Data Analysis (EDA)</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Descriptive Statistics:</w:t>
      </w:r>
    </w:p>
    <w:p w:rsidR="00000000" w:rsidDel="00000000" w:rsidP="00000000" w:rsidRDefault="00000000" w:rsidRPr="00000000" w14:paraId="0000002C">
      <w:pPr>
        <w:tabs>
          <w:tab w:val="left" w:leader="none" w:pos="0"/>
          <w:tab w:val="left" w:leader="none" w:pos="270"/>
          <w:tab w:val="left" w:leader="none" w:pos="1530"/>
        </w:tabs>
        <w:jc w:val="both"/>
        <w:rPr>
          <w:rFonts w:ascii="Calibri" w:cs="Calibri" w:eastAsia="Calibri" w:hAnsi="Calibri"/>
        </w:rPr>
      </w:pPr>
      <w:r w:rsidDel="00000000" w:rsidR="00000000" w:rsidRPr="00000000">
        <w:rPr>
          <w:rFonts w:ascii="Calibri" w:cs="Calibri" w:eastAsia="Calibri" w:hAnsi="Calibri"/>
          <w:rtl w:val="0"/>
        </w:rPr>
        <w:t xml:space="preserve">The statistical summary provides an overview of the key numerical features in the dataset. It includes measures such as count, mean, standard deviation, minimum, maximum, quartiles, and range.</w:t>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 w:val="left" w:leader="none" w:pos="270"/>
          <w:tab w:val="left" w:leader="none" w:pos="1530"/>
        </w:tabs>
        <w:spacing w:after="160" w:before="0" w:line="278.00000000000006" w:lineRule="auto"/>
        <w:ind w:left="720" w:right="0" w:hanging="360"/>
        <w:jc w:val="left"/>
        <w:rPr>
          <w:rFonts w:ascii="Calibri" w:cs="Calibri" w:eastAsia="Calibri" w:hAnsi="Calibri"/>
          <w:b w:val="0"/>
          <w:i w:val="0"/>
          <w:smallCaps w:val="0"/>
          <w:strike w:val="0"/>
          <w:color w:val="000000"/>
          <w:sz w:val="6"/>
          <w:szCs w:val="6"/>
          <w:u w:val="none"/>
          <w:shd w:fill="auto" w:val="clear"/>
          <w:vertAlign w:val="baseline"/>
        </w:rPr>
      </w:pPr>
      <w:r w:rsidDel="00000000" w:rsidR="00000000" w:rsidRPr="00000000">
        <w:rPr>
          <w:rtl w:val="0"/>
        </w:rPr>
      </w:r>
    </w:p>
    <w:tbl>
      <w:tblPr>
        <w:tblStyle w:val="Table1"/>
        <w:tblW w:w="10615.0" w:type="dxa"/>
        <w:jc w:val="center"/>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A0"/>
      </w:tblPr>
      <w:tblGrid>
        <w:gridCol w:w="2605"/>
        <w:gridCol w:w="810"/>
        <w:gridCol w:w="990"/>
        <w:gridCol w:w="720"/>
        <w:gridCol w:w="900"/>
        <w:gridCol w:w="900"/>
        <w:gridCol w:w="900"/>
        <w:gridCol w:w="990"/>
        <w:gridCol w:w="900"/>
        <w:gridCol w:w="900"/>
        <w:tblGridChange w:id="0">
          <w:tblGrid>
            <w:gridCol w:w="2605"/>
            <w:gridCol w:w="810"/>
            <w:gridCol w:w="990"/>
            <w:gridCol w:w="720"/>
            <w:gridCol w:w="900"/>
            <w:gridCol w:w="900"/>
            <w:gridCol w:w="900"/>
            <w:gridCol w:w="990"/>
            <w:gridCol w:w="900"/>
            <w:gridCol w:w="900"/>
          </w:tblGrid>
        </w:tblGridChange>
      </w:tblGrid>
      <w:tr>
        <w:trPr>
          <w:cantSplit w:val="0"/>
          <w:trHeight w:val="579" w:hRule="atLeast"/>
          <w:tblHeader w:val="0"/>
        </w:trPr>
        <w:tc>
          <w:tcPr>
            <w:vAlign w:val="center"/>
          </w:tcPr>
          <w:p w:rsidR="00000000" w:rsidDel="00000000" w:rsidP="00000000" w:rsidRDefault="00000000" w:rsidRPr="00000000" w14:paraId="0000002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Column Name</w:t>
            </w:r>
          </w:p>
        </w:tc>
        <w:tc>
          <w:tcPr>
            <w:vAlign w:val="center"/>
          </w:tcPr>
          <w:p w:rsidR="00000000" w:rsidDel="00000000" w:rsidP="00000000" w:rsidRDefault="00000000" w:rsidRPr="00000000" w14:paraId="0000002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Count</w:t>
            </w:r>
          </w:p>
        </w:tc>
        <w:tc>
          <w:tcPr>
            <w:vAlign w:val="center"/>
          </w:tcPr>
          <w:p w:rsidR="00000000" w:rsidDel="00000000" w:rsidP="00000000" w:rsidRDefault="00000000" w:rsidRPr="00000000" w14:paraId="0000003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Mean</w:t>
            </w:r>
          </w:p>
        </w:tc>
        <w:tc>
          <w:tcPr>
            <w:vAlign w:val="center"/>
          </w:tcPr>
          <w:p w:rsidR="00000000" w:rsidDel="00000000" w:rsidP="00000000" w:rsidRDefault="00000000" w:rsidRPr="00000000" w14:paraId="0000003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Std</w:t>
            </w:r>
          </w:p>
        </w:tc>
        <w:tc>
          <w:tcPr>
            <w:vAlign w:val="center"/>
          </w:tcPr>
          <w:p w:rsidR="00000000" w:rsidDel="00000000" w:rsidP="00000000" w:rsidRDefault="00000000" w:rsidRPr="00000000" w14:paraId="0000003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Min</w:t>
            </w:r>
          </w:p>
        </w:tc>
        <w:tc>
          <w:tcPr>
            <w:vAlign w:val="center"/>
          </w:tcPr>
          <w:p w:rsidR="00000000" w:rsidDel="00000000" w:rsidP="00000000" w:rsidRDefault="00000000" w:rsidRPr="00000000" w14:paraId="0000003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25%</w:t>
            </w:r>
          </w:p>
        </w:tc>
        <w:tc>
          <w:tcPr>
            <w:vAlign w:val="center"/>
          </w:tcPr>
          <w:p w:rsidR="00000000" w:rsidDel="00000000" w:rsidP="00000000" w:rsidRDefault="00000000" w:rsidRPr="00000000" w14:paraId="0000003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50%</w:t>
            </w:r>
          </w:p>
        </w:tc>
        <w:tc>
          <w:tcPr>
            <w:vAlign w:val="center"/>
          </w:tcPr>
          <w:p w:rsidR="00000000" w:rsidDel="00000000" w:rsidP="00000000" w:rsidRDefault="00000000" w:rsidRPr="00000000" w14:paraId="0000003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75%</w:t>
            </w:r>
          </w:p>
        </w:tc>
        <w:tc>
          <w:tcPr>
            <w:vAlign w:val="center"/>
          </w:tcPr>
          <w:p w:rsidR="00000000" w:rsidDel="00000000" w:rsidP="00000000" w:rsidRDefault="00000000" w:rsidRPr="00000000" w14:paraId="0000003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Max</w:t>
            </w:r>
          </w:p>
        </w:tc>
        <w:tc>
          <w:tcPr>
            <w:vAlign w:val="center"/>
          </w:tcPr>
          <w:p w:rsidR="00000000" w:rsidDel="00000000" w:rsidP="00000000" w:rsidRDefault="00000000" w:rsidRPr="00000000" w14:paraId="0000003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Range</w:t>
            </w:r>
          </w:p>
        </w:tc>
      </w:tr>
      <w:tr>
        <w:trPr>
          <w:cantSplit w:val="0"/>
          <w:trHeight w:val="576" w:hRule="atLeast"/>
          <w:tblHeader w:val="0"/>
        </w:trPr>
        <w:tc>
          <w:tcPr>
            <w:vAlign w:val="center"/>
          </w:tcPr>
          <w:p w:rsidR="00000000" w:rsidDel="00000000" w:rsidP="00000000" w:rsidRDefault="00000000" w:rsidRPr="00000000" w14:paraId="0000003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Status Code</w:t>
            </w:r>
          </w:p>
        </w:tc>
        <w:tc>
          <w:tcPr>
            <w:vAlign w:val="center"/>
          </w:tcPr>
          <w:p w:rsidR="00000000" w:rsidDel="00000000" w:rsidP="00000000" w:rsidRDefault="00000000" w:rsidRPr="00000000" w14:paraId="0000003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3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1052.23</w:t>
            </w:r>
          </w:p>
        </w:tc>
        <w:tc>
          <w:tcPr>
            <w:vAlign w:val="center"/>
          </w:tcPr>
          <w:p w:rsidR="00000000" w:rsidDel="00000000" w:rsidP="00000000" w:rsidRDefault="00000000" w:rsidRPr="00000000" w14:paraId="0000003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21.67</w:t>
            </w:r>
          </w:p>
        </w:tc>
        <w:tc>
          <w:tcPr>
            <w:vAlign w:val="center"/>
          </w:tcPr>
          <w:p w:rsidR="00000000" w:rsidDel="00000000" w:rsidP="00000000" w:rsidRDefault="00000000" w:rsidRPr="00000000" w14:paraId="0000003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1010.00</w:t>
            </w:r>
          </w:p>
        </w:tc>
        <w:tc>
          <w:tcPr>
            <w:vAlign w:val="center"/>
          </w:tcPr>
          <w:p w:rsidR="00000000" w:rsidDel="00000000" w:rsidP="00000000" w:rsidRDefault="00000000" w:rsidRPr="00000000" w14:paraId="0000003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1030.00</w:t>
            </w:r>
          </w:p>
        </w:tc>
        <w:tc>
          <w:tcPr>
            <w:vAlign w:val="center"/>
          </w:tcPr>
          <w:p w:rsidR="00000000" w:rsidDel="00000000" w:rsidP="00000000" w:rsidRDefault="00000000" w:rsidRPr="00000000" w14:paraId="0000003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1050.00</w:t>
            </w:r>
          </w:p>
        </w:tc>
        <w:tc>
          <w:tcPr>
            <w:vAlign w:val="center"/>
          </w:tcPr>
          <w:p w:rsidR="00000000" w:rsidDel="00000000" w:rsidP="00000000" w:rsidRDefault="00000000" w:rsidRPr="00000000" w14:paraId="0000003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1070.00</w:t>
            </w:r>
          </w:p>
        </w:tc>
        <w:tc>
          <w:tcPr>
            <w:vAlign w:val="center"/>
          </w:tcPr>
          <w:p w:rsidR="00000000" w:rsidDel="00000000" w:rsidP="00000000" w:rsidRDefault="00000000" w:rsidRPr="00000000" w14:paraId="0000004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1120.00</w:t>
            </w:r>
          </w:p>
        </w:tc>
        <w:tc>
          <w:tcPr>
            <w:vAlign w:val="center"/>
          </w:tcPr>
          <w:p w:rsidR="00000000" w:rsidDel="00000000" w:rsidP="00000000" w:rsidRDefault="00000000" w:rsidRPr="00000000" w14:paraId="0000004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110.00</w:t>
            </w:r>
          </w:p>
        </w:tc>
      </w:tr>
      <w:tr>
        <w:trPr>
          <w:cantSplit w:val="0"/>
          <w:trHeight w:val="576" w:hRule="atLeast"/>
          <w:tblHeader w:val="0"/>
        </w:trPr>
        <w:tc>
          <w:tcPr>
            <w:vAlign w:val="center"/>
          </w:tcPr>
          <w:p w:rsidR="00000000" w:rsidDel="00000000" w:rsidP="00000000" w:rsidRDefault="00000000" w:rsidRPr="00000000" w14:paraId="0000004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Age</w:t>
            </w:r>
          </w:p>
        </w:tc>
        <w:tc>
          <w:tcPr>
            <w:vAlign w:val="center"/>
          </w:tcPr>
          <w:p w:rsidR="00000000" w:rsidDel="00000000" w:rsidP="00000000" w:rsidRDefault="00000000" w:rsidRPr="00000000" w14:paraId="0000004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4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25.39</w:t>
            </w:r>
          </w:p>
        </w:tc>
        <w:tc>
          <w:tcPr>
            <w:vAlign w:val="center"/>
          </w:tcPr>
          <w:p w:rsidR="00000000" w:rsidDel="00000000" w:rsidP="00000000" w:rsidRDefault="00000000" w:rsidRPr="00000000" w14:paraId="0000004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4.40</w:t>
            </w:r>
          </w:p>
        </w:tc>
        <w:tc>
          <w:tcPr>
            <w:vAlign w:val="center"/>
          </w:tcPr>
          <w:p w:rsidR="00000000" w:rsidDel="00000000" w:rsidP="00000000" w:rsidRDefault="00000000" w:rsidRPr="00000000" w14:paraId="0000004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6.00</w:t>
            </w:r>
          </w:p>
        </w:tc>
        <w:tc>
          <w:tcPr>
            <w:vAlign w:val="center"/>
          </w:tcPr>
          <w:p w:rsidR="00000000" w:rsidDel="00000000" w:rsidP="00000000" w:rsidRDefault="00000000" w:rsidRPr="00000000" w14:paraId="0000004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23.00</w:t>
            </w:r>
          </w:p>
        </w:tc>
        <w:tc>
          <w:tcPr>
            <w:vAlign w:val="center"/>
          </w:tcPr>
          <w:p w:rsidR="00000000" w:rsidDel="00000000" w:rsidP="00000000" w:rsidRDefault="00000000" w:rsidRPr="00000000" w14:paraId="0000004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25.00</w:t>
            </w:r>
          </w:p>
        </w:tc>
        <w:tc>
          <w:tcPr>
            <w:vAlign w:val="center"/>
          </w:tcPr>
          <w:p w:rsidR="00000000" w:rsidDel="00000000" w:rsidP="00000000" w:rsidRDefault="00000000" w:rsidRPr="00000000" w14:paraId="0000004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27.00</w:t>
            </w:r>
          </w:p>
        </w:tc>
        <w:tc>
          <w:tcPr>
            <w:vAlign w:val="center"/>
          </w:tcPr>
          <w:p w:rsidR="00000000" w:rsidDel="00000000" w:rsidP="00000000" w:rsidRDefault="00000000" w:rsidRPr="00000000" w14:paraId="0000004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59.00</w:t>
            </w:r>
          </w:p>
        </w:tc>
        <w:tc>
          <w:tcPr>
            <w:vAlign w:val="center"/>
          </w:tcPr>
          <w:p w:rsidR="00000000" w:rsidDel="00000000" w:rsidP="00000000" w:rsidRDefault="00000000" w:rsidRPr="00000000" w14:paraId="0000004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53.00</w:t>
            </w:r>
          </w:p>
        </w:tc>
      </w:tr>
      <w:tr>
        <w:trPr>
          <w:cantSplit w:val="0"/>
          <w:trHeight w:val="576" w:hRule="atLeast"/>
          <w:tblHeader w:val="0"/>
        </w:trPr>
        <w:tc>
          <w:tcPr>
            <w:vAlign w:val="center"/>
          </w:tcPr>
          <w:p w:rsidR="00000000" w:rsidDel="00000000" w:rsidP="00000000" w:rsidRDefault="00000000" w:rsidRPr="00000000" w14:paraId="0000004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Current_Age</w:t>
            </w:r>
          </w:p>
        </w:tc>
        <w:tc>
          <w:tcPr>
            <w:vAlign w:val="center"/>
          </w:tcPr>
          <w:p w:rsidR="00000000" w:rsidDel="00000000" w:rsidP="00000000" w:rsidRDefault="00000000" w:rsidRPr="00000000" w14:paraId="0000004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4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4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5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-4.40</w:t>
            </w:r>
          </w:p>
        </w:tc>
        <w:tc>
          <w:tcPr>
            <w:vAlign w:val="center"/>
          </w:tcPr>
          <w:p w:rsidR="00000000" w:rsidDel="00000000" w:rsidP="00000000" w:rsidRDefault="00000000" w:rsidRPr="00000000" w14:paraId="0000005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-0.54</w:t>
            </w:r>
          </w:p>
        </w:tc>
        <w:tc>
          <w:tcPr>
            <w:vAlign w:val="center"/>
          </w:tcPr>
          <w:p w:rsidR="00000000" w:rsidDel="00000000" w:rsidP="00000000" w:rsidRDefault="00000000" w:rsidRPr="00000000" w14:paraId="0000005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-0.08</w:t>
            </w:r>
          </w:p>
        </w:tc>
        <w:tc>
          <w:tcPr>
            <w:vAlign w:val="center"/>
          </w:tcPr>
          <w:p w:rsidR="00000000" w:rsidDel="00000000" w:rsidP="00000000" w:rsidRDefault="00000000" w:rsidRPr="00000000" w14:paraId="0000005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0.37</w:t>
            </w:r>
          </w:p>
        </w:tc>
        <w:tc>
          <w:tcPr>
            <w:vAlign w:val="center"/>
          </w:tcPr>
          <w:p w:rsidR="00000000" w:rsidDel="00000000" w:rsidP="00000000" w:rsidRDefault="00000000" w:rsidRPr="00000000" w14:paraId="0000005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7.65</w:t>
            </w:r>
          </w:p>
        </w:tc>
        <w:tc>
          <w:tcPr>
            <w:vAlign w:val="center"/>
          </w:tcPr>
          <w:p w:rsidR="00000000" w:rsidDel="00000000" w:rsidP="00000000" w:rsidRDefault="00000000" w:rsidRPr="00000000" w14:paraId="0000005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12.05</w:t>
            </w:r>
          </w:p>
        </w:tc>
      </w:tr>
      <w:tr>
        <w:trPr>
          <w:cantSplit w:val="0"/>
          <w:trHeight w:val="576" w:hRule="atLeast"/>
          <w:tblHeader w:val="0"/>
        </w:trPr>
        <w:tc>
          <w:tcPr>
            <w:vAlign w:val="center"/>
          </w:tcPr>
          <w:p w:rsidR="00000000" w:rsidDel="00000000" w:rsidP="00000000" w:rsidRDefault="00000000" w:rsidRPr="00000000" w14:paraId="0000005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Signup_to_Apply_Days</w:t>
            </w:r>
          </w:p>
        </w:tc>
        <w:tc>
          <w:tcPr>
            <w:vAlign w:val="center"/>
          </w:tcPr>
          <w:p w:rsidR="00000000" w:rsidDel="00000000" w:rsidP="00000000" w:rsidRDefault="00000000" w:rsidRPr="00000000" w14:paraId="0000005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5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5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5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-3.59</w:t>
            </w:r>
          </w:p>
        </w:tc>
        <w:tc>
          <w:tcPr>
            <w:vAlign w:val="center"/>
          </w:tcPr>
          <w:p w:rsidR="00000000" w:rsidDel="00000000" w:rsidP="00000000" w:rsidRDefault="00000000" w:rsidRPr="00000000" w14:paraId="0000005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-0.47</w:t>
            </w:r>
          </w:p>
        </w:tc>
        <w:tc>
          <w:tcPr>
            <w:vAlign w:val="center"/>
          </w:tcPr>
          <w:p w:rsidR="00000000" w:rsidDel="00000000" w:rsidP="00000000" w:rsidRDefault="00000000" w:rsidRPr="00000000" w14:paraId="0000005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-0.47</w:t>
            </w:r>
          </w:p>
        </w:tc>
        <w:tc>
          <w:tcPr>
            <w:vAlign w:val="center"/>
          </w:tcPr>
          <w:p w:rsidR="00000000" w:rsidDel="00000000" w:rsidP="00000000" w:rsidRDefault="00000000" w:rsidRPr="00000000" w14:paraId="0000005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0.49</w:t>
            </w:r>
          </w:p>
        </w:tc>
        <w:tc>
          <w:tcPr>
            <w:vAlign w:val="center"/>
          </w:tcPr>
          <w:p w:rsidR="00000000" w:rsidDel="00000000" w:rsidP="00000000" w:rsidRDefault="00000000" w:rsidRPr="00000000" w14:paraId="0000005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4.40</w:t>
            </w:r>
          </w:p>
        </w:tc>
        <w:tc>
          <w:tcPr>
            <w:vAlign w:val="center"/>
          </w:tcPr>
          <w:p w:rsidR="00000000" w:rsidDel="00000000" w:rsidP="00000000" w:rsidRDefault="00000000" w:rsidRPr="00000000" w14:paraId="0000005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7.99</w:t>
            </w:r>
          </w:p>
        </w:tc>
      </w:tr>
      <w:tr>
        <w:trPr>
          <w:cantSplit w:val="0"/>
          <w:trHeight w:val="576" w:hRule="atLeast"/>
          <w:tblHeader w:val="0"/>
        </w:trPr>
        <w:tc>
          <w:tcPr>
            <w:vAlign w:val="center"/>
          </w:tcPr>
          <w:p w:rsidR="00000000" w:rsidDel="00000000" w:rsidP="00000000" w:rsidRDefault="00000000" w:rsidRPr="00000000" w14:paraId="0000006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Course_Duration_Days</w:t>
            </w:r>
          </w:p>
        </w:tc>
        <w:tc>
          <w:tcPr>
            <w:vAlign w:val="center"/>
          </w:tcPr>
          <w:p w:rsidR="00000000" w:rsidDel="00000000" w:rsidP="00000000" w:rsidRDefault="00000000" w:rsidRPr="00000000" w14:paraId="0000006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6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6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6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-1.10</w:t>
            </w:r>
          </w:p>
        </w:tc>
        <w:tc>
          <w:tcPr>
            <w:vAlign w:val="center"/>
          </w:tcPr>
          <w:p w:rsidR="00000000" w:rsidDel="00000000" w:rsidP="00000000" w:rsidRDefault="00000000" w:rsidRPr="00000000" w14:paraId="0000006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-0.74</w:t>
            </w:r>
          </w:p>
        </w:tc>
        <w:tc>
          <w:tcPr>
            <w:vAlign w:val="center"/>
          </w:tcPr>
          <w:p w:rsidR="00000000" w:rsidDel="00000000" w:rsidP="00000000" w:rsidRDefault="00000000" w:rsidRPr="00000000" w14:paraId="0000006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-0.31</w:t>
            </w:r>
          </w:p>
        </w:tc>
        <w:tc>
          <w:tcPr>
            <w:vAlign w:val="center"/>
          </w:tcPr>
          <w:p w:rsidR="00000000" w:rsidDel="00000000" w:rsidP="00000000" w:rsidRDefault="00000000" w:rsidRPr="00000000" w14:paraId="0000006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0.59</w:t>
            </w:r>
          </w:p>
        </w:tc>
        <w:tc>
          <w:tcPr>
            <w:vAlign w:val="center"/>
          </w:tcPr>
          <w:p w:rsidR="00000000" w:rsidDel="00000000" w:rsidP="00000000" w:rsidRDefault="00000000" w:rsidRPr="00000000" w14:paraId="0000006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1.91</w:t>
            </w:r>
          </w:p>
        </w:tc>
        <w:tc>
          <w:tcPr>
            <w:vAlign w:val="center"/>
          </w:tcPr>
          <w:p w:rsidR="00000000" w:rsidDel="00000000" w:rsidP="00000000" w:rsidRDefault="00000000" w:rsidRPr="00000000" w14:paraId="0000006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3.01</w:t>
            </w:r>
          </w:p>
        </w:tc>
      </w:tr>
      <w:tr>
        <w:trPr>
          <w:cantSplit w:val="0"/>
          <w:trHeight w:val="576" w:hRule="atLeast"/>
          <w:tblHeader w:val="0"/>
        </w:trPr>
        <w:tc>
          <w:tcPr>
            <w:vAlign w:val="center"/>
          </w:tcPr>
          <w:p w:rsidR="00000000" w:rsidDel="00000000" w:rsidP="00000000" w:rsidRDefault="00000000" w:rsidRPr="00000000" w14:paraId="0000006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Signup_Month</w:t>
            </w:r>
          </w:p>
        </w:tc>
        <w:tc>
          <w:tcPr>
            <w:vAlign w:val="center"/>
          </w:tcPr>
          <w:p w:rsidR="00000000" w:rsidDel="00000000" w:rsidP="00000000" w:rsidRDefault="00000000" w:rsidRPr="00000000" w14:paraId="0000006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6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6.21</w:t>
            </w:r>
          </w:p>
        </w:tc>
        <w:tc>
          <w:tcPr>
            <w:vAlign w:val="center"/>
          </w:tcPr>
          <w:p w:rsidR="00000000" w:rsidDel="00000000" w:rsidP="00000000" w:rsidRDefault="00000000" w:rsidRPr="00000000" w14:paraId="0000006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3.47</w:t>
            </w:r>
          </w:p>
        </w:tc>
        <w:tc>
          <w:tcPr>
            <w:vAlign w:val="center"/>
          </w:tcPr>
          <w:p w:rsidR="00000000" w:rsidDel="00000000" w:rsidP="00000000" w:rsidRDefault="00000000" w:rsidRPr="00000000" w14:paraId="0000006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6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3.00</w:t>
            </w:r>
          </w:p>
        </w:tc>
        <w:tc>
          <w:tcPr>
            <w:vAlign w:val="center"/>
          </w:tcPr>
          <w:p w:rsidR="00000000" w:rsidDel="00000000" w:rsidP="00000000" w:rsidRDefault="00000000" w:rsidRPr="00000000" w14:paraId="0000007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6.00</w:t>
            </w:r>
          </w:p>
        </w:tc>
        <w:tc>
          <w:tcPr>
            <w:vAlign w:val="center"/>
          </w:tcPr>
          <w:p w:rsidR="00000000" w:rsidDel="00000000" w:rsidP="00000000" w:rsidRDefault="00000000" w:rsidRPr="00000000" w14:paraId="0000007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9.00</w:t>
            </w:r>
          </w:p>
        </w:tc>
        <w:tc>
          <w:tcPr>
            <w:vAlign w:val="center"/>
          </w:tcPr>
          <w:p w:rsidR="00000000" w:rsidDel="00000000" w:rsidP="00000000" w:rsidRDefault="00000000" w:rsidRPr="00000000" w14:paraId="0000007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12.00</w:t>
            </w:r>
          </w:p>
        </w:tc>
        <w:tc>
          <w:tcPr>
            <w:vAlign w:val="center"/>
          </w:tcPr>
          <w:p w:rsidR="00000000" w:rsidDel="00000000" w:rsidP="00000000" w:rsidRDefault="00000000" w:rsidRPr="00000000" w14:paraId="0000007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11.00</w:t>
            </w:r>
          </w:p>
        </w:tc>
      </w:tr>
      <w:tr>
        <w:trPr>
          <w:cantSplit w:val="0"/>
          <w:trHeight w:val="576" w:hRule="atLeast"/>
          <w:tblHeader w:val="0"/>
        </w:trPr>
        <w:tc>
          <w:tcPr>
            <w:vAlign w:val="center"/>
          </w:tcPr>
          <w:p w:rsidR="00000000" w:rsidDel="00000000" w:rsidP="00000000" w:rsidRDefault="00000000" w:rsidRPr="00000000" w14:paraId="0000007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Signup_Hour</w:t>
            </w:r>
          </w:p>
        </w:tc>
        <w:tc>
          <w:tcPr>
            <w:vAlign w:val="center"/>
          </w:tcPr>
          <w:p w:rsidR="00000000" w:rsidDel="00000000" w:rsidP="00000000" w:rsidRDefault="00000000" w:rsidRPr="00000000" w14:paraId="0000007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7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12.31</w:t>
            </w:r>
          </w:p>
        </w:tc>
        <w:tc>
          <w:tcPr>
            <w:vAlign w:val="center"/>
          </w:tcPr>
          <w:p w:rsidR="00000000" w:rsidDel="00000000" w:rsidP="00000000" w:rsidRDefault="00000000" w:rsidRPr="00000000" w14:paraId="0000007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6.83</w:t>
            </w:r>
          </w:p>
        </w:tc>
        <w:tc>
          <w:tcPr>
            <w:vAlign w:val="center"/>
          </w:tcPr>
          <w:p w:rsidR="00000000" w:rsidDel="00000000" w:rsidP="00000000" w:rsidRDefault="00000000" w:rsidRPr="00000000" w14:paraId="0000007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7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6.00</w:t>
            </w:r>
          </w:p>
        </w:tc>
        <w:tc>
          <w:tcPr>
            <w:vAlign w:val="center"/>
          </w:tcPr>
          <w:p w:rsidR="00000000" w:rsidDel="00000000" w:rsidP="00000000" w:rsidRDefault="00000000" w:rsidRPr="00000000" w14:paraId="0000007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13.00</w:t>
            </w:r>
          </w:p>
        </w:tc>
        <w:tc>
          <w:tcPr>
            <w:vAlign w:val="center"/>
          </w:tcPr>
          <w:p w:rsidR="00000000" w:rsidDel="00000000" w:rsidP="00000000" w:rsidRDefault="00000000" w:rsidRPr="00000000" w14:paraId="0000007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18.00</w:t>
            </w:r>
          </w:p>
        </w:tc>
        <w:tc>
          <w:tcPr>
            <w:vAlign w:val="center"/>
          </w:tcPr>
          <w:p w:rsidR="00000000" w:rsidDel="00000000" w:rsidP="00000000" w:rsidRDefault="00000000" w:rsidRPr="00000000" w14:paraId="0000007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23.00</w:t>
            </w:r>
          </w:p>
        </w:tc>
        <w:tc>
          <w:tcPr>
            <w:vAlign w:val="center"/>
          </w:tcPr>
          <w:p w:rsidR="00000000" w:rsidDel="00000000" w:rsidP="00000000" w:rsidRDefault="00000000" w:rsidRPr="00000000" w14:paraId="0000007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23.00</w:t>
            </w:r>
          </w:p>
        </w:tc>
      </w:tr>
      <w:tr>
        <w:trPr>
          <w:cantSplit w:val="0"/>
          <w:trHeight w:val="576" w:hRule="atLeast"/>
          <w:tblHeader w:val="0"/>
        </w:trPr>
        <w:tc>
          <w:tcPr>
            <w:vAlign w:val="center"/>
          </w:tcPr>
          <w:p w:rsidR="00000000" w:rsidDel="00000000" w:rsidP="00000000" w:rsidRDefault="00000000" w:rsidRPr="00000000" w14:paraId="0000007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Quick_Applicant</w:t>
            </w:r>
          </w:p>
        </w:tc>
        <w:tc>
          <w:tcPr>
            <w:vAlign w:val="center"/>
          </w:tcPr>
          <w:p w:rsidR="00000000" w:rsidDel="00000000" w:rsidP="00000000" w:rsidRDefault="00000000" w:rsidRPr="00000000" w14:paraId="0000007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8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0.52</w:t>
            </w:r>
          </w:p>
        </w:tc>
        <w:tc>
          <w:tcPr>
            <w:vAlign w:val="center"/>
          </w:tcPr>
          <w:p w:rsidR="00000000" w:rsidDel="00000000" w:rsidP="00000000" w:rsidRDefault="00000000" w:rsidRPr="00000000" w14:paraId="0000008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0.50</w:t>
            </w:r>
          </w:p>
        </w:tc>
        <w:tc>
          <w:tcPr>
            <w:vAlign w:val="center"/>
          </w:tcPr>
          <w:p w:rsidR="00000000" w:rsidDel="00000000" w:rsidP="00000000" w:rsidRDefault="00000000" w:rsidRPr="00000000" w14:paraId="0000008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8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8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8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8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8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576" w:hRule="atLeast"/>
          <w:tblHeader w:val="0"/>
        </w:trPr>
        <w:tc>
          <w:tcPr>
            <w:vAlign w:val="center"/>
          </w:tcPr>
          <w:p w:rsidR="00000000" w:rsidDel="00000000" w:rsidP="00000000" w:rsidRDefault="00000000" w:rsidRPr="00000000" w14:paraId="0000008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Gender_Encoded</w:t>
            </w:r>
          </w:p>
        </w:tc>
        <w:tc>
          <w:tcPr>
            <w:vAlign w:val="center"/>
          </w:tcPr>
          <w:p w:rsidR="00000000" w:rsidDel="00000000" w:rsidP="00000000" w:rsidRDefault="00000000" w:rsidRPr="00000000" w14:paraId="0000008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8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1.42</w:t>
            </w:r>
          </w:p>
        </w:tc>
        <w:tc>
          <w:tcPr>
            <w:vAlign w:val="center"/>
          </w:tcPr>
          <w:p w:rsidR="00000000" w:rsidDel="00000000" w:rsidP="00000000" w:rsidRDefault="00000000" w:rsidRPr="00000000" w14:paraId="0000008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0.50</w:t>
            </w:r>
          </w:p>
        </w:tc>
        <w:tc>
          <w:tcPr>
            <w:vAlign w:val="center"/>
          </w:tcPr>
          <w:p w:rsidR="00000000" w:rsidDel="00000000" w:rsidP="00000000" w:rsidRDefault="00000000" w:rsidRPr="00000000" w14:paraId="0000008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8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8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8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2.00</w:t>
            </w:r>
          </w:p>
        </w:tc>
        <w:tc>
          <w:tcPr>
            <w:vAlign w:val="center"/>
          </w:tcPr>
          <w:p w:rsidR="00000000" w:rsidDel="00000000" w:rsidP="00000000" w:rsidRDefault="00000000" w:rsidRPr="00000000" w14:paraId="0000009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4.00</w:t>
            </w:r>
          </w:p>
        </w:tc>
        <w:tc>
          <w:tcPr>
            <w:vAlign w:val="center"/>
          </w:tcPr>
          <w:p w:rsidR="00000000" w:rsidDel="00000000" w:rsidP="00000000" w:rsidRDefault="00000000" w:rsidRPr="00000000" w14:paraId="0000009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3.00</w:t>
            </w:r>
          </w:p>
        </w:tc>
      </w:tr>
      <w:tr>
        <w:trPr>
          <w:cantSplit w:val="0"/>
          <w:trHeight w:val="576" w:hRule="atLeast"/>
          <w:tblHeader w:val="0"/>
        </w:trPr>
        <w:tc>
          <w:tcPr>
            <w:vAlign w:val="center"/>
          </w:tcPr>
          <w:p w:rsidR="00000000" w:rsidDel="00000000" w:rsidP="00000000" w:rsidRDefault="00000000" w:rsidRPr="00000000" w14:paraId="0000009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Is_Successful</w:t>
            </w:r>
          </w:p>
        </w:tc>
        <w:tc>
          <w:tcPr>
            <w:vAlign w:val="center"/>
          </w:tcPr>
          <w:p w:rsidR="00000000" w:rsidDel="00000000" w:rsidP="00000000" w:rsidRDefault="00000000" w:rsidRPr="00000000" w14:paraId="0000009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9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0.48</w:t>
            </w:r>
          </w:p>
        </w:tc>
        <w:tc>
          <w:tcPr>
            <w:vAlign w:val="center"/>
          </w:tcPr>
          <w:p w:rsidR="00000000" w:rsidDel="00000000" w:rsidP="00000000" w:rsidRDefault="00000000" w:rsidRPr="00000000" w14:paraId="0000009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0.50</w:t>
            </w:r>
          </w:p>
        </w:tc>
        <w:tc>
          <w:tcPr>
            <w:vAlign w:val="center"/>
          </w:tcPr>
          <w:p w:rsidR="00000000" w:rsidDel="00000000" w:rsidP="00000000" w:rsidRDefault="00000000" w:rsidRPr="00000000" w14:paraId="0000009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9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9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9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9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9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576" w:hRule="atLeast"/>
          <w:tblHeader w:val="0"/>
        </w:trPr>
        <w:tc>
          <w:tcPr>
            <w:vAlign w:val="center"/>
          </w:tcPr>
          <w:p w:rsidR="00000000" w:rsidDel="00000000" w:rsidP="00000000" w:rsidRDefault="00000000" w:rsidRPr="00000000" w14:paraId="0000009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Same_Day_Application</w:t>
            </w:r>
          </w:p>
        </w:tc>
        <w:tc>
          <w:tcPr>
            <w:vAlign w:val="center"/>
          </w:tcPr>
          <w:p w:rsidR="00000000" w:rsidDel="00000000" w:rsidP="00000000" w:rsidRDefault="00000000" w:rsidRPr="00000000" w14:paraId="0000009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9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0.40</w:t>
            </w:r>
          </w:p>
        </w:tc>
        <w:tc>
          <w:tcPr>
            <w:vAlign w:val="center"/>
          </w:tcPr>
          <w:p w:rsidR="00000000" w:rsidDel="00000000" w:rsidP="00000000" w:rsidRDefault="00000000" w:rsidRPr="00000000" w14:paraId="0000009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0.49</w:t>
            </w:r>
          </w:p>
        </w:tc>
        <w:tc>
          <w:tcPr>
            <w:vAlign w:val="center"/>
          </w:tcPr>
          <w:p w:rsidR="00000000" w:rsidDel="00000000" w:rsidP="00000000" w:rsidRDefault="00000000" w:rsidRPr="00000000" w14:paraId="000000A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A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A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A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A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A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576" w:hRule="atLeast"/>
          <w:tblHeader w:val="0"/>
        </w:trPr>
        <w:tc>
          <w:tcPr>
            <w:vAlign w:val="center"/>
          </w:tcPr>
          <w:p w:rsidR="00000000" w:rsidDel="00000000" w:rsidP="00000000" w:rsidRDefault="00000000" w:rsidRPr="00000000" w14:paraId="000000A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Late_Applicant</w:t>
            </w:r>
          </w:p>
        </w:tc>
        <w:tc>
          <w:tcPr>
            <w:vAlign w:val="center"/>
          </w:tcPr>
          <w:p w:rsidR="00000000" w:rsidDel="00000000" w:rsidP="00000000" w:rsidRDefault="00000000" w:rsidRPr="00000000" w14:paraId="000000A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A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0.39</w:t>
            </w:r>
          </w:p>
        </w:tc>
        <w:tc>
          <w:tcPr>
            <w:vAlign w:val="center"/>
          </w:tcPr>
          <w:p w:rsidR="00000000" w:rsidDel="00000000" w:rsidP="00000000" w:rsidRDefault="00000000" w:rsidRPr="00000000" w14:paraId="000000A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0.49</w:t>
            </w:r>
          </w:p>
        </w:tc>
        <w:tc>
          <w:tcPr>
            <w:vAlign w:val="center"/>
          </w:tcPr>
          <w:p w:rsidR="00000000" w:rsidDel="00000000" w:rsidP="00000000" w:rsidRDefault="00000000" w:rsidRPr="00000000" w14:paraId="000000A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A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A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A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A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A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576" w:hRule="atLeast"/>
          <w:tblHeader w:val="0"/>
        </w:trPr>
        <w:tc>
          <w:tcPr>
            <w:vAlign w:val="center"/>
          </w:tcPr>
          <w:p w:rsidR="00000000" w:rsidDel="00000000" w:rsidP="00000000" w:rsidRDefault="00000000" w:rsidRPr="00000000" w14:paraId="000000B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Opportunity_Popularity</w:t>
            </w:r>
          </w:p>
        </w:tc>
        <w:tc>
          <w:tcPr>
            <w:vAlign w:val="center"/>
          </w:tcPr>
          <w:p w:rsidR="00000000" w:rsidDel="00000000" w:rsidP="00000000" w:rsidRDefault="00000000" w:rsidRPr="00000000" w14:paraId="000000B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B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B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B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-1.75</w:t>
            </w:r>
          </w:p>
        </w:tc>
        <w:tc>
          <w:tcPr>
            <w:vAlign w:val="center"/>
          </w:tcPr>
          <w:p w:rsidR="00000000" w:rsidDel="00000000" w:rsidP="00000000" w:rsidRDefault="00000000" w:rsidRPr="00000000" w14:paraId="000000B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-0.72</w:t>
            </w:r>
          </w:p>
        </w:tc>
        <w:tc>
          <w:tcPr>
            <w:vAlign w:val="center"/>
          </w:tcPr>
          <w:p w:rsidR="00000000" w:rsidDel="00000000" w:rsidP="00000000" w:rsidRDefault="00000000" w:rsidRPr="00000000" w14:paraId="000000B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-0.37</w:t>
            </w:r>
          </w:p>
        </w:tc>
        <w:tc>
          <w:tcPr>
            <w:vAlign w:val="center"/>
          </w:tcPr>
          <w:p w:rsidR="00000000" w:rsidDel="00000000" w:rsidP="00000000" w:rsidRDefault="00000000" w:rsidRPr="00000000" w14:paraId="000000B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0.68</w:t>
            </w:r>
          </w:p>
        </w:tc>
        <w:tc>
          <w:tcPr>
            <w:vAlign w:val="center"/>
          </w:tcPr>
          <w:p w:rsidR="00000000" w:rsidDel="00000000" w:rsidP="00000000" w:rsidRDefault="00000000" w:rsidRPr="00000000" w14:paraId="000000B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1.78</w:t>
            </w:r>
          </w:p>
        </w:tc>
        <w:tc>
          <w:tcPr>
            <w:vAlign w:val="center"/>
          </w:tcPr>
          <w:p w:rsidR="00000000" w:rsidDel="00000000" w:rsidP="00000000" w:rsidRDefault="00000000" w:rsidRPr="00000000" w14:paraId="000000B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3.52</w:t>
            </w:r>
          </w:p>
        </w:tc>
      </w:tr>
      <w:tr>
        <w:trPr>
          <w:cantSplit w:val="0"/>
          <w:trHeight w:val="576" w:hRule="atLeast"/>
          <w:tblHeader w:val="0"/>
        </w:trPr>
        <w:tc>
          <w:tcPr>
            <w:vAlign w:val="center"/>
          </w:tcPr>
          <w:p w:rsidR="00000000" w:rsidDel="00000000" w:rsidP="00000000" w:rsidRDefault="00000000" w:rsidRPr="00000000" w14:paraId="000000B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Popular_Opportunity</w:t>
            </w:r>
          </w:p>
        </w:tc>
        <w:tc>
          <w:tcPr>
            <w:vAlign w:val="center"/>
          </w:tcPr>
          <w:p w:rsidR="00000000" w:rsidDel="00000000" w:rsidP="00000000" w:rsidRDefault="00000000" w:rsidRPr="00000000" w14:paraId="000000B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B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0.47</w:t>
            </w:r>
          </w:p>
        </w:tc>
        <w:tc>
          <w:tcPr>
            <w:vAlign w:val="center"/>
          </w:tcPr>
          <w:p w:rsidR="00000000" w:rsidDel="00000000" w:rsidP="00000000" w:rsidRDefault="00000000" w:rsidRPr="00000000" w14:paraId="000000B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0.50</w:t>
            </w:r>
          </w:p>
        </w:tc>
        <w:tc>
          <w:tcPr>
            <w:vAlign w:val="center"/>
          </w:tcPr>
          <w:p w:rsidR="00000000" w:rsidDel="00000000" w:rsidP="00000000" w:rsidRDefault="00000000" w:rsidRPr="00000000" w14:paraId="000000B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B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C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C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C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C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576" w:hRule="atLeast"/>
          <w:tblHeader w:val="0"/>
        </w:trPr>
        <w:tc>
          <w:tcPr>
            <w:vAlign w:val="center"/>
          </w:tcPr>
          <w:p w:rsidR="00000000" w:rsidDel="00000000" w:rsidP="00000000" w:rsidRDefault="00000000" w:rsidRPr="00000000" w14:paraId="000000C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Engagement_Score</w:t>
            </w:r>
          </w:p>
        </w:tc>
        <w:tc>
          <w:tcPr>
            <w:vAlign w:val="center"/>
          </w:tcPr>
          <w:p w:rsidR="00000000" w:rsidDel="00000000" w:rsidP="00000000" w:rsidRDefault="00000000" w:rsidRPr="00000000" w14:paraId="000000C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C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0.47</w:t>
            </w:r>
          </w:p>
        </w:tc>
        <w:tc>
          <w:tcPr>
            <w:vAlign w:val="center"/>
          </w:tcPr>
          <w:p w:rsidR="00000000" w:rsidDel="00000000" w:rsidP="00000000" w:rsidRDefault="00000000" w:rsidRPr="00000000" w14:paraId="000000C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0.31</w:t>
            </w:r>
          </w:p>
        </w:tc>
        <w:tc>
          <w:tcPr>
            <w:vAlign w:val="center"/>
          </w:tcPr>
          <w:p w:rsidR="00000000" w:rsidDel="00000000" w:rsidP="00000000" w:rsidRDefault="00000000" w:rsidRPr="00000000" w14:paraId="000000C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C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0.20</w:t>
            </w:r>
          </w:p>
        </w:tc>
        <w:tc>
          <w:tcPr>
            <w:vAlign w:val="center"/>
          </w:tcPr>
          <w:p w:rsidR="00000000" w:rsidDel="00000000" w:rsidP="00000000" w:rsidRDefault="00000000" w:rsidRPr="00000000" w14:paraId="000000C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0.40</w:t>
            </w:r>
          </w:p>
        </w:tc>
        <w:tc>
          <w:tcPr>
            <w:vAlign w:val="center"/>
          </w:tcPr>
          <w:p w:rsidR="00000000" w:rsidDel="00000000" w:rsidP="00000000" w:rsidRDefault="00000000" w:rsidRPr="00000000" w14:paraId="000000C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0.65</w:t>
            </w:r>
          </w:p>
        </w:tc>
        <w:tc>
          <w:tcPr>
            <w:vAlign w:val="center"/>
          </w:tcPr>
          <w:p w:rsidR="00000000" w:rsidDel="00000000" w:rsidP="00000000" w:rsidRDefault="00000000" w:rsidRPr="00000000" w14:paraId="000000C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C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576" w:hRule="atLeast"/>
          <w:tblHeader w:val="0"/>
        </w:trPr>
        <w:tc>
          <w:tcPr>
            <w:vAlign w:val="center"/>
          </w:tcPr>
          <w:p w:rsidR="00000000" w:rsidDel="00000000" w:rsidP="00000000" w:rsidRDefault="00000000" w:rsidRPr="00000000" w14:paraId="000000C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Apply_vs_Start_Gap</w:t>
            </w:r>
          </w:p>
        </w:tc>
        <w:tc>
          <w:tcPr>
            <w:vAlign w:val="center"/>
          </w:tcPr>
          <w:p w:rsidR="00000000" w:rsidDel="00000000" w:rsidP="00000000" w:rsidRDefault="00000000" w:rsidRPr="00000000" w14:paraId="000000C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D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-22.72</w:t>
            </w:r>
          </w:p>
        </w:tc>
        <w:tc>
          <w:tcPr>
            <w:vAlign w:val="center"/>
          </w:tcPr>
          <w:p w:rsidR="00000000" w:rsidDel="00000000" w:rsidP="00000000" w:rsidRDefault="00000000" w:rsidRPr="00000000" w14:paraId="000000D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291.01</w:t>
            </w:r>
          </w:p>
        </w:tc>
        <w:tc>
          <w:tcPr>
            <w:vAlign w:val="center"/>
          </w:tcPr>
          <w:p w:rsidR="00000000" w:rsidDel="00000000" w:rsidP="00000000" w:rsidRDefault="00000000" w:rsidRPr="00000000" w14:paraId="000000D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-998.00</w:t>
            </w:r>
          </w:p>
        </w:tc>
        <w:tc>
          <w:tcPr>
            <w:vAlign w:val="center"/>
          </w:tcPr>
          <w:p w:rsidR="00000000" w:rsidDel="00000000" w:rsidP="00000000" w:rsidRDefault="00000000" w:rsidRPr="00000000" w14:paraId="000000D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-181.00</w:t>
            </w:r>
          </w:p>
        </w:tc>
        <w:tc>
          <w:tcPr>
            <w:vAlign w:val="center"/>
          </w:tcPr>
          <w:p w:rsidR="00000000" w:rsidDel="00000000" w:rsidP="00000000" w:rsidRDefault="00000000" w:rsidRPr="00000000" w14:paraId="000000D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D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189.00</w:t>
            </w:r>
          </w:p>
        </w:tc>
        <w:tc>
          <w:tcPr>
            <w:vAlign w:val="center"/>
          </w:tcPr>
          <w:p w:rsidR="00000000" w:rsidDel="00000000" w:rsidP="00000000" w:rsidRDefault="00000000" w:rsidRPr="00000000" w14:paraId="000000D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570.00</w:t>
            </w:r>
          </w:p>
        </w:tc>
        <w:tc>
          <w:tcPr>
            <w:vAlign w:val="center"/>
          </w:tcPr>
          <w:p w:rsidR="00000000" w:rsidDel="00000000" w:rsidP="00000000" w:rsidRDefault="00000000" w:rsidRPr="00000000" w14:paraId="000000D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1568.00</w:t>
            </w:r>
          </w:p>
        </w:tc>
      </w:tr>
      <w:tr>
        <w:trPr>
          <w:cantSplit w:val="0"/>
          <w:trHeight w:val="576" w:hRule="atLeast"/>
          <w:tblHeader w:val="0"/>
        </w:trPr>
        <w:tc>
          <w:tcPr>
            <w:vAlign w:val="center"/>
          </w:tcPr>
          <w:p w:rsidR="00000000" w:rsidDel="00000000" w:rsidP="00000000" w:rsidRDefault="00000000" w:rsidRPr="00000000" w14:paraId="000000D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Applications_per_User</w:t>
            </w:r>
          </w:p>
        </w:tc>
        <w:tc>
          <w:tcPr>
            <w:vAlign w:val="center"/>
          </w:tcPr>
          <w:p w:rsidR="00000000" w:rsidDel="00000000" w:rsidP="00000000" w:rsidRDefault="00000000" w:rsidRPr="00000000" w14:paraId="000000D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D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8.33</w:t>
            </w:r>
          </w:p>
        </w:tc>
        <w:tc>
          <w:tcPr>
            <w:vAlign w:val="center"/>
          </w:tcPr>
          <w:p w:rsidR="00000000" w:rsidDel="00000000" w:rsidP="00000000" w:rsidRDefault="00000000" w:rsidRPr="00000000" w14:paraId="000000D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10.48</w:t>
            </w:r>
          </w:p>
        </w:tc>
        <w:tc>
          <w:tcPr>
            <w:vAlign w:val="center"/>
          </w:tcPr>
          <w:p w:rsidR="00000000" w:rsidDel="00000000" w:rsidP="00000000" w:rsidRDefault="00000000" w:rsidRPr="00000000" w14:paraId="000000D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D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2.00</w:t>
            </w:r>
          </w:p>
        </w:tc>
        <w:tc>
          <w:tcPr>
            <w:vAlign w:val="center"/>
          </w:tcPr>
          <w:p w:rsidR="00000000" w:rsidDel="00000000" w:rsidP="00000000" w:rsidRDefault="00000000" w:rsidRPr="00000000" w14:paraId="000000D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5.00</w:t>
            </w:r>
          </w:p>
        </w:tc>
        <w:tc>
          <w:tcPr>
            <w:vAlign w:val="center"/>
          </w:tcPr>
          <w:p w:rsidR="00000000" w:rsidDel="00000000" w:rsidP="00000000" w:rsidRDefault="00000000" w:rsidRPr="00000000" w14:paraId="000000D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11.00</w:t>
            </w:r>
          </w:p>
        </w:tc>
        <w:tc>
          <w:tcPr>
            <w:vAlign w:val="center"/>
          </w:tcPr>
          <w:p w:rsidR="00000000" w:rsidDel="00000000" w:rsidP="00000000" w:rsidRDefault="00000000" w:rsidRPr="00000000" w14:paraId="000000E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83.00</w:t>
            </w:r>
          </w:p>
        </w:tc>
        <w:tc>
          <w:tcPr>
            <w:vAlign w:val="center"/>
          </w:tcPr>
          <w:p w:rsidR="00000000" w:rsidDel="00000000" w:rsidP="00000000" w:rsidRDefault="00000000" w:rsidRPr="00000000" w14:paraId="000000E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82.00</w:t>
            </w:r>
          </w:p>
        </w:tc>
      </w:tr>
      <w:tr>
        <w:trPr>
          <w:cantSplit w:val="0"/>
          <w:trHeight w:val="576" w:hRule="atLeast"/>
          <w:tblHeader w:val="0"/>
        </w:trPr>
        <w:tc>
          <w:tcPr>
            <w:vAlign w:val="center"/>
          </w:tcPr>
          <w:p w:rsidR="00000000" w:rsidDel="00000000" w:rsidP="00000000" w:rsidRDefault="00000000" w:rsidRPr="00000000" w14:paraId="000000E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Unique_Categories_per_User</w:t>
            </w:r>
          </w:p>
        </w:tc>
        <w:tc>
          <w:tcPr>
            <w:vAlign w:val="center"/>
          </w:tcPr>
          <w:p w:rsidR="00000000" w:rsidDel="00000000" w:rsidP="00000000" w:rsidRDefault="00000000" w:rsidRPr="00000000" w14:paraId="000000E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E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2.25</w:t>
            </w:r>
          </w:p>
        </w:tc>
        <w:tc>
          <w:tcPr>
            <w:vAlign w:val="center"/>
          </w:tcPr>
          <w:p w:rsidR="00000000" w:rsidDel="00000000" w:rsidP="00000000" w:rsidRDefault="00000000" w:rsidRPr="00000000" w14:paraId="000000E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1.26</w:t>
            </w:r>
          </w:p>
        </w:tc>
        <w:tc>
          <w:tcPr>
            <w:vAlign w:val="center"/>
          </w:tcPr>
          <w:p w:rsidR="00000000" w:rsidDel="00000000" w:rsidP="00000000" w:rsidRDefault="00000000" w:rsidRPr="00000000" w14:paraId="000000E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E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E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2.00</w:t>
            </w:r>
          </w:p>
        </w:tc>
        <w:tc>
          <w:tcPr>
            <w:vAlign w:val="center"/>
          </w:tcPr>
          <w:p w:rsidR="00000000" w:rsidDel="00000000" w:rsidP="00000000" w:rsidRDefault="00000000" w:rsidRPr="00000000" w14:paraId="000000E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3.00</w:t>
            </w:r>
          </w:p>
        </w:tc>
        <w:tc>
          <w:tcPr>
            <w:vAlign w:val="center"/>
          </w:tcPr>
          <w:p w:rsidR="00000000" w:rsidDel="00000000" w:rsidP="00000000" w:rsidRDefault="00000000" w:rsidRPr="00000000" w14:paraId="000000E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5.00</w:t>
            </w:r>
          </w:p>
        </w:tc>
        <w:tc>
          <w:tcPr>
            <w:vAlign w:val="center"/>
          </w:tcPr>
          <w:p w:rsidR="00000000" w:rsidDel="00000000" w:rsidP="00000000" w:rsidRDefault="00000000" w:rsidRPr="00000000" w14:paraId="000000E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4.00</w:t>
            </w:r>
          </w:p>
        </w:tc>
      </w:tr>
      <w:tr>
        <w:trPr>
          <w:cantSplit w:val="0"/>
          <w:trHeight w:val="576" w:hRule="atLeast"/>
          <w:tblHeader w:val="0"/>
        </w:trPr>
        <w:tc>
          <w:tcPr>
            <w:vAlign w:val="center"/>
          </w:tcPr>
          <w:p w:rsidR="00000000" w:rsidDel="00000000" w:rsidP="00000000" w:rsidRDefault="00000000" w:rsidRPr="00000000" w14:paraId="000000E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Applications_for_Opportunity</w:t>
            </w:r>
          </w:p>
        </w:tc>
        <w:tc>
          <w:tcPr>
            <w:vAlign w:val="center"/>
          </w:tcPr>
          <w:p w:rsidR="00000000" w:rsidDel="00000000" w:rsidP="00000000" w:rsidRDefault="00000000" w:rsidRPr="00000000" w14:paraId="000000E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E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705.87</w:t>
            </w:r>
          </w:p>
        </w:tc>
        <w:tc>
          <w:tcPr>
            <w:vAlign w:val="center"/>
          </w:tcPr>
          <w:p w:rsidR="00000000" w:rsidDel="00000000" w:rsidP="00000000" w:rsidRDefault="00000000" w:rsidRPr="00000000" w14:paraId="000000E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404.97</w:t>
            </w:r>
          </w:p>
        </w:tc>
        <w:tc>
          <w:tcPr>
            <w:vAlign w:val="center"/>
          </w:tcPr>
          <w:p w:rsidR="00000000" w:rsidDel="00000000" w:rsidP="00000000" w:rsidRDefault="00000000" w:rsidRPr="00000000" w14:paraId="000000F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4.00</w:t>
            </w:r>
          </w:p>
        </w:tc>
        <w:tc>
          <w:tcPr>
            <w:vAlign w:val="center"/>
          </w:tcPr>
          <w:p w:rsidR="00000000" w:rsidDel="00000000" w:rsidP="00000000" w:rsidRDefault="00000000" w:rsidRPr="00000000" w14:paraId="000000F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419.00</w:t>
            </w:r>
          </w:p>
        </w:tc>
        <w:tc>
          <w:tcPr>
            <w:vAlign w:val="center"/>
          </w:tcPr>
          <w:p w:rsidR="00000000" w:rsidDel="00000000" w:rsidP="00000000" w:rsidRDefault="00000000" w:rsidRPr="00000000" w14:paraId="000000F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559.00</w:t>
            </w:r>
          </w:p>
        </w:tc>
        <w:tc>
          <w:tcPr>
            <w:vAlign w:val="center"/>
          </w:tcPr>
          <w:p w:rsidR="00000000" w:rsidDel="00000000" w:rsidP="00000000" w:rsidRDefault="00000000" w:rsidRPr="00000000" w14:paraId="000000F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980.00</w:t>
            </w:r>
          </w:p>
        </w:tc>
        <w:tc>
          <w:tcPr>
            <w:vAlign w:val="center"/>
          </w:tcPr>
          <w:p w:rsidR="00000000" w:rsidDel="00000000" w:rsidP="00000000" w:rsidRDefault="00000000" w:rsidRPr="00000000" w14:paraId="000000F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1423.00</w:t>
            </w:r>
          </w:p>
        </w:tc>
        <w:tc>
          <w:tcPr>
            <w:vAlign w:val="center"/>
          </w:tcPr>
          <w:p w:rsidR="00000000" w:rsidDel="00000000" w:rsidP="00000000" w:rsidRDefault="00000000" w:rsidRPr="00000000" w14:paraId="000000F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1419.00</w:t>
            </w:r>
          </w:p>
        </w:tc>
      </w:tr>
      <w:tr>
        <w:trPr>
          <w:cantSplit w:val="0"/>
          <w:trHeight w:val="576" w:hRule="atLeast"/>
          <w:tblHeader w:val="0"/>
        </w:trPr>
        <w:tc>
          <w:tcPr>
            <w:vAlign w:val="center"/>
          </w:tcPr>
          <w:p w:rsidR="00000000" w:rsidDel="00000000" w:rsidP="00000000" w:rsidRDefault="00000000" w:rsidRPr="00000000" w14:paraId="000000F6">
            <w:pPr>
              <w:tabs>
                <w:tab w:val="left" w:leader="none" w:pos="0"/>
                <w:tab w:val="left" w:leader="none" w:pos="270"/>
                <w:tab w:val="left" w:leader="none" w:pos="1530"/>
              </w:tabs>
              <w:spacing w:after="160" w:line="278.00000000000006" w:lineRule="auto"/>
              <w:rPr>
                <w:rFonts w:ascii="Calibri" w:cs="Calibri" w:eastAsia="Calibri" w:hAnsi="Calibri"/>
                <w:b w:val="0"/>
              </w:rPr>
            </w:pPr>
            <w:r w:rsidDel="00000000" w:rsidR="00000000" w:rsidRPr="00000000">
              <w:rPr>
                <w:rFonts w:ascii="Calibri" w:cs="Calibri" w:eastAsia="Calibri" w:hAnsi="Calibri"/>
                <w:rtl w:val="0"/>
              </w:rPr>
              <w:t xml:space="preserve">Region_Normalized_Applications</w:t>
            </w:r>
            <w:r w:rsidDel="00000000" w:rsidR="00000000" w:rsidRPr="00000000">
              <w:rPr>
                <w:rtl w:val="0"/>
              </w:rPr>
            </w:r>
          </w:p>
        </w:tc>
        <w:tc>
          <w:tcPr>
            <w:vAlign w:val="center"/>
          </w:tcPr>
          <w:p w:rsidR="00000000" w:rsidDel="00000000" w:rsidP="00000000" w:rsidRDefault="00000000" w:rsidRPr="00000000" w14:paraId="000000F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0F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0.49</w:t>
            </w:r>
          </w:p>
        </w:tc>
        <w:tc>
          <w:tcPr>
            <w:vAlign w:val="center"/>
          </w:tcPr>
          <w:p w:rsidR="00000000" w:rsidDel="00000000" w:rsidP="00000000" w:rsidRDefault="00000000" w:rsidRPr="00000000" w14:paraId="000000F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0.29</w:t>
            </w:r>
          </w:p>
        </w:tc>
        <w:tc>
          <w:tcPr>
            <w:vAlign w:val="center"/>
          </w:tcPr>
          <w:p w:rsidR="00000000" w:rsidDel="00000000" w:rsidP="00000000" w:rsidRDefault="00000000" w:rsidRPr="00000000" w14:paraId="000000FA">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0FB">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0.29</w:t>
            </w:r>
          </w:p>
        </w:tc>
        <w:tc>
          <w:tcPr>
            <w:vAlign w:val="center"/>
          </w:tcPr>
          <w:p w:rsidR="00000000" w:rsidDel="00000000" w:rsidP="00000000" w:rsidRDefault="00000000" w:rsidRPr="00000000" w14:paraId="000000FC">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0.39</w:t>
            </w:r>
          </w:p>
        </w:tc>
        <w:tc>
          <w:tcPr>
            <w:vAlign w:val="center"/>
          </w:tcPr>
          <w:p w:rsidR="00000000" w:rsidDel="00000000" w:rsidP="00000000" w:rsidRDefault="00000000" w:rsidRPr="00000000" w14:paraId="000000FD">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0.69</w:t>
            </w:r>
          </w:p>
        </w:tc>
        <w:tc>
          <w:tcPr>
            <w:vAlign w:val="center"/>
          </w:tcPr>
          <w:p w:rsidR="00000000" w:rsidDel="00000000" w:rsidP="00000000" w:rsidRDefault="00000000" w:rsidRPr="00000000" w14:paraId="000000FE">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0FF">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r>
      <w:tr>
        <w:trPr>
          <w:cantSplit w:val="0"/>
          <w:trHeight w:val="576" w:hRule="atLeast"/>
          <w:tblHeader w:val="0"/>
        </w:trPr>
        <w:tc>
          <w:tcPr>
            <w:vAlign w:val="center"/>
          </w:tcPr>
          <w:p w:rsidR="00000000" w:rsidDel="00000000" w:rsidP="00000000" w:rsidRDefault="00000000" w:rsidRPr="00000000" w14:paraId="00000100">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User_Success_Rate</w:t>
            </w:r>
          </w:p>
        </w:tc>
        <w:tc>
          <w:tcPr>
            <w:vAlign w:val="center"/>
          </w:tcPr>
          <w:p w:rsidR="00000000" w:rsidDel="00000000" w:rsidP="00000000" w:rsidRDefault="00000000" w:rsidRPr="00000000" w14:paraId="00000101">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8,558</w:t>
            </w:r>
          </w:p>
        </w:tc>
        <w:tc>
          <w:tcPr>
            <w:vAlign w:val="center"/>
          </w:tcPr>
          <w:p w:rsidR="00000000" w:rsidDel="00000000" w:rsidP="00000000" w:rsidRDefault="00000000" w:rsidRPr="00000000" w14:paraId="00000102">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0.48</w:t>
            </w:r>
          </w:p>
        </w:tc>
        <w:tc>
          <w:tcPr>
            <w:vAlign w:val="center"/>
          </w:tcPr>
          <w:p w:rsidR="00000000" w:rsidDel="00000000" w:rsidP="00000000" w:rsidRDefault="00000000" w:rsidRPr="00000000" w14:paraId="00000103">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0.34</w:t>
            </w:r>
          </w:p>
        </w:tc>
        <w:tc>
          <w:tcPr>
            <w:vAlign w:val="center"/>
          </w:tcPr>
          <w:p w:rsidR="00000000" w:rsidDel="00000000" w:rsidP="00000000" w:rsidRDefault="00000000" w:rsidRPr="00000000" w14:paraId="00000104">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w:t>
            </w:r>
          </w:p>
        </w:tc>
        <w:tc>
          <w:tcPr>
            <w:vAlign w:val="center"/>
          </w:tcPr>
          <w:p w:rsidR="00000000" w:rsidDel="00000000" w:rsidP="00000000" w:rsidRDefault="00000000" w:rsidRPr="00000000" w14:paraId="00000105">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0.22</w:t>
            </w:r>
          </w:p>
        </w:tc>
        <w:tc>
          <w:tcPr>
            <w:vAlign w:val="center"/>
          </w:tcPr>
          <w:p w:rsidR="00000000" w:rsidDel="00000000" w:rsidP="00000000" w:rsidRDefault="00000000" w:rsidRPr="00000000" w14:paraId="00000106">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0.49</w:t>
            </w:r>
          </w:p>
        </w:tc>
        <w:tc>
          <w:tcPr>
            <w:vAlign w:val="center"/>
          </w:tcPr>
          <w:p w:rsidR="00000000" w:rsidDel="00000000" w:rsidP="00000000" w:rsidRDefault="00000000" w:rsidRPr="00000000" w14:paraId="00000107">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0.69</w:t>
            </w:r>
          </w:p>
        </w:tc>
        <w:tc>
          <w:tcPr>
            <w:vAlign w:val="center"/>
          </w:tcPr>
          <w:p w:rsidR="00000000" w:rsidDel="00000000" w:rsidP="00000000" w:rsidRDefault="00000000" w:rsidRPr="00000000" w14:paraId="00000108">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c>
          <w:tcPr>
            <w:vAlign w:val="center"/>
          </w:tcPr>
          <w:p w:rsidR="00000000" w:rsidDel="00000000" w:rsidP="00000000" w:rsidRDefault="00000000" w:rsidRPr="00000000" w14:paraId="00000109">
            <w:pPr>
              <w:tabs>
                <w:tab w:val="left" w:leader="none" w:pos="0"/>
                <w:tab w:val="left" w:leader="none" w:pos="270"/>
                <w:tab w:val="left" w:leader="none" w:pos="1530"/>
              </w:tabs>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1.00</w:t>
            </w:r>
          </w:p>
        </w:tc>
      </w:tr>
    </w:tbl>
    <w:p w:rsidR="00000000" w:rsidDel="00000000" w:rsidP="00000000" w:rsidRDefault="00000000" w:rsidRPr="00000000" w14:paraId="0000010A">
      <w:pPr>
        <w:jc w:val="both"/>
        <w:rPr>
          <w:rFonts w:ascii="Calibri" w:cs="Calibri" w:eastAsia="Calibri" w:hAnsi="Calibri"/>
          <w:b w:val="1"/>
          <w:sz w:val="10"/>
          <w:szCs w:val="10"/>
        </w:rPr>
      </w:pPr>
      <w:r w:rsidDel="00000000" w:rsidR="00000000" w:rsidRPr="00000000">
        <w:rPr>
          <w:rtl w:val="0"/>
        </w:rPr>
      </w:r>
    </w:p>
    <w:p w:rsidR="00000000" w:rsidDel="00000000" w:rsidP="00000000" w:rsidRDefault="00000000" w:rsidRPr="00000000" w14:paraId="0000010B">
      <w:pPr>
        <w:jc w:val="both"/>
        <w:rPr>
          <w:rFonts w:ascii="Calibri" w:cs="Calibri" w:eastAsia="Calibri" w:hAnsi="Calibri"/>
          <w:b w:val="1"/>
          <w:sz w:val="10"/>
          <w:szCs w:val="10"/>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Visualization:</w:t>
      </w:r>
      <w:r w:rsidDel="00000000" w:rsidR="00000000" w:rsidRPr="00000000">
        <w:rPr>
          <w:rtl w:val="0"/>
        </w:rPr>
      </w:r>
    </w:p>
    <w:p w:rsidR="00000000" w:rsidDel="00000000" w:rsidP="00000000" w:rsidRDefault="00000000" w:rsidRPr="00000000" w14:paraId="0000010D">
      <w:pPr>
        <w:ind w:left="360" w:firstLine="0"/>
        <w:jc w:val="both"/>
        <w:rPr>
          <w:rFonts w:ascii="Calibri" w:cs="Calibri" w:eastAsia="Calibri" w:hAnsi="Calibri"/>
        </w:rPr>
      </w:pPr>
      <w:r w:rsidDel="00000000" w:rsidR="00000000" w:rsidRPr="00000000">
        <w:rPr>
          <w:rFonts w:ascii="Calibri" w:cs="Calibri" w:eastAsia="Calibri" w:hAnsi="Calibri"/>
          <w:b w:val="1"/>
          <w:rtl w:val="0"/>
        </w:rPr>
        <w:t xml:space="preserve">Distribution of Signup_to_Apply_Days:</w:t>
      </w:r>
      <w:r w:rsidDel="00000000" w:rsidR="00000000" w:rsidRPr="00000000">
        <w:rPr>
          <w:rFonts w:ascii="Calibri" w:cs="Calibri" w:eastAsia="Calibri" w:hAnsi="Calibri"/>
          <w:rtl w:val="0"/>
        </w:rPr>
        <w:t xml:space="preserve"> Most learners apply relatively quickly after signing up, as evidenced by the high concentration of data points near zero on the graph.</w:t>
      </w:r>
    </w:p>
    <w:p w:rsidR="00000000" w:rsidDel="00000000" w:rsidP="00000000" w:rsidRDefault="00000000" w:rsidRPr="00000000" w14:paraId="0000010E">
      <w:pPr>
        <w:jc w:val="center"/>
        <w:rPr>
          <w:rFonts w:ascii="Calibri" w:cs="Calibri" w:eastAsia="Calibri" w:hAnsi="Calibri"/>
        </w:rPr>
      </w:pPr>
      <w:r w:rsidDel="00000000" w:rsidR="00000000" w:rsidRPr="00000000">
        <w:rPr/>
        <w:drawing>
          <wp:inline distB="0" distT="0" distL="0" distR="0">
            <wp:extent cx="6834959" cy="3902978"/>
            <wp:effectExtent b="0" l="0" r="0" t="0"/>
            <wp:docPr id="214241446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834959" cy="390297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10">
      <w:pPr>
        <w:jc w:val="both"/>
        <w:rPr>
          <w:rFonts w:ascii="Calibri" w:cs="Calibri" w:eastAsia="Calibri" w:hAnsi="Calibri"/>
        </w:rPr>
      </w:pPr>
      <w:r w:rsidDel="00000000" w:rsidR="00000000" w:rsidRPr="00000000">
        <w:rPr>
          <w:rFonts w:ascii="Calibri" w:cs="Calibri" w:eastAsia="Calibri" w:hAnsi="Calibri"/>
          <w:b w:val="1"/>
          <w:rtl w:val="0"/>
        </w:rPr>
        <w:t xml:space="preserve">Distribution of Quick_Applicant:</w:t>
      </w:r>
      <w:r w:rsidDel="00000000" w:rsidR="00000000" w:rsidRPr="00000000">
        <w:rPr>
          <w:rFonts w:ascii="Calibri" w:cs="Calibri" w:eastAsia="Calibri" w:hAnsi="Calibri"/>
          <w:rtl w:val="0"/>
        </w:rPr>
        <w:t xml:space="preserve"> The number of quick applicants (value 1) is nearly equal to those who are not (value 0).</w:t>
      </w:r>
    </w:p>
    <w:p w:rsidR="00000000" w:rsidDel="00000000" w:rsidP="00000000" w:rsidRDefault="00000000" w:rsidRPr="00000000" w14:paraId="00000111">
      <w:pPr>
        <w:jc w:val="center"/>
        <w:rPr>
          <w:rFonts w:ascii="Calibri" w:cs="Calibri" w:eastAsia="Calibri" w:hAnsi="Calibri"/>
        </w:rPr>
      </w:pPr>
      <w:r w:rsidDel="00000000" w:rsidR="00000000" w:rsidRPr="00000000">
        <w:rPr/>
        <w:drawing>
          <wp:inline distB="0" distT="0" distL="0" distR="0">
            <wp:extent cx="4859475" cy="3207251"/>
            <wp:effectExtent b="0" l="0" r="0" t="0"/>
            <wp:docPr id="214241447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59475" cy="3207251"/>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b w:val="1"/>
          <w:rtl w:val="0"/>
        </w:rPr>
        <w:t xml:space="preserve">Distribution of Late_Applicant:</w:t>
      </w:r>
      <w:r w:rsidDel="00000000" w:rsidR="00000000" w:rsidRPr="00000000">
        <w:rPr>
          <w:rFonts w:ascii="Calibri" w:cs="Calibri" w:eastAsia="Calibri" w:hAnsi="Calibri"/>
          <w:rtl w:val="0"/>
        </w:rPr>
        <w:t xml:space="preserve"> There are significantly more non-late applicants (value 0) than late applicants (value 1).</w:t>
      </w:r>
    </w:p>
    <w:p w:rsidR="00000000" w:rsidDel="00000000" w:rsidP="00000000" w:rsidRDefault="00000000" w:rsidRPr="00000000" w14:paraId="00000113">
      <w:pPr>
        <w:jc w:val="center"/>
        <w:rPr>
          <w:rFonts w:ascii="Calibri" w:cs="Calibri" w:eastAsia="Calibri" w:hAnsi="Calibri"/>
        </w:rPr>
      </w:pPr>
      <w:r w:rsidDel="00000000" w:rsidR="00000000" w:rsidRPr="00000000">
        <w:rPr/>
        <w:drawing>
          <wp:inline distB="0" distT="0" distL="0" distR="0">
            <wp:extent cx="5727321" cy="3415938"/>
            <wp:effectExtent b="0" l="0" r="0" t="0"/>
            <wp:docPr id="214241446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27321" cy="341593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rPr/>
      </w:pPr>
      <w:r w:rsidDel="00000000" w:rsidR="00000000" w:rsidRPr="00000000">
        <w:rPr>
          <w:b w:val="1"/>
          <w:rtl w:val="0"/>
        </w:rPr>
        <w:t xml:space="preserve">Churn Distribution:</w:t>
      </w:r>
      <w:r w:rsidDel="00000000" w:rsidR="00000000" w:rsidRPr="00000000">
        <w:rPr>
          <w:rtl w:val="0"/>
        </w:rPr>
        <w:t xml:space="preserve"> More users are retained (value 0) than churned (value 1).</w:t>
      </w:r>
    </w:p>
    <w:p w:rsidR="00000000" w:rsidDel="00000000" w:rsidP="00000000" w:rsidRDefault="00000000" w:rsidRPr="00000000" w14:paraId="00000116">
      <w:pPr>
        <w:jc w:val="center"/>
        <w:rPr>
          <w:rFonts w:ascii="Calibri" w:cs="Calibri" w:eastAsia="Calibri" w:hAnsi="Calibri"/>
        </w:rPr>
      </w:pPr>
      <w:r w:rsidDel="00000000" w:rsidR="00000000" w:rsidRPr="00000000">
        <w:rPr/>
        <w:drawing>
          <wp:inline distB="0" distT="0" distL="0" distR="0">
            <wp:extent cx="4829752" cy="3534138"/>
            <wp:effectExtent b="0" l="0" r="0" t="0"/>
            <wp:docPr id="2142414472" name="image7.png"/>
            <a:graphic>
              <a:graphicData uri="http://schemas.openxmlformats.org/drawingml/2006/picture">
                <pic:pic>
                  <pic:nvPicPr>
                    <pic:cNvPr id="0" name="image7.png"/>
                    <pic:cNvPicPr preferRelativeResize="0"/>
                  </pic:nvPicPr>
                  <pic:blipFill>
                    <a:blip r:embed="rId11"/>
                    <a:srcRect b="0" l="0" r="0" t="1389"/>
                    <a:stretch>
                      <a:fillRect/>
                    </a:stretch>
                  </pic:blipFill>
                  <pic:spPr>
                    <a:xfrm>
                      <a:off x="0" y="0"/>
                      <a:ext cx="4829752" cy="353413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b w:val="1"/>
          <w:rtl w:val="0"/>
        </w:rPr>
        <w:t xml:space="preserve">Churn by Gender:</w:t>
      </w:r>
      <w:r w:rsidDel="00000000" w:rsidR="00000000" w:rsidRPr="00000000">
        <w:rPr>
          <w:rFonts w:ascii="Calibri" w:cs="Calibri" w:eastAsia="Calibri" w:hAnsi="Calibri"/>
          <w:rtl w:val="0"/>
        </w:rPr>
        <w:t xml:space="preserve"> Male learners have a higher count of both retained and churned users compared to other genders.</w:t>
      </w:r>
    </w:p>
    <w:p w:rsidR="00000000" w:rsidDel="00000000" w:rsidP="00000000" w:rsidRDefault="00000000" w:rsidRPr="00000000" w14:paraId="00000118">
      <w:pPr>
        <w:jc w:val="center"/>
        <w:rPr>
          <w:rFonts w:ascii="Calibri" w:cs="Calibri" w:eastAsia="Calibri" w:hAnsi="Calibri"/>
        </w:rPr>
      </w:pPr>
      <w:r w:rsidDel="00000000" w:rsidR="00000000" w:rsidRPr="00000000">
        <w:rPr/>
        <w:drawing>
          <wp:inline distB="0" distT="0" distL="0" distR="0">
            <wp:extent cx="5134850" cy="3333884"/>
            <wp:effectExtent b="0" l="0" r="0" t="0"/>
            <wp:docPr id="214241447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34850" cy="3333884"/>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b w:val="1"/>
          <w:rtl w:val="0"/>
        </w:rPr>
        <w:t xml:space="preserve">Churn by Region:</w:t>
      </w:r>
      <w:r w:rsidDel="00000000" w:rsidR="00000000" w:rsidRPr="00000000">
        <w:rPr>
          <w:rtl w:val="0"/>
        </w:rPr>
        <w:t xml:space="preserve"> Learners in North America and South Asia have the highest counts of both retained and churned users.</w:t>
      </w:r>
    </w:p>
    <w:p w:rsidR="00000000" w:rsidDel="00000000" w:rsidP="00000000" w:rsidRDefault="00000000" w:rsidRPr="00000000" w14:paraId="0000011A">
      <w:pPr>
        <w:jc w:val="center"/>
        <w:rPr/>
      </w:pPr>
      <w:r w:rsidDel="00000000" w:rsidR="00000000" w:rsidRPr="00000000">
        <w:rPr/>
        <w:drawing>
          <wp:inline distB="0" distT="0" distL="0" distR="0">
            <wp:extent cx="4875785" cy="3594234"/>
            <wp:effectExtent b="0" l="0" r="0" t="0"/>
            <wp:docPr id="214241447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875785" cy="3594234"/>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b w:val="1"/>
          <w:rtl w:val="0"/>
        </w:rPr>
        <w:t xml:space="preserve">Churn by Age Group:</w:t>
      </w:r>
      <w:r w:rsidDel="00000000" w:rsidR="00000000" w:rsidRPr="00000000">
        <w:rPr>
          <w:rFonts w:ascii="Calibri" w:cs="Calibri" w:eastAsia="Calibri" w:hAnsi="Calibri"/>
          <w:rtl w:val="0"/>
        </w:rPr>
        <w:t xml:space="preserve"> Young adults show the highest numbers of both retained and churned while senior age groups show significantly lower churn rates.</w:t>
      </w:r>
    </w:p>
    <w:p w:rsidR="00000000" w:rsidDel="00000000" w:rsidP="00000000" w:rsidRDefault="00000000" w:rsidRPr="00000000" w14:paraId="0000011C">
      <w:pPr>
        <w:jc w:val="center"/>
        <w:rPr>
          <w:rFonts w:ascii="Calibri" w:cs="Calibri" w:eastAsia="Calibri" w:hAnsi="Calibri"/>
        </w:rPr>
      </w:pPr>
      <w:r w:rsidDel="00000000" w:rsidR="00000000" w:rsidRPr="00000000">
        <w:rPr/>
        <w:drawing>
          <wp:inline distB="0" distT="0" distL="0" distR="0">
            <wp:extent cx="4962525" cy="3400425"/>
            <wp:effectExtent b="0" l="0" r="0" t="0"/>
            <wp:docPr id="214241447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96252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b w:val="1"/>
          <w:rtl w:val="0"/>
        </w:rPr>
        <w:t xml:space="preserve">Average Engagement Score by Churn Status:</w:t>
      </w:r>
      <w:r w:rsidDel="00000000" w:rsidR="00000000" w:rsidRPr="00000000">
        <w:rPr>
          <w:rFonts w:ascii="Calibri" w:cs="Calibri" w:eastAsia="Calibri" w:hAnsi="Calibri"/>
          <w:rtl w:val="0"/>
        </w:rPr>
        <w:t xml:space="preserve"> Retained learners have a significantly higher average engagement score than churned learners.</w:t>
      </w:r>
    </w:p>
    <w:p w:rsidR="00000000" w:rsidDel="00000000" w:rsidP="00000000" w:rsidRDefault="00000000" w:rsidRPr="00000000" w14:paraId="0000011F">
      <w:pPr>
        <w:jc w:val="center"/>
        <w:rPr>
          <w:rFonts w:ascii="Calibri" w:cs="Calibri" w:eastAsia="Calibri" w:hAnsi="Calibri"/>
        </w:rPr>
      </w:pPr>
      <w:r w:rsidDel="00000000" w:rsidR="00000000" w:rsidRPr="00000000">
        <w:rPr/>
        <w:drawing>
          <wp:inline distB="0" distT="0" distL="0" distR="0">
            <wp:extent cx="4524238" cy="3061771"/>
            <wp:effectExtent b="0" l="0" r="0" t="0"/>
            <wp:docPr id="214241447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524238" cy="306177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Calibri" w:cs="Calibri" w:eastAsia="Calibri" w:hAnsi="Calibri"/>
        </w:rPr>
      </w:pPr>
      <w:r w:rsidDel="00000000" w:rsidR="00000000" w:rsidRPr="00000000">
        <w:rPr>
          <w:b w:val="1"/>
          <w:rtl w:val="0"/>
        </w:rPr>
        <w:t xml:space="preserve">Average Applications per User by Churn Status:</w:t>
      </w:r>
      <w:r w:rsidDel="00000000" w:rsidR="00000000" w:rsidRPr="00000000">
        <w:rPr>
          <w:rtl w:val="0"/>
        </w:rPr>
        <w:t xml:space="preserve"> Churned users have a higher average number of applications per user than retained users.</w:t>
      </w:r>
      <w:r w:rsidDel="00000000" w:rsidR="00000000" w:rsidRPr="00000000">
        <w:rPr>
          <w:rtl w:val="0"/>
        </w:rPr>
      </w:r>
    </w:p>
    <w:p w:rsidR="00000000" w:rsidDel="00000000" w:rsidP="00000000" w:rsidRDefault="00000000" w:rsidRPr="00000000" w14:paraId="00000121">
      <w:pPr>
        <w:jc w:val="center"/>
        <w:rPr>
          <w:rFonts w:ascii="Calibri" w:cs="Calibri" w:eastAsia="Calibri" w:hAnsi="Calibri"/>
        </w:rPr>
      </w:pPr>
      <w:r w:rsidDel="00000000" w:rsidR="00000000" w:rsidRPr="00000000">
        <w:rPr/>
        <w:drawing>
          <wp:inline distB="0" distT="0" distL="0" distR="0">
            <wp:extent cx="4933950" cy="3400425"/>
            <wp:effectExtent b="0" l="0" r="0" t="0"/>
            <wp:docPr id="214241447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93395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4. Predictive Modeling</w:t>
      </w:r>
    </w:p>
    <w:p w:rsidR="00000000" w:rsidDel="00000000" w:rsidP="00000000" w:rsidRDefault="00000000" w:rsidRPr="00000000" w14:paraId="000001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Model Selection:</w:t>
      </w:r>
    </w:p>
    <w:p w:rsidR="00000000" w:rsidDel="00000000" w:rsidP="00000000" w:rsidRDefault="00000000" w:rsidRPr="00000000" w14:paraId="00000124">
      <w:pPr>
        <w:jc w:val="both"/>
        <w:rPr>
          <w:rFonts w:ascii="Calibri" w:cs="Calibri" w:eastAsia="Calibri" w:hAnsi="Calibri"/>
        </w:rPr>
      </w:pPr>
      <w:r w:rsidDel="00000000" w:rsidR="00000000" w:rsidRPr="00000000">
        <w:rPr>
          <w:rFonts w:ascii="Calibri" w:cs="Calibri" w:eastAsia="Calibri" w:hAnsi="Calibri"/>
          <w:rtl w:val="0"/>
        </w:rPr>
        <w:t xml:space="preserve">We applied five machine learning models </w:t>
      </w:r>
      <w:r w:rsidDel="00000000" w:rsidR="00000000" w:rsidRPr="00000000">
        <w:rPr>
          <w:rtl w:val="0"/>
        </w:rPr>
        <w:t xml:space="preserve">Logistic Regression, Support Vector Machine (SVM), Random Forest, Gradient Boosting, and XGBoost</w:t>
      </w:r>
      <w:r w:rsidDel="00000000" w:rsidR="00000000" w:rsidRPr="00000000">
        <w:rPr>
          <w:rFonts w:ascii="Calibri" w:cs="Calibri" w:eastAsia="Calibri" w:hAnsi="Calibri"/>
          <w:rtl w:val="0"/>
        </w:rPr>
        <w:t xml:space="preserve"> to predict student churn. Each model was trained on engineered behavioral features and evaluated using accuracy, precision, recall, and F1-score. While all models performed well, </w:t>
      </w:r>
      <w:r w:rsidDel="00000000" w:rsidR="00000000" w:rsidRPr="00000000">
        <w:rPr>
          <w:b w:val="1"/>
          <w:rtl w:val="0"/>
        </w:rPr>
        <w:t xml:space="preserve">Gradient Boosting</w:t>
      </w:r>
      <w:r w:rsidDel="00000000" w:rsidR="00000000" w:rsidRPr="00000000">
        <w:rPr>
          <w:rFonts w:ascii="Calibri" w:cs="Calibri" w:eastAsia="Calibri" w:hAnsi="Calibri"/>
          <w:rtl w:val="0"/>
        </w:rPr>
        <w:t xml:space="preserve"> achieved the highest overall F1-score and demonstrated strong balance between precision and recall. Therefore, Gradient Boosting was selected as the preferred model for churn prediction.</w:t>
      </w:r>
    </w:p>
    <w:p w:rsidR="00000000" w:rsidDel="00000000" w:rsidP="00000000" w:rsidRDefault="00000000" w:rsidRPr="00000000" w14:paraId="000001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Model Training:</w:t>
      </w:r>
    </w:p>
    <w:p w:rsidR="00000000" w:rsidDel="00000000" w:rsidP="00000000" w:rsidRDefault="00000000" w:rsidRPr="00000000" w14:paraId="0000012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Dataset size: 8,558 learners, with a churn rate of 31.81 %.</w:t>
      </w:r>
    </w:p>
    <w:p w:rsidR="00000000" w:rsidDel="00000000" w:rsidP="00000000" w:rsidRDefault="00000000" w:rsidRPr="00000000" w14:paraId="000001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split: 80% training (6,846 learners) and 20% testing (1,712 learners), stratified to preserve churn distribution.</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SMOTE applied to handle class imbalance.</w:t>
      </w:r>
    </w:p>
    <w:p w:rsidR="00000000" w:rsidDel="00000000" w:rsidP="00000000" w:rsidRDefault="00000000" w:rsidRPr="00000000" w14:paraId="000001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StandardScaler applied for models sensitive to scaling.</w:t>
      </w:r>
    </w:p>
    <w:p w:rsidR="00000000" w:rsidDel="00000000" w:rsidP="00000000" w:rsidRDefault="00000000" w:rsidRPr="00000000" w14:paraId="000001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Performance Metrics:</w:t>
      </w:r>
    </w:p>
    <w:tbl>
      <w:tblPr>
        <w:tblStyle w:val="Table2"/>
        <w:tblW w:w="9445.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A0"/>
      </w:tblPr>
      <w:tblGrid>
        <w:gridCol w:w="2096"/>
        <w:gridCol w:w="1229"/>
        <w:gridCol w:w="1170"/>
        <w:gridCol w:w="1080"/>
        <w:gridCol w:w="1260"/>
        <w:gridCol w:w="2610"/>
        <w:tblGridChange w:id="0">
          <w:tblGrid>
            <w:gridCol w:w="2096"/>
            <w:gridCol w:w="1229"/>
            <w:gridCol w:w="1170"/>
            <w:gridCol w:w="1080"/>
            <w:gridCol w:w="1260"/>
            <w:gridCol w:w="2610"/>
          </w:tblGrid>
        </w:tblGridChange>
      </w:tblGrid>
      <w:tr>
        <w:trPr>
          <w:cantSplit w:val="0"/>
          <w:trHeight w:val="576" w:hRule="atLeast"/>
          <w:tblHeader w:val="0"/>
        </w:trPr>
        <w:tc>
          <w:tcPr/>
          <w:p w:rsidR="00000000" w:rsidDel="00000000" w:rsidP="00000000" w:rsidRDefault="00000000" w:rsidRPr="00000000" w14:paraId="0000012B">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Model</w:t>
            </w:r>
          </w:p>
        </w:tc>
        <w:tc>
          <w:tcPr/>
          <w:p w:rsidR="00000000" w:rsidDel="00000000" w:rsidP="00000000" w:rsidRDefault="00000000" w:rsidRPr="00000000" w14:paraId="0000012C">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Accuracy</w:t>
            </w:r>
          </w:p>
        </w:tc>
        <w:tc>
          <w:tcPr/>
          <w:p w:rsidR="00000000" w:rsidDel="00000000" w:rsidP="00000000" w:rsidRDefault="00000000" w:rsidRPr="00000000" w14:paraId="0000012D">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Precision</w:t>
            </w:r>
          </w:p>
        </w:tc>
        <w:tc>
          <w:tcPr/>
          <w:p w:rsidR="00000000" w:rsidDel="00000000" w:rsidP="00000000" w:rsidRDefault="00000000" w:rsidRPr="00000000" w14:paraId="0000012E">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Recall</w:t>
            </w:r>
          </w:p>
        </w:tc>
        <w:tc>
          <w:tcPr/>
          <w:p w:rsidR="00000000" w:rsidDel="00000000" w:rsidP="00000000" w:rsidRDefault="00000000" w:rsidRPr="00000000" w14:paraId="0000012F">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F1-score</w:t>
            </w:r>
          </w:p>
        </w:tc>
        <w:tc>
          <w:tcPr/>
          <w:p w:rsidR="00000000" w:rsidDel="00000000" w:rsidP="00000000" w:rsidRDefault="00000000" w:rsidRPr="00000000" w14:paraId="00000130">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Confusion Matrix</w:t>
            </w:r>
          </w:p>
        </w:tc>
      </w:tr>
      <w:tr>
        <w:trPr>
          <w:cantSplit w:val="0"/>
          <w:trHeight w:val="576" w:hRule="atLeast"/>
          <w:tblHeader w:val="0"/>
        </w:trPr>
        <w:tc>
          <w:tcPr/>
          <w:p w:rsidR="00000000" w:rsidDel="00000000" w:rsidP="00000000" w:rsidRDefault="00000000" w:rsidRPr="00000000" w14:paraId="00000131">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Logistic Regression</w:t>
            </w:r>
          </w:p>
        </w:tc>
        <w:tc>
          <w:tcPr/>
          <w:p w:rsidR="00000000" w:rsidDel="00000000" w:rsidP="00000000" w:rsidRDefault="00000000" w:rsidRPr="00000000" w14:paraId="00000132">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0.7669</w:t>
            </w:r>
          </w:p>
        </w:tc>
        <w:tc>
          <w:tcPr/>
          <w:p w:rsidR="00000000" w:rsidDel="00000000" w:rsidP="00000000" w:rsidRDefault="00000000" w:rsidRPr="00000000" w14:paraId="00000133">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0.5986</w:t>
            </w:r>
          </w:p>
        </w:tc>
        <w:tc>
          <w:tcPr/>
          <w:p w:rsidR="00000000" w:rsidDel="00000000" w:rsidP="00000000" w:rsidRDefault="00000000" w:rsidRPr="00000000" w14:paraId="00000134">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0.8128</w:t>
            </w:r>
          </w:p>
        </w:tc>
        <w:tc>
          <w:tcPr/>
          <w:p w:rsidR="00000000" w:rsidDel="00000000" w:rsidP="00000000" w:rsidRDefault="00000000" w:rsidRPr="00000000" w14:paraId="00000135">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0.6895</w:t>
            </w:r>
          </w:p>
        </w:tc>
        <w:tc>
          <w:tcPr/>
          <w:p w:rsidR="00000000" w:rsidDel="00000000" w:rsidP="00000000" w:rsidRDefault="00000000" w:rsidRPr="00000000" w14:paraId="00000136">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[[870, 297], [102, 443]]</w:t>
            </w:r>
          </w:p>
        </w:tc>
      </w:tr>
      <w:tr>
        <w:trPr>
          <w:cantSplit w:val="0"/>
          <w:trHeight w:val="576" w:hRule="atLeast"/>
          <w:tblHeader w:val="0"/>
        </w:trPr>
        <w:tc>
          <w:tcPr/>
          <w:p w:rsidR="00000000" w:rsidDel="00000000" w:rsidP="00000000" w:rsidRDefault="00000000" w:rsidRPr="00000000" w14:paraId="00000137">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SVM</w:t>
            </w:r>
          </w:p>
        </w:tc>
        <w:tc>
          <w:tcPr/>
          <w:p w:rsidR="00000000" w:rsidDel="00000000" w:rsidP="00000000" w:rsidRDefault="00000000" w:rsidRPr="00000000" w14:paraId="00000138">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0.8768</w:t>
            </w:r>
          </w:p>
        </w:tc>
        <w:tc>
          <w:tcPr/>
          <w:p w:rsidR="00000000" w:rsidDel="00000000" w:rsidP="00000000" w:rsidRDefault="00000000" w:rsidRPr="00000000" w14:paraId="00000139">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0.7930</w:t>
            </w:r>
          </w:p>
        </w:tc>
        <w:tc>
          <w:tcPr/>
          <w:p w:rsidR="00000000" w:rsidDel="00000000" w:rsidP="00000000" w:rsidRDefault="00000000" w:rsidRPr="00000000" w14:paraId="0000013A">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0.8294</w:t>
            </w:r>
          </w:p>
        </w:tc>
        <w:tc>
          <w:tcPr/>
          <w:p w:rsidR="00000000" w:rsidDel="00000000" w:rsidP="00000000" w:rsidRDefault="00000000" w:rsidRPr="00000000" w14:paraId="0000013B">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0.8108</w:t>
            </w:r>
          </w:p>
        </w:tc>
        <w:tc>
          <w:tcPr/>
          <w:p w:rsidR="00000000" w:rsidDel="00000000" w:rsidP="00000000" w:rsidRDefault="00000000" w:rsidRPr="00000000" w14:paraId="0000013C">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[[1049, 118], [93, 452]]</w:t>
            </w:r>
          </w:p>
        </w:tc>
      </w:tr>
      <w:tr>
        <w:trPr>
          <w:cantSplit w:val="0"/>
          <w:trHeight w:val="576" w:hRule="atLeast"/>
          <w:tblHeader w:val="0"/>
        </w:trPr>
        <w:tc>
          <w:tcPr/>
          <w:p w:rsidR="00000000" w:rsidDel="00000000" w:rsidP="00000000" w:rsidRDefault="00000000" w:rsidRPr="00000000" w14:paraId="0000013D">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Random Forest</w:t>
            </w:r>
          </w:p>
        </w:tc>
        <w:tc>
          <w:tcPr/>
          <w:p w:rsidR="00000000" w:rsidDel="00000000" w:rsidP="00000000" w:rsidRDefault="00000000" w:rsidRPr="00000000" w14:paraId="0000013E">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0.8984</w:t>
            </w:r>
          </w:p>
        </w:tc>
        <w:tc>
          <w:tcPr/>
          <w:p w:rsidR="00000000" w:rsidDel="00000000" w:rsidP="00000000" w:rsidRDefault="00000000" w:rsidRPr="00000000" w14:paraId="0000013F">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0.8354</w:t>
            </w:r>
          </w:p>
        </w:tc>
        <w:tc>
          <w:tcPr/>
          <w:p w:rsidR="00000000" w:rsidDel="00000000" w:rsidP="00000000" w:rsidRDefault="00000000" w:rsidRPr="00000000" w14:paraId="00000140">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0.8477</w:t>
            </w:r>
          </w:p>
        </w:tc>
        <w:tc>
          <w:tcPr/>
          <w:p w:rsidR="00000000" w:rsidDel="00000000" w:rsidP="00000000" w:rsidRDefault="00000000" w:rsidRPr="00000000" w14:paraId="00000141">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0.8415</w:t>
            </w:r>
          </w:p>
        </w:tc>
        <w:tc>
          <w:tcPr/>
          <w:p w:rsidR="00000000" w:rsidDel="00000000" w:rsidP="00000000" w:rsidRDefault="00000000" w:rsidRPr="00000000" w14:paraId="00000142">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[[1076, 91], [83, 462]]</w:t>
            </w:r>
          </w:p>
        </w:tc>
      </w:tr>
      <w:tr>
        <w:trPr>
          <w:cantSplit w:val="0"/>
          <w:trHeight w:val="576" w:hRule="atLeast"/>
          <w:tblHeader w:val="0"/>
        </w:trPr>
        <w:tc>
          <w:tcPr/>
          <w:p w:rsidR="00000000" w:rsidDel="00000000" w:rsidP="00000000" w:rsidRDefault="00000000" w:rsidRPr="00000000" w14:paraId="00000143">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Gradient Boosting</w:t>
            </w:r>
          </w:p>
        </w:tc>
        <w:tc>
          <w:tcPr/>
          <w:p w:rsidR="00000000" w:rsidDel="00000000" w:rsidP="00000000" w:rsidRDefault="00000000" w:rsidRPr="00000000" w14:paraId="00000144">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0.9100</w:t>
            </w:r>
          </w:p>
        </w:tc>
        <w:tc>
          <w:tcPr/>
          <w:p w:rsidR="00000000" w:rsidDel="00000000" w:rsidP="00000000" w:rsidRDefault="00000000" w:rsidRPr="00000000" w14:paraId="00000145">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0.8436</w:t>
            </w:r>
          </w:p>
        </w:tc>
        <w:tc>
          <w:tcPr/>
          <w:p w:rsidR="00000000" w:rsidDel="00000000" w:rsidP="00000000" w:rsidRDefault="00000000" w:rsidRPr="00000000" w14:paraId="00000146">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0.8807</w:t>
            </w:r>
          </w:p>
        </w:tc>
        <w:tc>
          <w:tcPr/>
          <w:p w:rsidR="00000000" w:rsidDel="00000000" w:rsidP="00000000" w:rsidRDefault="00000000" w:rsidRPr="00000000" w14:paraId="00000147">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0.8618</w:t>
            </w:r>
          </w:p>
        </w:tc>
        <w:tc>
          <w:tcPr/>
          <w:p w:rsidR="00000000" w:rsidDel="00000000" w:rsidP="00000000" w:rsidRDefault="00000000" w:rsidRPr="00000000" w14:paraId="00000148">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[[1078, 89], [65, 480]]</w:t>
            </w:r>
          </w:p>
        </w:tc>
      </w:tr>
      <w:tr>
        <w:trPr>
          <w:cantSplit w:val="0"/>
          <w:trHeight w:val="576" w:hRule="atLeast"/>
          <w:tblHeader w:val="0"/>
        </w:trPr>
        <w:tc>
          <w:tcPr/>
          <w:p w:rsidR="00000000" w:rsidDel="00000000" w:rsidP="00000000" w:rsidRDefault="00000000" w:rsidRPr="00000000" w14:paraId="00000149">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XGBoost</w:t>
            </w:r>
          </w:p>
        </w:tc>
        <w:tc>
          <w:tcPr/>
          <w:p w:rsidR="00000000" w:rsidDel="00000000" w:rsidP="00000000" w:rsidRDefault="00000000" w:rsidRPr="00000000" w14:paraId="0000014A">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0.9077</w:t>
            </w:r>
          </w:p>
        </w:tc>
        <w:tc>
          <w:tcPr/>
          <w:p w:rsidR="00000000" w:rsidDel="00000000" w:rsidP="00000000" w:rsidRDefault="00000000" w:rsidRPr="00000000" w14:paraId="0000014B">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0.8377</w:t>
            </w:r>
          </w:p>
        </w:tc>
        <w:tc>
          <w:tcPr/>
          <w:p w:rsidR="00000000" w:rsidDel="00000000" w:rsidP="00000000" w:rsidRDefault="00000000" w:rsidRPr="00000000" w14:paraId="0000014C">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0.8807</w:t>
            </w:r>
          </w:p>
        </w:tc>
        <w:tc>
          <w:tcPr/>
          <w:p w:rsidR="00000000" w:rsidDel="00000000" w:rsidP="00000000" w:rsidRDefault="00000000" w:rsidRPr="00000000" w14:paraId="0000014D">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0.8587</w:t>
            </w:r>
          </w:p>
        </w:tc>
        <w:tc>
          <w:tcPr/>
          <w:p w:rsidR="00000000" w:rsidDel="00000000" w:rsidP="00000000" w:rsidRDefault="00000000" w:rsidRPr="00000000" w14:paraId="0000014E">
            <w:pPr>
              <w:tabs>
                <w:tab w:val="left" w:leader="none" w:pos="900"/>
              </w:tabs>
              <w:spacing w:after="160" w:line="360" w:lineRule="auto"/>
              <w:rPr>
                <w:rFonts w:ascii="Calibri" w:cs="Calibri" w:eastAsia="Calibri" w:hAnsi="Calibri"/>
              </w:rPr>
            </w:pPr>
            <w:r w:rsidDel="00000000" w:rsidR="00000000" w:rsidRPr="00000000">
              <w:rPr>
                <w:rFonts w:ascii="Calibri" w:cs="Calibri" w:eastAsia="Calibri" w:hAnsi="Calibri"/>
                <w:rtl w:val="0"/>
              </w:rPr>
              <w:t xml:space="preserve">[[1074, 93], [65, 480]]</w:t>
            </w:r>
          </w:p>
        </w:tc>
      </w:tr>
    </w:tbl>
    <w:p w:rsidR="00000000" w:rsidDel="00000000" w:rsidP="00000000" w:rsidRDefault="00000000" w:rsidRPr="00000000" w14:paraId="0000014F">
      <w:pPr>
        <w:tabs>
          <w:tab w:val="left" w:leader="none" w:pos="900"/>
        </w:tabs>
        <w:spacing w:line="360" w:lineRule="auto"/>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Feature Importance:</w:t>
      </w:r>
    </w:p>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The top features of student churn are:</w:t>
      </w:r>
    </w:p>
    <w:tbl>
      <w:tblPr>
        <w:tblStyle w:val="Table3"/>
        <w:tblW w:w="6835.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A0"/>
      </w:tblPr>
      <w:tblGrid>
        <w:gridCol w:w="715"/>
        <w:gridCol w:w="3780"/>
        <w:gridCol w:w="2340"/>
        <w:tblGridChange w:id="0">
          <w:tblGrid>
            <w:gridCol w:w="715"/>
            <w:gridCol w:w="3780"/>
            <w:gridCol w:w="2340"/>
          </w:tblGrid>
        </w:tblGridChange>
      </w:tblGrid>
      <w:tr>
        <w:trPr>
          <w:cantSplit w:val="0"/>
          <w:trHeight w:val="432" w:hRule="atLeast"/>
          <w:tblHeader w:val="0"/>
        </w:trPr>
        <w:tc>
          <w:tcPr/>
          <w:p w:rsidR="00000000" w:rsidDel="00000000" w:rsidP="00000000" w:rsidRDefault="00000000" w:rsidRPr="00000000" w14:paraId="00000152">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No.</w:t>
            </w:r>
          </w:p>
        </w:tc>
        <w:tc>
          <w:tcPr/>
          <w:p w:rsidR="00000000" w:rsidDel="00000000" w:rsidP="00000000" w:rsidRDefault="00000000" w:rsidRPr="00000000" w14:paraId="00000153">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Feature</w:t>
            </w:r>
          </w:p>
        </w:tc>
        <w:tc>
          <w:tcPr/>
          <w:p w:rsidR="00000000" w:rsidDel="00000000" w:rsidP="00000000" w:rsidRDefault="00000000" w:rsidRPr="00000000" w14:paraId="00000154">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Importance</w:t>
            </w:r>
          </w:p>
        </w:tc>
      </w:tr>
      <w:tr>
        <w:trPr>
          <w:cantSplit w:val="0"/>
          <w:trHeight w:val="432" w:hRule="atLeast"/>
          <w:tblHeader w:val="0"/>
        </w:trPr>
        <w:tc>
          <w:tcPr/>
          <w:p w:rsidR="00000000" w:rsidDel="00000000" w:rsidP="00000000" w:rsidRDefault="00000000" w:rsidRPr="00000000" w14:paraId="00000155">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56">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Signup_to_Apply_Days</w:t>
            </w:r>
          </w:p>
        </w:tc>
        <w:tc>
          <w:tcPr/>
          <w:p w:rsidR="00000000" w:rsidDel="00000000" w:rsidP="00000000" w:rsidRDefault="00000000" w:rsidRPr="00000000" w14:paraId="00000157">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0.413958</w:t>
            </w:r>
          </w:p>
        </w:tc>
      </w:tr>
      <w:tr>
        <w:trPr>
          <w:cantSplit w:val="0"/>
          <w:trHeight w:val="432" w:hRule="atLeast"/>
          <w:tblHeader w:val="0"/>
        </w:trPr>
        <w:tc>
          <w:tcPr/>
          <w:p w:rsidR="00000000" w:rsidDel="00000000" w:rsidP="00000000" w:rsidRDefault="00000000" w:rsidRPr="00000000" w14:paraId="00000158">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59">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Course_Duration_Days</w:t>
            </w:r>
          </w:p>
        </w:tc>
        <w:tc>
          <w:tcPr/>
          <w:p w:rsidR="00000000" w:rsidDel="00000000" w:rsidP="00000000" w:rsidRDefault="00000000" w:rsidRPr="00000000" w14:paraId="0000015A">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0.362709</w:t>
            </w:r>
          </w:p>
        </w:tc>
      </w:tr>
      <w:tr>
        <w:trPr>
          <w:cantSplit w:val="0"/>
          <w:trHeight w:val="432" w:hRule="atLeast"/>
          <w:tblHeader w:val="0"/>
        </w:trPr>
        <w:tc>
          <w:tcPr/>
          <w:p w:rsidR="00000000" w:rsidDel="00000000" w:rsidP="00000000" w:rsidRDefault="00000000" w:rsidRPr="00000000" w14:paraId="0000015B">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5C">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Region_Normalized_Applications</w:t>
            </w:r>
          </w:p>
        </w:tc>
        <w:tc>
          <w:tcPr/>
          <w:p w:rsidR="00000000" w:rsidDel="00000000" w:rsidP="00000000" w:rsidRDefault="00000000" w:rsidRPr="00000000" w14:paraId="0000015D">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0.103350</w:t>
            </w:r>
          </w:p>
        </w:tc>
      </w:tr>
      <w:tr>
        <w:trPr>
          <w:cantSplit w:val="0"/>
          <w:trHeight w:val="432" w:hRule="atLeast"/>
          <w:tblHeader w:val="0"/>
        </w:trPr>
        <w:tc>
          <w:tcPr/>
          <w:p w:rsidR="00000000" w:rsidDel="00000000" w:rsidP="00000000" w:rsidRDefault="00000000" w:rsidRPr="00000000" w14:paraId="0000015E">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15F">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Opportunity_Popularity</w:t>
            </w:r>
          </w:p>
        </w:tc>
        <w:tc>
          <w:tcPr/>
          <w:p w:rsidR="00000000" w:rsidDel="00000000" w:rsidP="00000000" w:rsidRDefault="00000000" w:rsidRPr="00000000" w14:paraId="00000160">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0.094250</w:t>
            </w:r>
          </w:p>
        </w:tc>
      </w:tr>
      <w:tr>
        <w:trPr>
          <w:cantSplit w:val="0"/>
          <w:trHeight w:val="432" w:hRule="atLeast"/>
          <w:tblHeader w:val="0"/>
        </w:trPr>
        <w:tc>
          <w:tcPr/>
          <w:p w:rsidR="00000000" w:rsidDel="00000000" w:rsidP="00000000" w:rsidRDefault="00000000" w:rsidRPr="00000000" w14:paraId="00000161">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162">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Quick_Applicant</w:t>
            </w:r>
          </w:p>
        </w:tc>
        <w:tc>
          <w:tcPr/>
          <w:p w:rsidR="00000000" w:rsidDel="00000000" w:rsidP="00000000" w:rsidRDefault="00000000" w:rsidRPr="00000000" w14:paraId="00000163">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0.025632</w:t>
            </w:r>
          </w:p>
        </w:tc>
      </w:tr>
      <w:tr>
        <w:trPr>
          <w:cantSplit w:val="0"/>
          <w:trHeight w:val="432" w:hRule="atLeast"/>
          <w:tblHeader w:val="0"/>
        </w:trPr>
        <w:tc>
          <w:tcPr/>
          <w:p w:rsidR="00000000" w:rsidDel="00000000" w:rsidP="00000000" w:rsidRDefault="00000000" w:rsidRPr="00000000" w14:paraId="00000164">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165">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Late_Applicant</w:t>
            </w:r>
          </w:p>
        </w:tc>
        <w:tc>
          <w:tcPr/>
          <w:p w:rsidR="00000000" w:rsidDel="00000000" w:rsidP="00000000" w:rsidRDefault="00000000" w:rsidRPr="00000000" w14:paraId="00000166">
            <w:pPr>
              <w:spacing w:after="160" w:line="278.00000000000006" w:lineRule="auto"/>
              <w:rPr>
                <w:rFonts w:ascii="Calibri" w:cs="Calibri" w:eastAsia="Calibri" w:hAnsi="Calibri"/>
              </w:rPr>
            </w:pPr>
            <w:r w:rsidDel="00000000" w:rsidR="00000000" w:rsidRPr="00000000">
              <w:rPr>
                <w:rFonts w:ascii="Calibri" w:cs="Calibri" w:eastAsia="Calibri" w:hAnsi="Calibri"/>
                <w:rtl w:val="0"/>
              </w:rPr>
              <w:t xml:space="preserve">0.000100</w:t>
            </w:r>
          </w:p>
        </w:tc>
      </w:tr>
    </w:tbl>
    <w:p w:rsidR="00000000" w:rsidDel="00000000" w:rsidP="00000000" w:rsidRDefault="00000000" w:rsidRPr="00000000" w14:paraId="00000167">
      <w:pPr>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168">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5. Churn Analysis</w:t>
      </w:r>
    </w:p>
    <w:p w:rsidR="00000000" w:rsidDel="00000000" w:rsidP="00000000" w:rsidRDefault="00000000" w:rsidRPr="00000000" w14:paraId="000001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Methodology</w:t>
      </w:r>
    </w:p>
    <w:p w:rsidR="00000000" w:rsidDel="00000000" w:rsidP="00000000" w:rsidRDefault="00000000" w:rsidRPr="00000000" w14:paraId="0000016A">
      <w:pPr>
        <w:jc w:val="both"/>
        <w:rPr/>
      </w:pPr>
      <w:r w:rsidDel="00000000" w:rsidR="00000000" w:rsidRPr="00000000">
        <w:rPr>
          <w:rtl w:val="0"/>
        </w:rPr>
        <w:t xml:space="preserve">To accurately identify churned learners, we employed a data-driven approach combining unsupervised clustering and rule-based logic to capture multiple disengagement patterns.</w:t>
      </w:r>
    </w:p>
    <w:p w:rsidR="00000000" w:rsidDel="00000000" w:rsidP="00000000" w:rsidRDefault="00000000" w:rsidRPr="00000000" w14:paraId="0000016B">
      <w:pPr>
        <w:rPr/>
      </w:pPr>
      <w:r w:rsidDel="00000000" w:rsidR="00000000" w:rsidRPr="00000000">
        <w:rPr>
          <w:b w:val="1"/>
          <w:rtl w:val="0"/>
        </w:rPr>
        <w:t xml:space="preserve">Establishing Behavioral Baselines with KMeans</w:t>
      </w: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We used K-Means clustering (n_clusters=2) on four key behavioral features to algorithmically determine natural thresholds between engaged and disengaged users. The midpoint between cluster centroids was used as the threshold for each feature:</w:t>
      </w:r>
    </w:p>
    <w:p w:rsidR="00000000" w:rsidDel="00000000" w:rsidP="00000000" w:rsidRDefault="00000000" w:rsidRPr="00000000" w14:paraId="0000016D">
      <w:pPr>
        <w:numPr>
          <w:ilvl w:val="0"/>
          <w:numId w:val="6"/>
        </w:numPr>
        <w:ind w:left="720" w:hanging="360"/>
        <w:rPr/>
      </w:pPr>
      <w:r w:rsidDel="00000000" w:rsidR="00000000" w:rsidRPr="00000000">
        <w:rPr>
          <w:rtl w:val="0"/>
        </w:rPr>
        <w:t xml:space="preserve">Engagement_Score: 0.3613</w:t>
      </w:r>
    </w:p>
    <w:p w:rsidR="00000000" w:rsidDel="00000000" w:rsidP="00000000" w:rsidRDefault="00000000" w:rsidRPr="00000000" w14:paraId="0000016E">
      <w:pPr>
        <w:numPr>
          <w:ilvl w:val="0"/>
          <w:numId w:val="6"/>
        </w:numPr>
        <w:ind w:left="720" w:hanging="360"/>
        <w:rPr/>
      </w:pPr>
      <w:r w:rsidDel="00000000" w:rsidR="00000000" w:rsidRPr="00000000">
        <w:rPr>
          <w:rtl w:val="0"/>
        </w:rPr>
        <w:t xml:space="preserve">Applications_per_User: 21.91</w:t>
      </w:r>
    </w:p>
    <w:p w:rsidR="00000000" w:rsidDel="00000000" w:rsidP="00000000" w:rsidRDefault="00000000" w:rsidRPr="00000000" w14:paraId="0000016F">
      <w:pPr>
        <w:numPr>
          <w:ilvl w:val="0"/>
          <w:numId w:val="6"/>
        </w:numPr>
        <w:ind w:left="720" w:hanging="360"/>
        <w:rPr/>
      </w:pPr>
      <w:r w:rsidDel="00000000" w:rsidR="00000000" w:rsidRPr="00000000">
        <w:rPr>
          <w:rtl w:val="0"/>
        </w:rPr>
        <w:t xml:space="preserve">User_Success_Rate: 0.4680</w:t>
      </w:r>
    </w:p>
    <w:p w:rsidR="00000000" w:rsidDel="00000000" w:rsidP="00000000" w:rsidRDefault="00000000" w:rsidRPr="00000000" w14:paraId="00000170">
      <w:pPr>
        <w:numPr>
          <w:ilvl w:val="0"/>
          <w:numId w:val="6"/>
        </w:numPr>
        <w:ind w:left="720" w:hanging="360"/>
        <w:rPr/>
      </w:pPr>
      <w:r w:rsidDel="00000000" w:rsidR="00000000" w:rsidRPr="00000000">
        <w:rPr>
          <w:rtl w:val="0"/>
        </w:rPr>
        <w:t xml:space="preserve">Apply_vs_Start_Gap: –147.46 days</w:t>
      </w:r>
    </w:p>
    <w:p w:rsidR="00000000" w:rsidDel="00000000" w:rsidP="00000000" w:rsidRDefault="00000000" w:rsidRPr="00000000" w14:paraId="00000171">
      <w:pPr>
        <w:rPr/>
      </w:pPr>
      <w:r w:rsidDel="00000000" w:rsidR="00000000" w:rsidRPr="00000000">
        <w:rPr>
          <w:rtl w:val="0"/>
        </w:rPr>
        <w:t xml:space="preserve">These thresholds represent data-driven benchmarks to identify atypical behavior.</w:t>
      </w:r>
    </w:p>
    <w:p w:rsidR="00000000" w:rsidDel="00000000" w:rsidP="00000000" w:rsidRDefault="00000000" w:rsidRPr="00000000" w14:paraId="00000172">
      <w:pPr>
        <w:rPr/>
      </w:pPr>
      <w:r w:rsidDel="00000000" w:rsidR="00000000" w:rsidRPr="00000000">
        <w:rPr>
          <w:b w:val="1"/>
          <w:rtl w:val="0"/>
        </w:rPr>
        <w:t xml:space="preserve">Rule-Based Churn Labeling</w:t>
      </w: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A learner was classified as churned (Churned = 1) if they met any of the following five conditions, each designed to capture a distinct disengagement phenotype:</w:t>
      </w:r>
    </w:p>
    <w:p w:rsidR="00000000" w:rsidDel="00000000" w:rsidP="00000000" w:rsidRDefault="00000000" w:rsidRPr="00000000" w14:paraId="00000174">
      <w:pPr>
        <w:numPr>
          <w:ilvl w:val="0"/>
          <w:numId w:val="7"/>
        </w:numPr>
        <w:ind w:left="720" w:hanging="360"/>
        <w:rPr/>
      </w:pPr>
      <w:r w:rsidDel="00000000" w:rsidR="00000000" w:rsidRPr="00000000">
        <w:rPr>
          <w:rtl w:val="0"/>
        </w:rPr>
        <w:t xml:space="preserve">Low/No Engagement:</w:t>
        <w:br w:type="textWrapping"/>
        <w:t xml:space="preserve">Engagement_score below 80% of the threshold OR pre-labeled ‘Low’ engagement level.</w:t>
      </w:r>
    </w:p>
    <w:p w:rsidR="00000000" w:rsidDel="00000000" w:rsidP="00000000" w:rsidRDefault="00000000" w:rsidRPr="00000000" w14:paraId="00000175">
      <w:pPr>
        <w:numPr>
          <w:ilvl w:val="0"/>
          <w:numId w:val="7"/>
        </w:numPr>
        <w:ind w:left="720" w:hanging="360"/>
        <w:rPr/>
      </w:pPr>
      <w:r w:rsidDel="00000000" w:rsidR="00000000" w:rsidRPr="00000000">
        <w:rPr>
          <w:rtl w:val="0"/>
        </w:rPr>
        <w:t xml:space="preserve">Unsuccessful High Effort:</w:t>
        <w:br w:type="textWrapping"/>
        <w:t xml:space="preserve">High application volume (&gt;120% of threshold) coupled with low success rate (&lt;80% of threshold).</w:t>
      </w:r>
    </w:p>
    <w:p w:rsidR="00000000" w:rsidDel="00000000" w:rsidP="00000000" w:rsidRDefault="00000000" w:rsidRPr="00000000" w14:paraId="00000176">
      <w:pPr>
        <w:numPr>
          <w:ilvl w:val="0"/>
          <w:numId w:val="7"/>
        </w:numPr>
        <w:ind w:left="720" w:hanging="360"/>
        <w:rPr/>
      </w:pPr>
      <w:r w:rsidDel="00000000" w:rsidR="00000000" w:rsidRPr="00000000">
        <w:rPr>
          <w:rtl w:val="0"/>
        </w:rPr>
        <w:t xml:space="preserve">One-and-Done Users:</w:t>
        <w:br w:type="textWrapping"/>
        <w:t xml:space="preserve">Applied only once and showed very low engagement (&lt;70% of threshold).</w:t>
      </w:r>
    </w:p>
    <w:p w:rsidR="00000000" w:rsidDel="00000000" w:rsidP="00000000" w:rsidRDefault="00000000" w:rsidRPr="00000000" w14:paraId="00000177">
      <w:pPr>
        <w:numPr>
          <w:ilvl w:val="0"/>
          <w:numId w:val="7"/>
        </w:numPr>
        <w:ind w:left="720" w:hanging="360"/>
        <w:rPr/>
      </w:pPr>
      <w:r w:rsidDel="00000000" w:rsidR="00000000" w:rsidRPr="00000000">
        <w:rPr>
          <w:rtl w:val="0"/>
        </w:rPr>
        <w:t xml:space="preserve">Early Dropouts:</w:t>
        <w:br w:type="textWrapping"/>
        <w:t xml:space="preserve">Left a course long before start (gap &lt;120% of threshold) without success.</w:t>
      </w:r>
    </w:p>
    <w:p w:rsidR="00000000" w:rsidDel="00000000" w:rsidP="00000000" w:rsidRDefault="00000000" w:rsidRPr="00000000" w14:paraId="00000178">
      <w:pPr>
        <w:numPr>
          <w:ilvl w:val="0"/>
          <w:numId w:val="7"/>
        </w:numPr>
        <w:ind w:left="720" w:hanging="360"/>
        <w:rPr/>
      </w:pPr>
      <w:r w:rsidDel="00000000" w:rsidR="00000000" w:rsidRPr="00000000">
        <w:rPr>
          <w:rtl w:val="0"/>
        </w:rPr>
        <w:t xml:space="preserve">Persistent Failure:</w:t>
        <w:br w:type="textWrapping"/>
        <w:t xml:space="preserve">High application volume with very low success rate—repeated attempts without achievement.</w:t>
      </w:r>
    </w:p>
    <w:p w:rsidR="00000000" w:rsidDel="00000000" w:rsidP="00000000" w:rsidRDefault="00000000" w:rsidRPr="00000000" w14:paraId="00000179">
      <w:pPr>
        <w:jc w:val="both"/>
        <w:rPr>
          <w:rFonts w:ascii="Calibri" w:cs="Calibri" w:eastAsia="Calibri" w:hAnsi="Calibri"/>
        </w:rPr>
      </w:pPr>
      <w:r w:rsidDel="00000000" w:rsidR="00000000" w:rsidRPr="00000000">
        <w:rPr>
          <w:b w:val="1"/>
          <w:rtl w:val="0"/>
        </w:rPr>
        <w:t xml:space="preserve">Result: </w:t>
      </w:r>
      <w:r w:rsidDel="00000000" w:rsidR="00000000" w:rsidRPr="00000000">
        <w:rPr>
          <w:rtl w:val="0"/>
        </w:rPr>
        <w:t xml:space="preserve">This method identified </w:t>
      </w:r>
      <w:r w:rsidDel="00000000" w:rsidR="00000000" w:rsidRPr="00000000">
        <w:rPr>
          <w:b w:val="1"/>
          <w:rtl w:val="0"/>
        </w:rPr>
        <w:t xml:space="preserve">31.81%</w:t>
      </w:r>
      <w:r w:rsidDel="00000000" w:rsidR="00000000" w:rsidRPr="00000000">
        <w:rPr>
          <w:rtl w:val="0"/>
        </w:rPr>
        <w:t xml:space="preserve"> of learners as churned.</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Key Factors:</w:t>
      </w:r>
    </w:p>
    <w:p w:rsidR="00000000" w:rsidDel="00000000" w:rsidP="00000000" w:rsidRDefault="00000000" w:rsidRPr="00000000" w14:paraId="000001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Signup-to-Apply Delay: The time a learner takes between signing up and submitting their first application. </w:t>
      </w:r>
    </w:p>
    <w:p w:rsidR="00000000" w:rsidDel="00000000" w:rsidP="00000000" w:rsidRDefault="00000000" w:rsidRPr="00000000" w14:paraId="0000017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Course Duration: The total length of the course in days. Longer courses can overwhelm learners.</w:t>
      </w:r>
    </w:p>
    <w:p w:rsidR="00000000" w:rsidDel="00000000" w:rsidP="00000000" w:rsidRDefault="00000000" w:rsidRPr="00000000" w14:paraId="000001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Region-Normalized Applications: The number of applications submitted by learners in a region, normalized for regional differences.</w:t>
      </w:r>
    </w:p>
    <w:p w:rsidR="00000000" w:rsidDel="00000000" w:rsidP="00000000" w:rsidRDefault="00000000" w:rsidRPr="00000000" w14:paraId="000001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Opportunity Popularity: How popular or in-demand an opportunity is among learners. </w:t>
      </w:r>
    </w:p>
    <w:p w:rsidR="00000000" w:rsidDel="00000000" w:rsidP="00000000" w:rsidRDefault="00000000" w:rsidRPr="00000000" w14:paraId="000001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Quick Applicants: Learners who apply very soon after signing up without exploring options thoroughly. </w:t>
      </w:r>
    </w:p>
    <w:p w:rsidR="00000000" w:rsidDel="00000000" w:rsidP="00000000" w:rsidRDefault="00000000" w:rsidRPr="00000000" w14:paraId="000001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Late Applicants: Learners who delay applying for opportunities long after signing up. Delays often reflect indecision or lack of commitment.</w:t>
      </w:r>
    </w:p>
    <w:p w:rsidR="00000000" w:rsidDel="00000000" w:rsidP="00000000" w:rsidRDefault="00000000" w:rsidRPr="00000000" w14:paraId="000001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Impact Analysis:</w:t>
      </w:r>
    </w:p>
    <w:p w:rsidR="00000000" w:rsidDel="00000000" w:rsidP="00000000" w:rsidRDefault="00000000" w:rsidRPr="00000000" w14:paraId="0000018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Signup-to-Apply Delay: Learners who take longer after signup to apply are more likely to churn, indicating lack of initial motivation or poor onboarding.</w:t>
      </w:r>
    </w:p>
    <w:p w:rsidR="00000000" w:rsidDel="00000000" w:rsidP="00000000" w:rsidRDefault="00000000" w:rsidRPr="00000000" w14:paraId="0000018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Course Duration: Longer courses correlate with higher churn, as learners may feel overwhelmed or lose interest over time.</w:t>
      </w:r>
    </w:p>
    <w:p w:rsidR="00000000" w:rsidDel="00000000" w:rsidP="00000000" w:rsidRDefault="00000000" w:rsidRPr="00000000" w14:paraId="0000018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Region-Normalized Applications: Regional differences in application behavior affect churn; learners in some regions show consistently lower engagement.</w:t>
      </w:r>
    </w:p>
    <w:p w:rsidR="00000000" w:rsidDel="00000000" w:rsidP="00000000" w:rsidRDefault="00000000" w:rsidRPr="00000000" w14:paraId="0000018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Opportunity Popularity: Less popular opportunities have higher churn, showing learners prefer trending or competitive opportunities.</w:t>
      </w:r>
    </w:p>
    <w:p w:rsidR="00000000" w:rsidDel="00000000" w:rsidP="00000000" w:rsidRDefault="00000000" w:rsidRPr="00000000" w14:paraId="0000018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Quick Applicants: Learners who apply too quickly without exploring may churn later, suggesting impulsive behavior with low commitment.</w:t>
      </w:r>
    </w:p>
    <w:p w:rsidR="00000000" w:rsidDel="00000000" w:rsidP="00000000" w:rsidRDefault="00000000" w:rsidRPr="00000000" w14:paraId="0000018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Late Applicants: Delayed applicants tend to churn more, as they often fail to stay committed.</w:t>
      </w:r>
    </w:p>
    <w:p w:rsidR="00000000" w:rsidDel="00000000" w:rsidP="00000000" w:rsidRDefault="00000000" w:rsidRPr="00000000" w14:paraId="00000188">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6. Recommendations</w:t>
      </w:r>
    </w:p>
    <w:p w:rsidR="00000000" w:rsidDel="00000000" w:rsidP="00000000" w:rsidRDefault="00000000" w:rsidRPr="00000000" w14:paraId="00000189">
      <w:pPr>
        <w:rPr/>
      </w:pPr>
      <w:r w:rsidDel="00000000" w:rsidR="00000000" w:rsidRPr="00000000">
        <w:rPr>
          <w:rtl w:val="0"/>
        </w:rPr>
        <w:t xml:space="preserve">For Signup-to-Apply Delay:</w:t>
      </w:r>
    </w:p>
    <w:p w:rsidR="00000000" w:rsidDel="00000000" w:rsidP="00000000" w:rsidRDefault="00000000" w:rsidRPr="00000000" w14:paraId="0000018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Strategy: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Automate a multi-email onboarding sequence with a video tour and personalized opportunity suggestions to drive immediate action.</w:t>
      </w:r>
    </w:p>
    <w:p w:rsidR="00000000" w:rsidDel="00000000" w:rsidP="00000000" w:rsidRDefault="00000000" w:rsidRPr="00000000" w14:paraId="0000018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Intervention: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Trigger a mentor chat invitation for users who haven't applied within a week to overcome initial hesitation.</w:t>
      </w:r>
    </w:p>
    <w:p w:rsidR="00000000" w:rsidDel="00000000" w:rsidP="00000000" w:rsidRDefault="00000000" w:rsidRPr="00000000" w14:paraId="0000018C">
      <w:pPr>
        <w:rPr/>
      </w:pPr>
      <w:r w:rsidDel="00000000" w:rsidR="00000000" w:rsidRPr="00000000">
        <w:rPr>
          <w:rtl w:val="0"/>
        </w:rPr>
        <w:t xml:space="preserve">For Course Duration:</w:t>
      </w:r>
    </w:p>
    <w:p w:rsidR="00000000" w:rsidDel="00000000" w:rsidP="00000000" w:rsidRDefault="00000000" w:rsidRPr="00000000" w14:paraId="0000018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Strategy: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Restructure long courses into weekly modules, each with a micro-certificate, to prevent learner overwhelm.</w:t>
      </w:r>
    </w:p>
    <w:p w:rsidR="00000000" w:rsidDel="00000000" w:rsidP="00000000" w:rsidRDefault="00000000" w:rsidRPr="00000000" w14:paraId="0000018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Intervention: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Implement automated progress celebration nudges at each milestone to sustain motivation and momentum.</w:t>
      </w:r>
    </w:p>
    <w:p w:rsidR="00000000" w:rsidDel="00000000" w:rsidP="00000000" w:rsidRDefault="00000000" w:rsidRPr="00000000" w14:paraId="0000018F">
      <w:pPr>
        <w:rPr/>
      </w:pPr>
      <w:r w:rsidDel="00000000" w:rsidR="00000000" w:rsidRPr="00000000">
        <w:rPr>
          <w:rtl w:val="0"/>
        </w:rPr>
        <w:t xml:space="preserve">For Region-Normalized Applications:</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Strategy: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Develop region-specific content and community hubs to increase local relevance and engagement.</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Intervention: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Target users from low-engagement regions with localized banners promoting community forums and events.</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 Opportunity Popularity:</w:t>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Strategy: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Enhance the recommendation algorithm with collaborative filtering to surface trending and peer-approved opportunities.</w:t>
      </w:r>
    </w:p>
    <w:p w:rsidR="00000000" w:rsidDel="00000000" w:rsidP="00000000" w:rsidRDefault="00000000" w:rsidRPr="00000000" w14:paraId="000001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Intervention: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Redesign the dashboard to prominently feature "High-Success-Rate" and "Trending" sections to guide user discovery.</w:t>
      </w:r>
    </w:p>
    <w:p w:rsidR="00000000" w:rsidDel="00000000" w:rsidP="00000000" w:rsidRDefault="00000000" w:rsidRPr="00000000" w14:paraId="00000195">
      <w:pPr>
        <w:spacing w:line="360" w:lineRule="auto"/>
        <w:rPr/>
      </w:pPr>
      <w:r w:rsidDel="00000000" w:rsidR="00000000" w:rsidRPr="00000000">
        <w:rPr>
          <w:rtl w:val="0"/>
        </w:rPr>
        <w:t xml:space="preserve">For Quick Applicants:</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Strategy: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Improve early onboarding to ensure users understand the platform before applying.</w:t>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Intervention: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Serve a post-application modal guiding impulsive applicants to explore related opportunities, diversifying their choices.</w:t>
      </w:r>
    </w:p>
    <w:p w:rsidR="00000000" w:rsidDel="00000000" w:rsidP="00000000" w:rsidRDefault="00000000" w:rsidRPr="00000000" w14:paraId="00000198">
      <w:pPr>
        <w:rPr/>
      </w:pPr>
      <w:r w:rsidDel="00000000" w:rsidR="00000000" w:rsidRPr="00000000">
        <w:rPr>
          <w:rtl w:val="0"/>
        </w:rPr>
        <w:t xml:space="preserve">For Late Applicants:</w:t>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Strategy: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Use AI-driven prompts to re-engage users who show signs of indecision early in their journey.</w:t>
      </w:r>
    </w:p>
    <w:p w:rsidR="00000000" w:rsidDel="00000000" w:rsidP="00000000" w:rsidRDefault="00000000" w:rsidRPr="00000000" w14:paraId="000001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Intervention: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Send personalized reminders with deadline countdowns and curated opportunity lists to catalyze timely applications</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9B">
      <w:pP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7. Conclusion</w:t>
      </w:r>
    </w:p>
    <w:p w:rsidR="00000000" w:rsidDel="00000000" w:rsidP="00000000" w:rsidRDefault="00000000" w:rsidRPr="00000000" w14:paraId="000001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19D">
      <w:pPr>
        <w:jc w:val="both"/>
        <w:rPr>
          <w:rFonts w:ascii="Calibri" w:cs="Calibri" w:eastAsia="Calibri" w:hAnsi="Calibri"/>
        </w:rPr>
      </w:pPr>
      <w:r w:rsidDel="00000000" w:rsidR="00000000" w:rsidRPr="00000000">
        <w:rPr>
          <w:rFonts w:ascii="Calibri" w:cs="Calibri" w:eastAsia="Calibri" w:hAnsi="Calibri"/>
          <w:rtl w:val="0"/>
        </w:rPr>
        <w:t xml:space="preserve">This analysis successfully identified a 31.81% churn rate and its core drivers, with Signup-to-Apply Delay and Course Duration being the most significant predictors. The </w:t>
      </w:r>
      <w:r w:rsidDel="00000000" w:rsidR="00000000" w:rsidRPr="00000000">
        <w:rPr>
          <w:rFonts w:ascii="Calibri" w:cs="Calibri" w:eastAsia="Calibri" w:hAnsi="Calibri"/>
          <w:b w:val="1"/>
          <w:rtl w:val="0"/>
        </w:rPr>
        <w:t xml:space="preserve">Gradient Boosting</w:t>
      </w:r>
      <w:r w:rsidDel="00000000" w:rsidR="00000000" w:rsidRPr="00000000">
        <w:rPr>
          <w:rFonts w:ascii="Calibri" w:cs="Calibri" w:eastAsia="Calibri" w:hAnsi="Calibri"/>
          <w:rtl w:val="0"/>
        </w:rPr>
        <w:t xml:space="preserve"> model proved highly effective, accurately pinpointing at-risk learners and confirming that churn is driven by a combination of engagement intensity, learner intent, and opportunity relevance. The insights provide a robust data-driven foundation for shifting from a reactive to a proactive retention strategy.</w:t>
      </w:r>
    </w:p>
    <w:p w:rsidR="00000000" w:rsidDel="00000000" w:rsidP="00000000" w:rsidRDefault="00000000" w:rsidRPr="00000000" w14:paraId="000001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Future Work:</w:t>
      </w:r>
      <w:r w:rsidDel="00000000" w:rsidR="00000000" w:rsidRPr="00000000">
        <w:rPr>
          <w:rtl w:val="0"/>
        </w:rPr>
      </w:r>
    </w:p>
    <w:p w:rsidR="00000000" w:rsidDel="00000000" w:rsidP="00000000" w:rsidRDefault="00000000" w:rsidRPr="00000000" w14:paraId="0000019F">
      <w:pPr>
        <w:numPr>
          <w:ilvl w:val="0"/>
          <w:numId w:val="1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Monitor churn trends over time to capture evolving learner behaviors.</w:t>
      </w:r>
    </w:p>
    <w:p w:rsidR="00000000" w:rsidDel="00000000" w:rsidP="00000000" w:rsidRDefault="00000000" w:rsidRPr="00000000" w14:paraId="000001A0">
      <w:pPr>
        <w:numPr>
          <w:ilvl w:val="0"/>
          <w:numId w:val="1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Incorporate additional behavioral or engagement metrics to improve predictive accuracy.</w:t>
      </w:r>
    </w:p>
    <w:p w:rsidR="00000000" w:rsidDel="00000000" w:rsidP="00000000" w:rsidRDefault="00000000" w:rsidRPr="00000000" w14:paraId="000001A1">
      <w:pPr>
        <w:numPr>
          <w:ilvl w:val="0"/>
          <w:numId w:val="1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Evaluate the impact of implemented interventions and engagement strategies on retention.</w:t>
      </w:r>
    </w:p>
    <w:p w:rsidR="00000000" w:rsidDel="00000000" w:rsidP="00000000" w:rsidRDefault="00000000" w:rsidRPr="00000000" w14:paraId="000001A2">
      <w:pPr>
        <w:numPr>
          <w:ilvl w:val="0"/>
          <w:numId w:val="16"/>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Explore personalized recommendation systems and region-specific campaigns to further reduce churn.</w:t>
      </w:r>
    </w:p>
    <w:p w:rsidR="00000000" w:rsidDel="00000000" w:rsidP="00000000" w:rsidRDefault="00000000" w:rsidRPr="00000000" w14:paraId="000001A3">
      <w:pPr>
        <w:spacing w:line="240" w:lineRule="auto"/>
        <w:rPr>
          <w:rFonts w:ascii="Calibri" w:cs="Calibri" w:eastAsia="Calibri" w:hAnsi="Calibri"/>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b w:val="0"/>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262E6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62E6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62E6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62E6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62E6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62E6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62E6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62E6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62E6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62E6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62E6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62E6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62E6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62E6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62E6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62E6C"/>
    <w:rPr>
      <w:i w:val="1"/>
      <w:iCs w:val="1"/>
      <w:color w:val="404040" w:themeColor="text1" w:themeTint="0000BF"/>
    </w:rPr>
  </w:style>
  <w:style w:type="paragraph" w:styleId="ListParagraph">
    <w:name w:val="List Paragraph"/>
    <w:basedOn w:val="Normal"/>
    <w:uiPriority w:val="34"/>
    <w:qFormat w:val="1"/>
    <w:rsid w:val="00262E6C"/>
    <w:pPr>
      <w:ind w:left="720"/>
      <w:contextualSpacing w:val="1"/>
    </w:pPr>
  </w:style>
  <w:style w:type="character" w:styleId="IntenseEmphasis">
    <w:name w:val="Intense Emphasis"/>
    <w:basedOn w:val="DefaultParagraphFont"/>
    <w:uiPriority w:val="21"/>
    <w:qFormat w:val="1"/>
    <w:rsid w:val="00262E6C"/>
    <w:rPr>
      <w:i w:val="1"/>
      <w:iCs w:val="1"/>
      <w:color w:val="2f5496" w:themeColor="accent1" w:themeShade="0000BF"/>
    </w:rPr>
  </w:style>
  <w:style w:type="paragraph" w:styleId="IntenseQuote">
    <w:name w:val="Intense Quote"/>
    <w:basedOn w:val="Normal"/>
    <w:next w:val="Normal"/>
    <w:link w:val="IntenseQuoteChar"/>
    <w:uiPriority w:val="30"/>
    <w:qFormat w:val="1"/>
    <w:rsid w:val="00262E6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62E6C"/>
    <w:rPr>
      <w:i w:val="1"/>
      <w:iCs w:val="1"/>
      <w:color w:val="2f5496" w:themeColor="accent1" w:themeShade="0000BF"/>
    </w:rPr>
  </w:style>
  <w:style w:type="character" w:styleId="IntenseReference">
    <w:name w:val="Intense Reference"/>
    <w:basedOn w:val="DefaultParagraphFont"/>
    <w:uiPriority w:val="32"/>
    <w:qFormat w:val="1"/>
    <w:rsid w:val="00262E6C"/>
    <w:rPr>
      <w:b w:val="1"/>
      <w:bCs w:val="1"/>
      <w:smallCaps w:val="1"/>
      <w:color w:val="2f5496" w:themeColor="accent1" w:themeShade="0000BF"/>
      <w:spacing w:val="5"/>
    </w:rPr>
  </w:style>
  <w:style w:type="character" w:styleId="Hyperlink">
    <w:name w:val="Hyperlink"/>
    <w:basedOn w:val="DefaultParagraphFont"/>
    <w:uiPriority w:val="99"/>
    <w:unhideWhenUsed w:val="1"/>
    <w:rsid w:val="00262E6C"/>
    <w:rPr>
      <w:color w:val="0563c1" w:themeColor="hyperlink"/>
      <w:u w:val="single"/>
    </w:rPr>
  </w:style>
  <w:style w:type="character" w:styleId="UnresolvedMention">
    <w:name w:val="Unresolved Mention"/>
    <w:basedOn w:val="DefaultParagraphFont"/>
    <w:uiPriority w:val="99"/>
    <w:semiHidden w:val="1"/>
    <w:unhideWhenUsed w:val="1"/>
    <w:rsid w:val="00262E6C"/>
    <w:rPr>
      <w:color w:val="605e5c"/>
      <w:shd w:color="auto" w:fill="e1dfdd" w:val="clear"/>
    </w:rPr>
  </w:style>
  <w:style w:type="paragraph" w:styleId="NormalWeb">
    <w:name w:val="Normal (Web)"/>
    <w:basedOn w:val="Normal"/>
    <w:uiPriority w:val="99"/>
    <w:unhideWhenUsed w:val="1"/>
    <w:rsid w:val="00150FE4"/>
    <w:rPr>
      <w:rFonts w:ascii="Times New Roman" w:cs="Times New Roman" w:hAnsi="Times New Roman"/>
    </w:rPr>
  </w:style>
  <w:style w:type="table" w:styleId="GridTable4-Accent3">
    <w:name w:val="Grid Table 4 Accent 3"/>
    <w:basedOn w:val="TableNormal"/>
    <w:uiPriority w:val="49"/>
    <w:rsid w:val="00087740"/>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GridTable1Light-Accent3">
    <w:name w:val="Grid Table 1 Light Accent 3"/>
    <w:basedOn w:val="TableNormal"/>
    <w:uiPriority w:val="46"/>
    <w:rsid w:val="00087740"/>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character" w:styleId="Strong">
    <w:name w:val="Strong"/>
    <w:basedOn w:val="DefaultParagraphFont"/>
    <w:uiPriority w:val="22"/>
    <w:qFormat w:val="1"/>
    <w:rsid w:val="00740893"/>
    <w:rPr>
      <w:b w:val="1"/>
      <w:bCs w:val="1"/>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14.0" w:type="dxa"/>
        <w:left w:w="14.0" w:type="dxa"/>
        <w:bottom w:w="14.0" w:type="dxa"/>
        <w:right w:w="14.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lab.research.google.com/drive/1RJ5kLoNZNjHsgvq0nsiGxP2TKNrLU4j4?usp=sharing" TargetMode="Externa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1cRrSqr2xsUMix4S1UfkcHMGw==">CgMxLjA4AHIhMWNweG41T29PR1NVaG0zejdJbnIxNjNROVRHR3JXQXVo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2025-09-01T04:06:00Z</dcterms:created>
  <dc:creator>Sumaya Mateen</dc:creator>
</cp:coreProperties>
</file>