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744E" w14:textId="54C43987" w:rsidR="00A31AD2" w:rsidRDefault="00A31AD2" w:rsidP="00A31AD2">
      <w:r>
        <w:t xml:space="preserve">Title: Which poisoned patients require treatment in the intensive care unit? </w:t>
      </w:r>
      <w:r w:rsidR="0029635F">
        <w:t xml:space="preserve">External Validation </w:t>
      </w:r>
      <w:r>
        <w:t>of the INTOXICATE Clinical Decision Rule</w:t>
      </w:r>
    </w:p>
    <w:p w14:paraId="3E32FF3F" w14:textId="77777777" w:rsidR="00CC76F0" w:rsidRDefault="00CC76F0" w:rsidP="00A31AD2"/>
    <w:p w14:paraId="1ED310A0" w14:textId="314324D5" w:rsidR="00A31AD2" w:rsidRDefault="00CC76F0" w:rsidP="00A31AD2">
      <w:r>
        <w:t xml:space="preserve">Background: </w:t>
      </w:r>
      <w:r w:rsidR="00C233E0">
        <w:t xml:space="preserve">Approximately </w:t>
      </w:r>
      <w:r>
        <w:t xml:space="preserve">1 in </w:t>
      </w:r>
      <w:r w:rsidR="004F7F32">
        <w:t>10</w:t>
      </w:r>
      <w:r>
        <w:t xml:space="preserve"> poisoned patients in the United States is admitted to the Intensive Care or Stepdown </w:t>
      </w:r>
      <w:r w:rsidR="001232B4">
        <w:t>Units</w:t>
      </w:r>
      <w:r>
        <w:t xml:space="preserve"> (collectively, ICU)</w:t>
      </w:r>
      <w:r w:rsidR="00C47523">
        <w:t xml:space="preserve"> </w:t>
      </w:r>
      <w:r w:rsidR="007868DF">
        <w:t>for observation</w:t>
      </w:r>
      <w:r w:rsidR="00B520C1">
        <w:t xml:space="preserve">, </w:t>
      </w:r>
      <w:r w:rsidR="00AB699B">
        <w:t>meaning</w:t>
      </w:r>
      <w:r w:rsidR="007868DF">
        <w:t xml:space="preserve"> currently clinically stable but with</w:t>
      </w:r>
      <w:r w:rsidR="001232B4">
        <w:t xml:space="preserve"> anticipat</w:t>
      </w:r>
      <w:r w:rsidR="007868DF">
        <w:t>ed</w:t>
      </w:r>
      <w:r w:rsidR="001232B4">
        <w:t xml:space="preserve"> respiratory or cardiovascular collaps</w:t>
      </w:r>
      <w:r w:rsidR="007868DF">
        <w:t>e</w:t>
      </w:r>
      <w:r w:rsidR="00C47523">
        <w:t xml:space="preserve">. If we could predict which </w:t>
      </w:r>
      <w:r w:rsidR="00167DDF">
        <w:t xml:space="preserve">poisoned </w:t>
      </w:r>
      <w:r w:rsidR="00C47523">
        <w:t xml:space="preserve">patients will not </w:t>
      </w:r>
      <w:r w:rsidR="00B520C1">
        <w:t>decompensate,</w:t>
      </w:r>
      <w:r w:rsidR="00C47523">
        <w:t xml:space="preserve"> we </w:t>
      </w:r>
      <w:r w:rsidR="00FD56AD">
        <w:t>c</w:t>
      </w:r>
      <w:r w:rsidR="00C47523">
        <w:t>ould</w:t>
      </w:r>
      <w:r w:rsidR="00D512BE">
        <w:t xml:space="preserve"> simultaneously accelerate the care of some poisoned patients and improve ICU utilization. </w:t>
      </w:r>
      <w:r w:rsidR="001232B4">
        <w:t xml:space="preserve">INTOXICATE </w:t>
      </w:r>
      <w:r w:rsidR="00D512BE">
        <w:t>(ex-TOXIC-Europe study)</w:t>
      </w:r>
      <w:r w:rsidR="00D512BE">
        <w:t xml:space="preserve"> </w:t>
      </w:r>
      <w:r w:rsidR="001232B4">
        <w:t xml:space="preserve">is a clinical decision rule developed in the Netherlands to predict which poisoned patients will require ventilatory or hemodynamic support for </w:t>
      </w:r>
      <w:r w:rsidR="001232B4" w:rsidRPr="00A31AD2">
        <w:rPr>
          <w:rFonts w:ascii="Aptos" w:hAnsi="Aptos"/>
          <w:color w:val="000000"/>
        </w:rPr>
        <w:t>more</w:t>
      </w:r>
      <w:r w:rsidR="001232B4">
        <w:t xml:space="preserve"> than 24 hours. </w:t>
      </w:r>
      <w:r w:rsidR="00486BA2">
        <w:t xml:space="preserve">A retrospective study demonstrated that </w:t>
      </w:r>
      <w:r w:rsidR="001232B4">
        <w:t xml:space="preserve">INTOXICATE </w:t>
      </w:r>
      <w:r w:rsidR="00486BA2">
        <w:t xml:space="preserve">could have </w:t>
      </w:r>
      <w:r w:rsidR="001232B4">
        <w:t>decreased admissions to Dutch ICUs b</w:t>
      </w:r>
      <w:r w:rsidR="00486BA2">
        <w:t xml:space="preserve">y </w:t>
      </w:r>
      <w:r w:rsidR="001232B4">
        <w:t>3</w:t>
      </w:r>
      <w:r w:rsidR="00486BA2">
        <w:t>2</w:t>
      </w:r>
      <w:r w:rsidR="001232B4">
        <w:t xml:space="preserve">%. </w:t>
      </w:r>
      <w:r w:rsidR="00D512BE">
        <w:t>Our objective in this project is to</w:t>
      </w:r>
      <w:r w:rsidR="00E93EC7">
        <w:t xml:space="preserve"> determine the performance of INTOXICATE in the U.S</w:t>
      </w:r>
      <w:r w:rsidR="00D512BE">
        <w:t>.</w:t>
      </w:r>
      <w:r w:rsidR="00E93EC7">
        <w:t xml:space="preserve"> healthcare system.</w:t>
      </w:r>
    </w:p>
    <w:p w14:paraId="22319C2C" w14:textId="77777777" w:rsidR="00A31AD2" w:rsidRDefault="00A31AD2" w:rsidP="00A31AD2"/>
    <w:p w14:paraId="644119DA" w14:textId="6FA2FD03" w:rsidR="00A31AD2" w:rsidRDefault="00A31AD2" w:rsidP="00A31AD2">
      <w:r>
        <w:t>Methods: We conducted a</w:t>
      </w:r>
      <w:r w:rsidR="00CD36DE">
        <w:t xml:space="preserve"> retrospective </w:t>
      </w:r>
      <w:r w:rsidR="007868DF">
        <w:t>study</w:t>
      </w:r>
      <w:r w:rsidR="0029635F">
        <w:t xml:space="preserve"> of toxicology consultations from Jan 2023 to Apr 2024</w:t>
      </w:r>
      <w:r w:rsidR="00CD36DE">
        <w:t xml:space="preserve"> at one urban tertiary care center with a 24/7 bedside toxicology service.</w:t>
      </w:r>
      <w:r w:rsidR="007B3EA6">
        <w:t xml:space="preserve"> We used the methodology described by Brandenburg et al. (2017). </w:t>
      </w:r>
      <w:r>
        <w:t xml:space="preserve">Our outcome measure was the inter-rater reliability between the </w:t>
      </w:r>
      <w:r w:rsidR="00C90487">
        <w:t xml:space="preserve">INTOXICATE’s prediction disposition </w:t>
      </w:r>
      <w:r>
        <w:t xml:space="preserve">and the treating physician's decision. </w:t>
      </w:r>
      <w:r w:rsidR="000E65A1">
        <w:t xml:space="preserve">To detect an inter-rater reliability of at least 0.6 with power 0.8 and 95% </w:t>
      </w:r>
      <w:r w:rsidR="0053026B" w:rsidRPr="0053026B">
        <w:rPr>
          <w:rFonts w:ascii="Aptos" w:hAnsi="Aptos"/>
          <w:color w:val="000000"/>
        </w:rPr>
        <w:t>confidence,</w:t>
      </w:r>
      <w:r w:rsidR="000E65A1">
        <w:t xml:space="preserve"> we needed to include 94 patients.</w:t>
      </w:r>
      <w:r w:rsidR="000E65A1">
        <w:t xml:space="preserve"> </w:t>
      </w:r>
      <w:r w:rsidR="000C1AF2">
        <w:t xml:space="preserve">We </w:t>
      </w:r>
      <w:r w:rsidR="0053026B" w:rsidRPr="0053026B">
        <w:rPr>
          <w:rFonts w:ascii="Aptos" w:hAnsi="Aptos"/>
          <w:color w:val="000000"/>
        </w:rPr>
        <w:t>evaluated</w:t>
      </w:r>
      <w:r w:rsidR="000C1AF2">
        <w:t xml:space="preserve"> return visits by </w:t>
      </w:r>
      <w:r w:rsidR="00930BE2">
        <w:t xml:space="preserve">searching for encounters </w:t>
      </w:r>
      <w:r w:rsidR="000C1AF2">
        <w:t xml:space="preserve">throughout the health system affiliated with this medical center and with the local health information exchange </w:t>
      </w:r>
      <w:r w:rsidR="0053026B" w:rsidRPr="0053026B">
        <w:rPr>
          <w:rFonts w:ascii="Aptos" w:hAnsi="Aptos"/>
          <w:color w:val="000000"/>
        </w:rPr>
        <w:t>('</w:t>
      </w:r>
      <w:proofErr w:type="spellStart"/>
      <w:r w:rsidR="0053026B" w:rsidRPr="0053026B">
        <w:rPr>
          <w:rFonts w:ascii="Aptos" w:hAnsi="Aptos"/>
          <w:color w:val="000000"/>
        </w:rPr>
        <w:t>CareEverywhere</w:t>
      </w:r>
      <w:proofErr w:type="spellEnd"/>
      <w:r w:rsidR="0053026B" w:rsidRPr="0053026B">
        <w:rPr>
          <w:rFonts w:ascii="Aptos" w:hAnsi="Aptos"/>
          <w:color w:val="000000"/>
        </w:rPr>
        <w:t>').</w:t>
      </w:r>
      <w:r w:rsidR="000C1AF2">
        <w:t xml:space="preserve"> </w:t>
      </w:r>
      <w:r>
        <w:t xml:space="preserve">This study was </w:t>
      </w:r>
      <w:r w:rsidRPr="00A31AD2">
        <w:rPr>
          <w:rFonts w:ascii="Aptos" w:hAnsi="Aptos"/>
          <w:color w:val="000000"/>
        </w:rPr>
        <w:t>granted an</w:t>
      </w:r>
      <w:r>
        <w:t xml:space="preserve"> exemption from review by the Institutional Review Board.</w:t>
      </w:r>
      <w:r w:rsidR="00EF61B4">
        <w:t xml:space="preserve"> </w:t>
      </w:r>
    </w:p>
    <w:p w14:paraId="3089A02E" w14:textId="77777777" w:rsidR="00A31AD2" w:rsidRDefault="00A31AD2" w:rsidP="00A31AD2"/>
    <w:p w14:paraId="2AD2D257" w14:textId="505C0B60" w:rsidR="00A31AD2" w:rsidRDefault="00A31AD2" w:rsidP="00A31AD2">
      <w:r>
        <w:t xml:space="preserve">Results: </w:t>
      </w:r>
      <w:r w:rsidR="00950675" w:rsidRPr="00950675">
        <w:t>We included 112 patients aged 28.5 [16 to 43] years,</w:t>
      </w:r>
      <w:r w:rsidR="00567B2E">
        <w:t xml:space="preserve"> expressed as median [interquartile range];</w:t>
      </w:r>
      <w:r w:rsidR="00950675" w:rsidRPr="00950675">
        <w:t xml:space="preserve"> 46% male, 53% female. We excluded 2 patients </w:t>
      </w:r>
      <w:r w:rsidR="0053026B" w:rsidRPr="0053026B">
        <w:rPr>
          <w:rFonts w:ascii="Aptos" w:hAnsi="Aptos"/>
          <w:color w:val="000000"/>
        </w:rPr>
        <w:t>due to</w:t>
      </w:r>
      <w:r w:rsidR="0029635F">
        <w:t xml:space="preserve"> incomplete information</w:t>
      </w:r>
      <w:r w:rsidR="00950675" w:rsidRPr="00950675">
        <w:t>. Of the remaining 110 patients, 21</w:t>
      </w:r>
      <w:r w:rsidR="00924D69">
        <w:t xml:space="preserve"> (19%)</w:t>
      </w:r>
      <w:r w:rsidR="00950675" w:rsidRPr="00950675">
        <w:t xml:space="preserve"> were admitted to the ICU, 16</w:t>
      </w:r>
      <w:r w:rsidR="00924D69">
        <w:t xml:space="preserve"> (14%)</w:t>
      </w:r>
      <w:r w:rsidR="00950675" w:rsidRPr="00950675">
        <w:t xml:space="preserve"> to </w:t>
      </w:r>
      <w:r w:rsidR="00754A10">
        <w:t>a general medical</w:t>
      </w:r>
      <w:r w:rsidR="00950675" w:rsidRPr="00950675">
        <w:t xml:space="preserve"> floor, and 75 </w:t>
      </w:r>
      <w:r w:rsidR="0053026B" w:rsidRPr="0053026B">
        <w:rPr>
          <w:rFonts w:ascii="Aptos" w:hAnsi="Aptos"/>
          <w:color w:val="000000"/>
        </w:rPr>
        <w:t>(68%) were</w:t>
      </w:r>
      <w:r w:rsidR="00924D69">
        <w:t xml:space="preserve"> </w:t>
      </w:r>
      <w:r w:rsidR="00950675" w:rsidRPr="00950675">
        <w:t>discharged</w:t>
      </w:r>
      <w:r w:rsidR="00754A10">
        <w:t xml:space="preserve"> or transferred directly to psychiatry</w:t>
      </w:r>
      <w:r w:rsidR="00950675" w:rsidRPr="00950675">
        <w:t xml:space="preserve">. </w:t>
      </w:r>
      <w:r w:rsidR="006F4C27">
        <w:t xml:space="preserve">INTOXICATE recommended ICU admission for 14/21 (67%) of patients for whom the toxicologist </w:t>
      </w:r>
      <w:r w:rsidR="0053026B">
        <w:t xml:space="preserve">recommended </w:t>
      </w:r>
      <w:r w:rsidR="006F4C27">
        <w:t>ICU</w:t>
      </w:r>
      <w:r w:rsidR="0053026B">
        <w:t xml:space="preserve"> admission</w:t>
      </w:r>
      <w:r w:rsidR="00924D69">
        <w:t>,</w:t>
      </w:r>
      <w:r w:rsidR="00950675" w:rsidRPr="00950675">
        <w:t xml:space="preserve"> </w:t>
      </w:r>
      <w:r w:rsidR="00924D69">
        <w:t xml:space="preserve">ICU admission for </w:t>
      </w:r>
      <w:r w:rsidR="00950675" w:rsidRPr="00950675">
        <w:t xml:space="preserve">12 of </w:t>
      </w:r>
      <w:r w:rsidR="00360200">
        <w:t xml:space="preserve">the </w:t>
      </w:r>
      <w:r w:rsidR="00950675" w:rsidRPr="00950675">
        <w:t>16</w:t>
      </w:r>
      <w:r w:rsidR="00360200">
        <w:t xml:space="preserve"> (75%)</w:t>
      </w:r>
      <w:r w:rsidR="00950675" w:rsidRPr="00950675">
        <w:t xml:space="preserve"> patients </w:t>
      </w:r>
      <w:r w:rsidR="00924D69">
        <w:t xml:space="preserve">for whom </w:t>
      </w:r>
      <w:r w:rsidR="00950675" w:rsidRPr="00950675">
        <w:t>admi</w:t>
      </w:r>
      <w:r w:rsidR="00924D69">
        <w:t>ssion</w:t>
      </w:r>
      <w:r w:rsidR="00950675" w:rsidRPr="00950675">
        <w:t xml:space="preserve"> </w:t>
      </w:r>
      <w:r w:rsidR="0053026B">
        <w:t>the toxicologist recommended</w:t>
      </w:r>
      <w:r w:rsidR="00950675" w:rsidRPr="00950675">
        <w:t xml:space="preserve"> </w:t>
      </w:r>
      <w:r w:rsidR="00924D69">
        <w:t>a general medical</w:t>
      </w:r>
      <w:r w:rsidR="00950675" w:rsidRPr="00950675">
        <w:t xml:space="preserve"> floor</w:t>
      </w:r>
      <w:r w:rsidR="00924D69">
        <w:t xml:space="preserve">, and ICU admission for </w:t>
      </w:r>
      <w:r w:rsidR="00950675" w:rsidRPr="00950675">
        <w:t xml:space="preserve">and </w:t>
      </w:r>
      <w:r w:rsidR="00360200">
        <w:t>37</w:t>
      </w:r>
      <w:r w:rsidR="00950675" w:rsidRPr="00950675">
        <w:t xml:space="preserve"> of the 44 </w:t>
      </w:r>
      <w:r w:rsidR="00360200">
        <w:t xml:space="preserve">(84%) </w:t>
      </w:r>
      <w:r w:rsidR="00950675" w:rsidRPr="00950675">
        <w:t xml:space="preserve">patients </w:t>
      </w:r>
      <w:r w:rsidR="00924D69">
        <w:t xml:space="preserve">for whom the toxicologist recommended </w:t>
      </w:r>
      <w:r w:rsidR="00950675" w:rsidRPr="00950675">
        <w:t>discharge. No</w:t>
      </w:r>
      <w:r w:rsidR="00360200">
        <w:t xml:space="preserve"> patients </w:t>
      </w:r>
      <w:r w:rsidR="00924D69">
        <w:t xml:space="preserve">for whom toxicology recommended a floor admission were </w:t>
      </w:r>
      <w:r w:rsidR="00360200">
        <w:t>admitted to a floor</w:t>
      </w:r>
      <w:r w:rsidR="00924D69">
        <w:t xml:space="preserve"> and then</w:t>
      </w:r>
      <w:r w:rsidR="00950675" w:rsidRPr="00950675">
        <w:t xml:space="preserve"> transferred to the ICU.</w:t>
      </w:r>
      <w:r w:rsidR="00360200">
        <w:t xml:space="preserve"> No patients who were discharged but for whom INTOXICATE recommended admission returned to any hospital in the metropolitan area</w:t>
      </w:r>
      <w:r w:rsidR="006804EE">
        <w:t xml:space="preserve"> in 48 hours</w:t>
      </w:r>
      <w:r w:rsidR="00360200">
        <w:t xml:space="preserve">. </w:t>
      </w:r>
      <w:r w:rsidR="006804EE">
        <w:t xml:space="preserve">The </w:t>
      </w:r>
      <w:r w:rsidR="001A5118" w:rsidRPr="001A5118">
        <w:rPr>
          <w:rFonts w:ascii="Aptos" w:hAnsi="Aptos"/>
          <w:color w:val="000000"/>
        </w:rPr>
        <w:t>interrater</w:t>
      </w:r>
      <w:r w:rsidR="006804EE">
        <w:t xml:space="preserve"> agreement </w:t>
      </w:r>
      <w:r w:rsidR="00180AF9">
        <w:t>(</w:t>
      </w:r>
      <w:r w:rsidR="00180AF9" w:rsidRPr="00950675">
        <w:t>Cohen's kappa</w:t>
      </w:r>
      <w:r w:rsidR="00180AF9">
        <w:t>)</w:t>
      </w:r>
      <w:r w:rsidR="00180AF9" w:rsidRPr="00950675">
        <w:t xml:space="preserve"> </w:t>
      </w:r>
      <w:r w:rsidR="006804EE">
        <w:t xml:space="preserve">between INTOXICATE and the actual disposition </w:t>
      </w:r>
      <w:r w:rsidR="00950675" w:rsidRPr="00950675">
        <w:t>was 0.045</w:t>
      </w:r>
      <w:r w:rsidR="00844F36">
        <w:t xml:space="preserve"> (p=0.474)</w:t>
      </w:r>
      <w:r w:rsidR="006804EE" w:rsidRPr="00950675">
        <w:t>.</w:t>
      </w:r>
      <w:r w:rsidR="00950675" w:rsidRPr="00950675">
        <w:t xml:space="preserve"> </w:t>
      </w:r>
    </w:p>
    <w:p w14:paraId="74DC0DF9" w14:textId="77777777" w:rsidR="00A31AD2" w:rsidRDefault="00A31AD2" w:rsidP="00A31AD2"/>
    <w:p w14:paraId="3910F667" w14:textId="1C6A4013" w:rsidR="00A31AD2" w:rsidRDefault="00A31AD2" w:rsidP="00A31AD2">
      <w:r>
        <w:t xml:space="preserve">Conclusions: INTOXICATE </w:t>
      </w:r>
      <w:r w:rsidR="006F4C27">
        <w:t xml:space="preserve">did not recommend ICU admission in 33% of </w:t>
      </w:r>
      <w:r>
        <w:t xml:space="preserve">patients </w:t>
      </w:r>
      <w:r w:rsidR="006F4C27">
        <w:t xml:space="preserve">for </w:t>
      </w:r>
      <w:r>
        <w:t>who</w:t>
      </w:r>
      <w:r w:rsidR="006F4C27">
        <w:t>m the bedside toxicologist</w:t>
      </w:r>
      <w:r>
        <w:t xml:space="preserve"> </w:t>
      </w:r>
      <w:r w:rsidR="00882F7F">
        <w:t>re</w:t>
      </w:r>
      <w:r w:rsidR="006F4C27">
        <w:t>commended ICU</w:t>
      </w:r>
      <w:r w:rsidR="00882F7F">
        <w:t xml:space="preserve"> admissio</w:t>
      </w:r>
      <w:r w:rsidR="006F4C27">
        <w:t xml:space="preserve">n and recommended ICU admission in 57% of the patients for whom the bedside toxicologist recommended discharge. This increased ICU utilization by approximately 200% (from 21 to 44). </w:t>
      </w:r>
      <w:r w:rsidR="00F67044">
        <w:t xml:space="preserve">There was no more </w:t>
      </w:r>
      <w:r w:rsidR="009640A0" w:rsidRPr="009640A0">
        <w:rPr>
          <w:rFonts w:ascii="Aptos" w:hAnsi="Aptos"/>
          <w:color w:val="000000"/>
        </w:rPr>
        <w:t>than</w:t>
      </w:r>
      <w:r w:rsidR="00F67044">
        <w:t xml:space="preserve"> chance agreement between INTOXICATE and the </w:t>
      </w:r>
      <w:r w:rsidR="009640A0" w:rsidRPr="009640A0">
        <w:rPr>
          <w:rFonts w:ascii="Aptos" w:hAnsi="Aptos"/>
          <w:color w:val="000000"/>
        </w:rPr>
        <w:t>recommendation of the patient on the bedside,</w:t>
      </w:r>
      <w:r w:rsidR="00F67044">
        <w:t xml:space="preserve"> suggesting that the two approaches use different criteria, which </w:t>
      </w:r>
      <w:r w:rsidR="009640A0" w:rsidRPr="009640A0">
        <w:rPr>
          <w:rFonts w:ascii="Aptos" w:hAnsi="Aptos"/>
          <w:color w:val="000000"/>
        </w:rPr>
        <w:t>can</w:t>
      </w:r>
      <w:r w:rsidR="00F67044">
        <w:t xml:space="preserve"> reflect </w:t>
      </w:r>
      <w:r w:rsidR="00F67044">
        <w:lastRenderedPageBreak/>
        <w:t xml:space="preserve">geographic variation in the type of poisoning and variation in care practices across health care systems. </w:t>
      </w:r>
    </w:p>
    <w:p w14:paraId="460E6D60" w14:textId="1A6FC161" w:rsidR="001608A4" w:rsidRDefault="001608A4" w:rsidP="004D2D10"/>
    <w:sectPr w:rsidR="0016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10"/>
    <w:rsid w:val="00054BD9"/>
    <w:rsid w:val="000C1AF2"/>
    <w:rsid w:val="000E65A1"/>
    <w:rsid w:val="00117501"/>
    <w:rsid w:val="001232B4"/>
    <w:rsid w:val="001608A4"/>
    <w:rsid w:val="00162FFE"/>
    <w:rsid w:val="00167DDF"/>
    <w:rsid w:val="00180AF9"/>
    <w:rsid w:val="00181CDF"/>
    <w:rsid w:val="001A5118"/>
    <w:rsid w:val="001B10A2"/>
    <w:rsid w:val="001B152F"/>
    <w:rsid w:val="0029635F"/>
    <w:rsid w:val="002B3D08"/>
    <w:rsid w:val="003541FC"/>
    <w:rsid w:val="00360200"/>
    <w:rsid w:val="003841DB"/>
    <w:rsid w:val="00423E42"/>
    <w:rsid w:val="00441CF0"/>
    <w:rsid w:val="00486BA2"/>
    <w:rsid w:val="004C047B"/>
    <w:rsid w:val="004D2D10"/>
    <w:rsid w:val="004D3E1D"/>
    <w:rsid w:val="004F7F32"/>
    <w:rsid w:val="005110B9"/>
    <w:rsid w:val="0053026B"/>
    <w:rsid w:val="00560E50"/>
    <w:rsid w:val="00567B2E"/>
    <w:rsid w:val="0057354C"/>
    <w:rsid w:val="00592905"/>
    <w:rsid w:val="00672C60"/>
    <w:rsid w:val="006804EE"/>
    <w:rsid w:val="006B4C85"/>
    <w:rsid w:val="006F4C27"/>
    <w:rsid w:val="0071566A"/>
    <w:rsid w:val="00754A10"/>
    <w:rsid w:val="00780180"/>
    <w:rsid w:val="007868DF"/>
    <w:rsid w:val="007B3EA6"/>
    <w:rsid w:val="008002EE"/>
    <w:rsid w:val="00844F36"/>
    <w:rsid w:val="00846EFA"/>
    <w:rsid w:val="00882F7F"/>
    <w:rsid w:val="00924D69"/>
    <w:rsid w:val="00930BE2"/>
    <w:rsid w:val="00950675"/>
    <w:rsid w:val="009640A0"/>
    <w:rsid w:val="00A31AD2"/>
    <w:rsid w:val="00A67732"/>
    <w:rsid w:val="00A906D7"/>
    <w:rsid w:val="00AA590A"/>
    <w:rsid w:val="00AB699B"/>
    <w:rsid w:val="00AC19BF"/>
    <w:rsid w:val="00B520C1"/>
    <w:rsid w:val="00C233E0"/>
    <w:rsid w:val="00C47523"/>
    <w:rsid w:val="00C90487"/>
    <w:rsid w:val="00CC76F0"/>
    <w:rsid w:val="00CD36DE"/>
    <w:rsid w:val="00D167C1"/>
    <w:rsid w:val="00D512BE"/>
    <w:rsid w:val="00DF1913"/>
    <w:rsid w:val="00E1255B"/>
    <w:rsid w:val="00E7485A"/>
    <w:rsid w:val="00E93EC7"/>
    <w:rsid w:val="00EF61B4"/>
    <w:rsid w:val="00F05098"/>
    <w:rsid w:val="00F67044"/>
    <w:rsid w:val="00F70889"/>
    <w:rsid w:val="00FD56AD"/>
    <w:rsid w:val="00F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C1651"/>
  <w15:chartTrackingRefBased/>
  <w15:docId w15:val="{AEC0B4BB-56BA-1C4A-8F3A-9AA9423B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1608A4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000000" w:themeColor="text1"/>
      <w:kern w:val="0"/>
      <w:sz w:val="2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D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D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D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D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A4"/>
    <w:rPr>
      <w:rFonts w:ascii="Arial" w:eastAsiaTheme="majorEastAsia" w:hAnsi="Arial" w:cstheme="majorBidi"/>
      <w:b/>
      <w:bCs/>
      <w:color w:val="000000" w:themeColor="text1"/>
      <w:kern w:val="0"/>
      <w:sz w:val="22"/>
      <w:szCs w:val="32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608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08A4"/>
  </w:style>
  <w:style w:type="character" w:customStyle="1" w:styleId="Heading2Char">
    <w:name w:val="Heading 2 Char"/>
    <w:basedOn w:val="DefaultParagraphFont"/>
    <w:link w:val="Heading2"/>
    <w:uiPriority w:val="9"/>
    <w:semiHidden/>
    <w:rsid w:val="004D2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D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D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D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017679-E133-E642-B3A1-39459ED5E42D}">
  <we:reference id="wa200001482" version="1.0.5.0" store="en-US" storeType="OMEX"/>
  <we:alternateReferences>
    <we:reference id="wa200001482" version="1.0.5.0" store="" storeType="OMEX"/>
  </we:alternateReferences>
  <we:properties>
    <we:property name="cache" value="{}"/>
    <we:property name="user-choices" value="{&quot;72b91d29458d5bc35d58ed859b1cbb03&quot;:&quot;overall&quot;,&quot;9ef434f7ae1f4ba93ea5d30332edfe34&quot;:&quot;more&quot;,&quot;76cc54bd02c1e8489b2c9453e103d99e&quot;:&quot;admissions to the ICU.&quot;,&quot;cb470c9fab1ff6215fc8bac5e81a4a41&quot;:&quot;multisite&quot;,&quot;a964e35bc189a65a41f90f8623419fba&quot;:&quot;used DOTS&quot;,&quot;05c2ca5ecb1246160f512bab8d58a717&quot;:&quot;data&quot;,&quot;303e84a98c7807e4d58763e8789d36ab&quot;:&quot;granted an&quot;,&quot;1922d05392c09be3117b64d1b310fbc4&quot;:&quot;conducted&quot;,&quot;4f3783a9e35aea915d617996e969a8d4&quot;:&quot;at the time of&quot;,&quot;51eec57ab9e94b7b70397325ea8dc59f&quot;:&quot;patients&quot;,&quot;ce231b3878c17e1f5a75bee507fa0c7e&quot;:&quot;to the&quot;,&quot;0a54712b8039bf16d4d9551a7d454768&quot;:&quot;emergency department disposition,&quot;,&quot;109374d73cc9cd977e56fc848a7e8270&quot;:&quot;Conclusions:&quot;,&quot;b73a9380a3d730c294f07df47281c585&quot;:&quot;ultimately&quot;,&quot;59a040c2c3abab4d34df3e3bf29d7d66&quot;:&quot;that&quot;,&quot;b86f72ddaa44460c8270ca1ebe4d81f5&quot;:&quot;meaning&quot;,&quot;465eb90f96c5fd8d5f2e520f46d91ad4&quot;:&quot;ICU utilization.&quot;,&quot;6681d7d0ed2e1d620a9866c9af2fd862&quot;:&quot;to&quot;,&quot;f54e8cb7078af1127ae3648658217298&quot;:&quot;ICUs&quot;,&quot;f3c495048b28f0ba2d79736e3116ed99&quot;:&quot;U.S.&quot;,&quot;fbaf21241c9a62ff64f92f27bb3e1bb1&quot;:&quot;Jan&quot;,&quot;7e55d163c2138636028cbcdf29448b0b&quot;:&quot;Apr&quot;,&quot;6a90746f40beb4f5d05752229aabf1ad&quot;:&quot;at one&quot;,&quot;dcb2d42e8bcddf8a5afa0bad70558779&quot;:&quot;used&quot;,&quot;96b7aec3ff276ac42b376529a66bfd30&quot;:&quot;INTOXICATE’s&quot;,&quot;320a9043c819776c94c06d3240a5d48b&quot;:&quot;disposition&quot;,&quot;00942815880ca8bca194c6b9e8b83fe4&quot;:&quot;confidence,&quot;,&quot;10f413421bc5318b64e5d9835ebb228f&quot;:&quot;evaluated&quot;,&quot;0c23d2c84aecc39fa775949adde00257&quot;:&quot;('CareEverywhere').&quot;,&quot;1caad50394bd801d3617622e195a89e9&quot;:&quot;due to&quot;,&quot;0906dac801fbdd355f32b8481dcd2c37&quot;:&quot;(68%) were&quot;,&quot;59cc57e2ac01d5a4d2968e282f5fee5d&quot;:&quot;interrater&quot;,&quot;60ef878b404e70110170055703914fd7&quot;:&quot;demonstrating that there was&quot;,&quot;23676b3395a0004abd8140b6bf3abbf1&quot;:&quot;of the&quot;,&quot;b814e19ce12b88c00f539f5153483b5b&quot;:&quot;than a&quot;,&quot;c59de686263b0e15c7799d3ebeeef909&quot;:&quot;recommendation of the patient on the bedside,&quot;,&quot;8206ed824a1c663279268ad6a8f6821a&quot;:&quot;can&quot;,&quot;e58f57948e8632ef2c7794970235e730&quot;:&quot;of&quot;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Chary</dc:creator>
  <cp:keywords/>
  <dc:description/>
  <cp:lastModifiedBy>Michael Chary</cp:lastModifiedBy>
  <cp:revision>2</cp:revision>
  <dcterms:created xsi:type="dcterms:W3CDTF">2024-05-07T00:41:00Z</dcterms:created>
  <dcterms:modified xsi:type="dcterms:W3CDTF">2024-05-07T00:41:00Z</dcterms:modified>
</cp:coreProperties>
</file>