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3558" w14:textId="778BA9A7" w:rsidR="008E25D2" w:rsidRDefault="00000000">
      <w:pPr>
        <w:spacing w:before="240" w:line="360" w:lineRule="auto"/>
        <w:rPr>
          <w:i/>
          <w:lang w:val="en-US"/>
        </w:rPr>
      </w:pPr>
      <w:r w:rsidRPr="00B149C3">
        <w:rPr>
          <w:b/>
          <w:i/>
          <w:lang w:val="en-US"/>
        </w:rPr>
        <w:t>Abstract:</w:t>
      </w:r>
      <w:r w:rsidRPr="00B149C3">
        <w:rPr>
          <w:i/>
          <w:lang w:val="en-US"/>
        </w:rPr>
        <w:t xml:space="preserve"> </w:t>
      </w:r>
    </w:p>
    <w:p w14:paraId="43F860B5" w14:textId="77777777" w:rsidR="008E25D2" w:rsidRDefault="008E25D2">
      <w:pPr>
        <w:rPr>
          <w:i/>
          <w:lang w:val="en-US"/>
        </w:rPr>
      </w:pPr>
      <w:r>
        <w:rPr>
          <w:i/>
          <w:lang w:val="en-US"/>
        </w:rPr>
        <w:br w:type="page"/>
      </w:r>
    </w:p>
    <w:p w14:paraId="2D1C517A" w14:textId="28F94177" w:rsidR="00B00952" w:rsidRPr="00B149C3" w:rsidRDefault="00000000">
      <w:pPr>
        <w:spacing w:before="240" w:line="360" w:lineRule="auto"/>
        <w:rPr>
          <w:i/>
          <w:lang w:val="en-US"/>
        </w:rPr>
      </w:pPr>
      <w:r w:rsidRPr="00B149C3">
        <w:rPr>
          <w:b/>
          <w:i/>
          <w:lang w:val="en-US"/>
        </w:rPr>
        <w:lastRenderedPageBreak/>
        <w:t xml:space="preserve">Introduction: </w:t>
      </w:r>
    </w:p>
    <w:p w14:paraId="0CF6AD34" w14:textId="2D226AAF" w:rsidR="001953AF" w:rsidRPr="00B149C3" w:rsidRDefault="001028F8">
      <w:pPr>
        <w:spacing w:before="240" w:line="360" w:lineRule="auto"/>
        <w:rPr>
          <w:lang w:val="en-US"/>
        </w:rPr>
      </w:pPr>
      <w:r w:rsidRPr="00B149C3">
        <w:rPr>
          <w:lang w:val="en-US"/>
        </w:rPr>
        <w:t xml:space="preserve">A challenge during the initial evaluation of the poisoned patient is to prognosticate the severity of an ingestion from incomplete. </w:t>
      </w:r>
      <w:r w:rsidR="00F52B5F" w:rsidRPr="00B149C3">
        <w:rPr>
          <w:lang w:val="en-US"/>
        </w:rPr>
        <w:t xml:space="preserve">Admitting poisoned patients to the intensive care unit (ICU) who do not require that level of care delays the care of those poisoned patients need and reduces ICU capacity for other patients. </w:t>
      </w:r>
      <w:r w:rsidRPr="00B149C3">
        <w:rPr>
          <w:lang w:val="en-US"/>
        </w:rPr>
        <w:t xml:space="preserve"> For example, admitting all ingestions of more than 450 mg of bupropion to the ICU for 24 hours to observe for ventricular dysrhythmias, leads to approximately 2,000 unnecessary ICU admissions across the United States each year</w:t>
      </w:r>
      <w:r w:rsidRPr="00B149C3">
        <w:rPr>
          <w:vertAlign w:val="superscript"/>
          <w:lang w:val="en-US"/>
        </w:rPr>
        <w:t>1</w:t>
      </w:r>
      <w:r w:rsidRPr="00B149C3">
        <w:rPr>
          <w:lang w:val="en-US"/>
        </w:rPr>
        <w:t xml:space="preserve">. </w:t>
      </w:r>
      <w:r w:rsidRPr="00B149C3">
        <w:rPr>
          <w:b/>
          <w:lang w:val="en-US"/>
        </w:rPr>
        <w:t>(place for continued references to all those studies showing high # of admits but low # of deaths; not sure how many to use to make the case).</w:t>
      </w:r>
      <w:r w:rsidRPr="00B149C3">
        <w:rPr>
          <w:lang w:val="en-US"/>
        </w:rPr>
        <w:t xml:space="preserve"> </w:t>
      </w:r>
    </w:p>
    <w:p w14:paraId="326E8D5D" w14:textId="1CF5BE78" w:rsidR="00B00952" w:rsidRPr="00B149C3" w:rsidRDefault="00000000">
      <w:pPr>
        <w:spacing w:before="240" w:line="360" w:lineRule="auto"/>
        <w:rPr>
          <w:lang w:val="en-US"/>
        </w:rPr>
      </w:pPr>
      <w:r w:rsidRPr="00B149C3">
        <w:rPr>
          <w:lang w:val="en-US"/>
        </w:rPr>
        <w:t xml:space="preserve">A clinical decision support tool </w:t>
      </w:r>
      <w:r w:rsidR="00C36F42">
        <w:rPr>
          <w:lang w:val="en-US"/>
        </w:rPr>
        <w:t>that</w:t>
      </w:r>
      <w:r w:rsidRPr="00B149C3">
        <w:rPr>
          <w:lang w:val="en-US"/>
        </w:rPr>
        <w:t xml:space="preserve"> guide</w:t>
      </w:r>
      <w:r w:rsidR="00C36F42">
        <w:rPr>
          <w:lang w:val="en-US"/>
        </w:rPr>
        <w:t>d</w:t>
      </w:r>
      <w:r w:rsidRPr="00B149C3">
        <w:rPr>
          <w:lang w:val="en-US"/>
        </w:rPr>
        <w:t xml:space="preserve"> emergency physicians in selecting the level of care for poisoned patients and in standardizing recommendations from medical toxicologists. </w:t>
      </w:r>
      <w:r w:rsidR="001953AF" w:rsidRPr="00B149C3">
        <w:rPr>
          <w:lang w:val="en-US"/>
        </w:rPr>
        <w:t>It is difficult to make one tool that accurately risk-stratifie</w:t>
      </w:r>
      <w:r w:rsidR="00BA07B2" w:rsidRPr="00B149C3">
        <w:rPr>
          <w:lang w:val="en-US"/>
        </w:rPr>
        <w:t>s</w:t>
      </w:r>
      <w:r w:rsidR="001953AF" w:rsidRPr="00B149C3">
        <w:rPr>
          <w:lang w:val="en-US"/>
        </w:rPr>
        <w:t xml:space="preserve"> the variety of physiological derangements that poisoned patients can have. </w:t>
      </w:r>
      <w:r w:rsidR="001953AF" w:rsidRPr="00CB2AFE">
        <w:rPr>
          <w:i/>
          <w:iCs/>
          <w:lang w:val="en-US"/>
        </w:rPr>
        <w:t>[Poison Severity Score]</w:t>
      </w:r>
    </w:p>
    <w:p w14:paraId="5631ECAB" w14:textId="77777777" w:rsidR="00B00952" w:rsidRPr="00B149C3" w:rsidRDefault="00000000">
      <w:pPr>
        <w:spacing w:before="240" w:line="360" w:lineRule="auto"/>
        <w:rPr>
          <w:b/>
          <w:lang w:val="en-US"/>
        </w:rPr>
      </w:pPr>
      <w:r w:rsidRPr="00B149C3">
        <w:rPr>
          <w:lang w:val="en-US"/>
        </w:rPr>
        <w:tab/>
      </w:r>
      <w:r w:rsidRPr="00B149C3">
        <w:rPr>
          <w:b/>
          <w:lang w:val="en-US"/>
        </w:rPr>
        <w:t xml:space="preserve">Something here about </w:t>
      </w:r>
      <w:proofErr w:type="gramStart"/>
      <w:r w:rsidRPr="00B149C3">
        <w:rPr>
          <w:b/>
          <w:lang w:val="en-US"/>
        </w:rPr>
        <w:t>need</w:t>
      </w:r>
      <w:proofErr w:type="gramEnd"/>
      <w:r w:rsidRPr="00B149C3">
        <w:rPr>
          <w:b/>
          <w:lang w:val="en-US"/>
        </w:rPr>
        <w:t xml:space="preserve"> for better discrimination. </w:t>
      </w:r>
    </w:p>
    <w:p w14:paraId="54514BB0" w14:textId="77777777" w:rsidR="00B00952" w:rsidRPr="00B149C3" w:rsidRDefault="00000000">
      <w:pPr>
        <w:spacing w:before="240" w:line="360" w:lineRule="auto"/>
        <w:ind w:firstLine="720"/>
        <w:rPr>
          <w:lang w:val="en-US"/>
        </w:rPr>
      </w:pPr>
      <w:r w:rsidRPr="00B149C3">
        <w:rPr>
          <w:lang w:val="en-US"/>
        </w:rPr>
        <w:t>Medical toxicologists in the Netherlands developed INTOXICATE, a clinical decision support tool to help physicians determine whether poisoned patients required ICU admission or could be safely managed on a general medical floor</w:t>
      </w:r>
      <w:r w:rsidRPr="00B149C3">
        <w:rPr>
          <w:vertAlign w:val="superscript"/>
          <w:lang w:val="en-US"/>
        </w:rPr>
        <w:t>2</w:t>
      </w:r>
      <w:r w:rsidRPr="00B149C3">
        <w:rPr>
          <w:lang w:val="en-US"/>
        </w:rPr>
        <w:t xml:space="preserve">. INTOXICATE identified easily obtainable clinical covariates as predictors of ICU requirement (defined as mechanical ventilation and/or vasopressors in the first 24 hours of ICU stay, or death at any point during hospitalization) in patients who were admitted to the ICU and received a diagnosis of intoxication. INTOXICATE was internally validated by resampling and correctly identified 34% of ICU patients who did not ultimately require ICU-level care. If applying INTOXICATE has a similar effect in the American healthcare system, it would simultaneously improve the care of poisoned patients and increase access to the ICU. </w:t>
      </w:r>
    </w:p>
    <w:p w14:paraId="4DD18A89" w14:textId="74069A1A" w:rsidR="00B00952" w:rsidRPr="00B149C3" w:rsidRDefault="00000000">
      <w:pPr>
        <w:spacing w:before="240" w:line="360" w:lineRule="auto"/>
        <w:ind w:firstLine="720"/>
        <w:rPr>
          <w:lang w:val="en-US"/>
        </w:rPr>
      </w:pPr>
      <w:r w:rsidRPr="00B149C3">
        <w:rPr>
          <w:lang w:val="en-US"/>
        </w:rPr>
        <w:t xml:space="preserve">This outcome, however, assumes INTOXICATE would only be applied to patients who would otherwise have been admitted to the ICU. It remains unclear how having access to such a tool would change clinical decision making. For such a tool to have use in reducing ICU admissions, it must not only be externally valid, but also demonstrate sufficient specificity such as to not bias practitioners to admit patients who </w:t>
      </w:r>
      <w:r w:rsidRPr="00B149C3">
        <w:rPr>
          <w:lang w:val="en-US"/>
        </w:rPr>
        <w:lastRenderedPageBreak/>
        <w:t xml:space="preserve">do not need ICU admission and would not have been admitted in the absence of a positive score. </w:t>
      </w:r>
    </w:p>
    <w:p w14:paraId="7ABC7D50" w14:textId="72C300DC" w:rsidR="00B00952" w:rsidRDefault="002734B5">
      <w:pPr>
        <w:spacing w:before="240" w:line="360" w:lineRule="auto"/>
        <w:rPr>
          <w:lang w:val="en-US"/>
        </w:rPr>
      </w:pPr>
      <w:r>
        <w:rPr>
          <w:lang w:val="en-US"/>
        </w:rPr>
        <w:t xml:space="preserve">The goal of this study was to externally validate INTOXICATE in as a clinical decision tool for the emergency physician or bedside toxicologist to use in the initial evaluation of a poisoned patient. </w:t>
      </w:r>
    </w:p>
    <w:p w14:paraId="2C205435" w14:textId="7BBF3494" w:rsidR="00B00952" w:rsidRPr="00B149C3" w:rsidRDefault="00000000">
      <w:pPr>
        <w:spacing w:before="240" w:line="360" w:lineRule="auto"/>
        <w:rPr>
          <w:i/>
          <w:lang w:val="en-US"/>
        </w:rPr>
      </w:pPr>
      <w:r w:rsidRPr="00B149C3">
        <w:rPr>
          <w:b/>
          <w:i/>
          <w:lang w:val="en-US"/>
        </w:rPr>
        <w:t>Methods</w:t>
      </w:r>
      <w:r w:rsidR="00B04FFD">
        <w:rPr>
          <w:b/>
          <w:i/>
          <w:lang w:val="en-US"/>
        </w:rPr>
        <w:t>:</w:t>
      </w:r>
    </w:p>
    <w:p w14:paraId="6F4B4F8A" w14:textId="77777777" w:rsidR="00B00952" w:rsidRPr="00B149C3" w:rsidRDefault="00000000">
      <w:pPr>
        <w:spacing w:before="240" w:line="360" w:lineRule="auto"/>
        <w:rPr>
          <w:b/>
          <w:i/>
          <w:lang w:val="en-US"/>
        </w:rPr>
      </w:pPr>
      <w:r w:rsidRPr="00B149C3">
        <w:rPr>
          <w:b/>
          <w:i/>
          <w:lang w:val="en-US"/>
        </w:rPr>
        <w:t>Setting</w:t>
      </w:r>
    </w:p>
    <w:p w14:paraId="40DF5FAA" w14:textId="1109C56C" w:rsidR="00B00952" w:rsidRPr="00B149C3" w:rsidRDefault="004078AF">
      <w:pPr>
        <w:spacing w:before="240" w:line="360" w:lineRule="auto"/>
        <w:rPr>
          <w:lang w:val="en-US"/>
        </w:rPr>
      </w:pPr>
      <w:r w:rsidRPr="00B149C3">
        <w:rPr>
          <w:lang w:val="en-US"/>
        </w:rPr>
        <w:t xml:space="preserve">We </w:t>
      </w:r>
      <w:r w:rsidR="0016324A" w:rsidRPr="00B149C3">
        <w:rPr>
          <w:lang w:val="en-US"/>
        </w:rPr>
        <w:t xml:space="preserve">conducted a </w:t>
      </w:r>
      <w:r w:rsidRPr="00B149C3">
        <w:rPr>
          <w:lang w:val="en-US"/>
        </w:rPr>
        <w:t xml:space="preserve">retrospective </w:t>
      </w:r>
      <w:r w:rsidR="0016324A" w:rsidRPr="00B149C3">
        <w:rPr>
          <w:lang w:val="en-US"/>
        </w:rPr>
        <w:t xml:space="preserve">study of </w:t>
      </w:r>
      <w:r w:rsidRPr="00B149C3">
        <w:rPr>
          <w:lang w:val="en-US"/>
        </w:rPr>
        <w:t>toxicology consultations at one urban tertiary care center with a 24/7 bedside toxicology service.</w:t>
      </w:r>
      <w:r w:rsidR="003C6FD2">
        <w:rPr>
          <w:lang w:val="en-US"/>
        </w:rPr>
        <w:t xml:space="preserve"> We screened all consultations</w:t>
      </w:r>
      <w:r w:rsidR="007B45BB">
        <w:rPr>
          <w:lang w:val="en-US"/>
        </w:rPr>
        <w:t xml:space="preserve"> from </w:t>
      </w:r>
      <w:proofErr w:type="spellStart"/>
      <w:r w:rsidR="007B45BB" w:rsidRPr="00535860">
        <w:rPr>
          <w:lang w:val="en-US"/>
        </w:rPr>
        <w:t>from</w:t>
      </w:r>
      <w:proofErr w:type="spellEnd"/>
      <w:r w:rsidR="007B45BB" w:rsidRPr="00535860">
        <w:rPr>
          <w:lang w:val="en-US"/>
        </w:rPr>
        <w:t xml:space="preserve"> Jan</w:t>
      </w:r>
      <w:r w:rsidR="007B45BB">
        <w:rPr>
          <w:lang w:val="en-US"/>
        </w:rPr>
        <w:t>uary</w:t>
      </w:r>
      <w:r w:rsidR="007B45BB" w:rsidRPr="00535860">
        <w:rPr>
          <w:lang w:val="en-US"/>
        </w:rPr>
        <w:t xml:space="preserve"> 2023 to Apr</w:t>
      </w:r>
      <w:r w:rsidR="007B45BB">
        <w:rPr>
          <w:lang w:val="en-US"/>
        </w:rPr>
        <w:t>il</w:t>
      </w:r>
      <w:r w:rsidR="007B45BB" w:rsidRPr="00535860">
        <w:rPr>
          <w:lang w:val="en-US"/>
        </w:rPr>
        <w:t xml:space="preserve"> 2024</w:t>
      </w:r>
      <w:r w:rsidR="007D6620">
        <w:rPr>
          <w:lang w:val="en-US"/>
        </w:rPr>
        <w:t xml:space="preserve">. We included patients aged 12-18 </w:t>
      </w:r>
      <w:r w:rsidR="007B45BB">
        <w:rPr>
          <w:lang w:val="en-US"/>
        </w:rPr>
        <w:t xml:space="preserve">even though the original study did not </w:t>
      </w:r>
      <w:r w:rsidR="007D6620">
        <w:rPr>
          <w:lang w:val="en-US"/>
        </w:rPr>
        <w:t xml:space="preserve">and analyzed them as a distinct subgroup. </w:t>
      </w:r>
      <w:r w:rsidR="00EC4135">
        <w:rPr>
          <w:lang w:val="en-US"/>
        </w:rPr>
        <w:t xml:space="preserve">We included adolescents because they </w:t>
      </w:r>
      <w:r w:rsidR="007B45BB">
        <w:rPr>
          <w:lang w:val="en-US"/>
        </w:rPr>
        <w:t xml:space="preserve">comprise X% of our consultations and </w:t>
      </w:r>
      <w:commentRangeStart w:id="0"/>
      <w:r w:rsidR="00826F00">
        <w:rPr>
          <w:lang w:val="en-US"/>
        </w:rPr>
        <w:t>31%</w:t>
      </w:r>
      <w:commentRangeEnd w:id="0"/>
      <w:r w:rsidR="00B149C3">
        <w:rPr>
          <w:rStyle w:val="CommentReference"/>
        </w:rPr>
        <w:commentReference w:id="0"/>
      </w:r>
      <w:r w:rsidR="00925055">
        <w:rPr>
          <w:lang w:val="en-US"/>
        </w:rPr>
        <w:t xml:space="preserve"> </w:t>
      </w:r>
      <w:r w:rsidR="007B45BB">
        <w:rPr>
          <w:lang w:val="en-US"/>
        </w:rPr>
        <w:t>of nationwide calls for intentional ingestions</w:t>
      </w:r>
      <w:sdt>
        <w:sdtPr>
          <w:rPr>
            <w:color w:val="000000"/>
            <w:lang w:val="en-US"/>
          </w:rPr>
          <w:tag w:val="MENDELEY_CITATION_v3_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"/>
          <w:id w:val="-1670935926"/>
          <w:placeholder>
            <w:docPart w:val="DefaultPlaceholder_-1854013440"/>
          </w:placeholder>
        </w:sdtPr>
        <w:sdtContent>
          <w:r w:rsidR="00433C44" w:rsidRPr="00433C44">
            <w:rPr>
              <w:color w:val="000000"/>
              <w:lang w:val="en-US"/>
            </w:rPr>
            <w:t>(1,2)</w:t>
          </w:r>
        </w:sdtContent>
      </w:sdt>
      <w:r w:rsidR="00EB0471">
        <w:rPr>
          <w:lang w:val="en-US"/>
        </w:rPr>
        <w:t xml:space="preserve"> </w:t>
      </w:r>
      <w:r w:rsidR="00EC4135">
        <w:rPr>
          <w:lang w:val="en-US"/>
        </w:rPr>
        <w:t>and</w:t>
      </w:r>
      <w:r w:rsidR="008467F1">
        <w:rPr>
          <w:lang w:val="en-US"/>
        </w:rPr>
        <w:t xml:space="preserve"> have cardiovascular and neurological responses to xenobiotics</w:t>
      </w:r>
      <w:r w:rsidR="0074440C">
        <w:rPr>
          <w:lang w:val="en-US"/>
        </w:rPr>
        <w:t xml:space="preserve"> comparable to adults</w:t>
      </w:r>
      <w:r w:rsidR="008467F1">
        <w:rPr>
          <w:lang w:val="en-US"/>
        </w:rPr>
        <w:t xml:space="preserve">. </w:t>
      </w:r>
      <w:r w:rsidR="007D6620">
        <w:rPr>
          <w:lang w:val="en-US"/>
        </w:rPr>
        <w:t xml:space="preserve">We excluded patients younger than 12 and those with missing data. </w:t>
      </w:r>
    </w:p>
    <w:p w14:paraId="5465C284" w14:textId="77777777" w:rsidR="00B00952" w:rsidRPr="00B149C3" w:rsidRDefault="00000000">
      <w:pPr>
        <w:spacing w:before="240" w:line="360" w:lineRule="auto"/>
        <w:rPr>
          <w:b/>
          <w:i/>
          <w:lang w:val="en-US"/>
        </w:rPr>
      </w:pPr>
      <w:r w:rsidRPr="00B149C3">
        <w:rPr>
          <w:b/>
          <w:i/>
          <w:lang w:val="en-US"/>
        </w:rPr>
        <w:t>Definitions</w:t>
      </w:r>
    </w:p>
    <w:p w14:paraId="0ED622AE" w14:textId="475D48A3" w:rsidR="00AD1A94" w:rsidRDefault="00EB04E4">
      <w:pPr>
        <w:spacing w:before="240" w:line="360" w:lineRule="auto"/>
        <w:rPr>
          <w:color w:val="000000"/>
          <w:lang w:val="en-US"/>
        </w:rPr>
      </w:pPr>
      <w:r>
        <w:rPr>
          <w:lang w:val="en-US"/>
        </w:rPr>
        <w:t>INTOXICATE assigns each patient a score, the INTOXICATE Risk Score (IRS)</w:t>
      </w:r>
      <w:r w:rsidR="00CE2A7B">
        <w:rPr>
          <w:lang w:val="en-US"/>
        </w:rPr>
        <w:t xml:space="preserve"> based on</w:t>
      </w:r>
      <w:r w:rsidR="0055165C">
        <w:rPr>
          <w:lang w:val="en-US"/>
        </w:rPr>
        <w:t xml:space="preserve"> certain clinical features. For example, a patient receives 1 point if the heart rate is between 75 to 85 beats per minute and 2 points if between 85 to 95 beats per minute.</w:t>
      </w:r>
      <w:r w:rsidR="00E02D84">
        <w:rPr>
          <w:lang w:val="en-US"/>
        </w:rPr>
        <w:t xml:space="preserve"> The sum of the scores across all clinical features is the IRS.</w:t>
      </w:r>
      <w:r w:rsidR="003B4D1D">
        <w:rPr>
          <w:lang w:val="en-US"/>
        </w:rPr>
        <w:t xml:space="preserve"> We refer the reader to </w:t>
      </w:r>
      <w:sdt>
        <w:sdtPr>
          <w:rPr>
            <w:color w:val="000000"/>
            <w:lang w:val="en-US"/>
          </w:rPr>
          <w:tag w:val="MENDELEY_CITATION_v3_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4iLCJwYXJzZS1uYW1lcyI6ZmFsc2UsImRyb3BwaW5nLXBhcnRpY2xlIjoiIiwibm9uLWRyb3BwaW5nLXBhcnRpY2xlIjoiZGUifV0sImNvbnRhaW5lci10aXRsZSI6IkNsaW5pY2FsIFRveGljb2xvZ3kiLCJET0kiOiIxMC4xMDgwLzE1NTYzNjUwLjIwMTYuMTIyMjYxNiIsIklTU04iOiIxNTU2LTM2NTAiLCJpc3N1ZWQiOnsiZGF0ZS1wYXJ0cyI6W1syMDE3LDEsMl1dfSwicGFnZSI6IjQtMTEiLCJpc3N1ZSI6IjEiLCJ2b2x1bWUiOiI1NSIsImNvbnRhaW5lci10aXRsZS1zaG9ydCI6IkNsaW4gVG94aWNvbCJ9LCJpc1RlbXBvcmFyeSI6ZmFsc2V9XX0="/>
          <w:id w:val="367108115"/>
          <w:placeholder>
            <w:docPart w:val="DefaultPlaceholder_-1854013440"/>
          </w:placeholder>
        </w:sdtPr>
        <w:sdtContent>
          <w:r w:rsidR="00433C44" w:rsidRPr="00433C44">
            <w:rPr>
              <w:color w:val="000000"/>
              <w:lang w:val="en-US"/>
            </w:rPr>
            <w:t>(3)</w:t>
          </w:r>
        </w:sdtContent>
      </w:sdt>
      <w:r w:rsidR="003B4D1D">
        <w:rPr>
          <w:color w:val="000000"/>
          <w:lang w:val="en-US"/>
        </w:rPr>
        <w:t xml:space="preserve"> for detail</w:t>
      </w:r>
      <w:r w:rsidR="00B243F5">
        <w:rPr>
          <w:color w:val="000000"/>
          <w:lang w:val="en-US"/>
        </w:rPr>
        <w:t xml:space="preserve"> on calculating IRS</w:t>
      </w:r>
      <w:r w:rsidR="003B4D1D">
        <w:rPr>
          <w:color w:val="000000"/>
          <w:lang w:val="en-US"/>
        </w:rPr>
        <w:t xml:space="preserve">. </w:t>
      </w:r>
    </w:p>
    <w:p w14:paraId="2406E496" w14:textId="745D73CC" w:rsidR="00CE2A7B" w:rsidRDefault="0028017F">
      <w:pPr>
        <w:spacing w:before="240" w:line="360" w:lineRule="auto"/>
        <w:rPr>
          <w:color w:val="000000"/>
          <w:lang w:val="en-US"/>
        </w:rPr>
      </w:pPr>
      <w:r>
        <w:rPr>
          <w:color w:val="000000"/>
          <w:lang w:val="en-US"/>
        </w:rPr>
        <w:t xml:space="preserve">INTOXICATE defined dysrhythmia as </w:t>
      </w:r>
      <w:r w:rsidRPr="0028017F">
        <w:rPr>
          <w:color w:val="000000"/>
          <w:lang w:val="en-US"/>
        </w:rPr>
        <w:t xml:space="preserve">one of the following </w:t>
      </w:r>
      <w:r>
        <w:rPr>
          <w:color w:val="000000"/>
          <w:lang w:val="en-US"/>
        </w:rPr>
        <w:t xml:space="preserve">cardiac rhythms in </w:t>
      </w:r>
      <w:r w:rsidRPr="0028017F">
        <w:rPr>
          <w:color w:val="000000"/>
          <w:lang w:val="en-US"/>
        </w:rPr>
        <w:t>combination with hemodynamic instability in the 24 hours before ICU admission</w:t>
      </w:r>
      <w:r>
        <w:rPr>
          <w:color w:val="000000"/>
          <w:lang w:val="en-US"/>
        </w:rPr>
        <w:t xml:space="preserve">: </w:t>
      </w:r>
      <w:commentRangeStart w:id="1"/>
      <w:r>
        <w:rPr>
          <w:color w:val="000000"/>
          <w:lang w:val="en-US"/>
        </w:rPr>
        <w:t>a</w:t>
      </w:r>
      <w:r w:rsidRPr="0028017F">
        <w:rPr>
          <w:color w:val="000000"/>
          <w:lang w:val="en-US"/>
        </w:rPr>
        <w:t>rrhythmia</w:t>
      </w:r>
      <w:commentRangeEnd w:id="1"/>
      <w:r w:rsidR="00433C44">
        <w:rPr>
          <w:rStyle w:val="CommentReference"/>
        </w:rPr>
        <w:commentReference w:id="1"/>
      </w:r>
      <w:r>
        <w:rPr>
          <w:color w:val="000000"/>
          <w:lang w:val="en-US"/>
        </w:rPr>
        <w:t>, t</w:t>
      </w:r>
      <w:r w:rsidRPr="0028017F">
        <w:rPr>
          <w:color w:val="000000"/>
          <w:lang w:val="en-US"/>
        </w:rPr>
        <w:t>achycardia</w:t>
      </w:r>
      <w:r>
        <w:rPr>
          <w:color w:val="000000"/>
          <w:lang w:val="en-US"/>
        </w:rPr>
        <w:t>, s</w:t>
      </w:r>
      <w:r w:rsidRPr="0028017F">
        <w:rPr>
          <w:color w:val="000000"/>
          <w:lang w:val="en-US"/>
        </w:rPr>
        <w:t>econd</w:t>
      </w:r>
      <w:r>
        <w:rPr>
          <w:color w:val="000000"/>
          <w:lang w:val="en-US"/>
        </w:rPr>
        <w:t xml:space="preserve"> or </w:t>
      </w:r>
      <w:r w:rsidRPr="0028017F">
        <w:rPr>
          <w:color w:val="000000"/>
          <w:lang w:val="en-US"/>
        </w:rPr>
        <w:t>third-degree AV bloc</w:t>
      </w:r>
      <w:r>
        <w:rPr>
          <w:color w:val="000000"/>
          <w:lang w:val="en-US"/>
        </w:rPr>
        <w:t>k, a</w:t>
      </w:r>
      <w:r w:rsidRPr="0028017F">
        <w:rPr>
          <w:color w:val="000000"/>
          <w:lang w:val="en-US"/>
        </w:rPr>
        <w:t>trial fibrillation with</w:t>
      </w:r>
      <w:r>
        <w:rPr>
          <w:color w:val="000000"/>
          <w:lang w:val="en-US"/>
        </w:rPr>
        <w:t xml:space="preserve"> a ventricular rate greater than 120 beats per minute. </w:t>
      </w:r>
    </w:p>
    <w:p w14:paraId="172D42DA" w14:textId="77777777" w:rsidR="003C56C3" w:rsidRPr="003C56C3" w:rsidRDefault="003C56C3">
      <w:pPr>
        <w:spacing w:before="240" w:line="360" w:lineRule="auto"/>
        <w:rPr>
          <w:color w:val="000000"/>
          <w:lang w:val="en-US"/>
        </w:rPr>
      </w:pPr>
    </w:p>
    <w:p w14:paraId="3B41A37F" w14:textId="4FFF7BF3" w:rsidR="00AD1A94" w:rsidRPr="00B149C3" w:rsidRDefault="00AD1A94">
      <w:pPr>
        <w:spacing w:before="240" w:line="360" w:lineRule="auto"/>
        <w:rPr>
          <w:b/>
          <w:lang w:val="en-US"/>
        </w:rPr>
      </w:pPr>
      <w:r>
        <w:rPr>
          <w:iCs/>
          <w:lang w:val="en-US"/>
        </w:rPr>
        <w:t xml:space="preserve">We did not distinguish between discharge </w:t>
      </w:r>
      <w:r w:rsidR="00CE2A7B">
        <w:rPr>
          <w:iCs/>
          <w:lang w:val="en-US"/>
        </w:rPr>
        <w:t>from the Emergency Department</w:t>
      </w:r>
      <w:r>
        <w:rPr>
          <w:iCs/>
          <w:lang w:val="en-US"/>
        </w:rPr>
        <w:t xml:space="preserve"> </w:t>
      </w:r>
      <w:r w:rsidR="00CE2A7B">
        <w:rPr>
          <w:iCs/>
          <w:lang w:val="en-US"/>
        </w:rPr>
        <w:t xml:space="preserve">and </w:t>
      </w:r>
      <w:r>
        <w:rPr>
          <w:iCs/>
          <w:lang w:val="en-US"/>
        </w:rPr>
        <w:t>transfer</w:t>
      </w:r>
      <w:r w:rsidR="00CE2A7B">
        <w:rPr>
          <w:iCs/>
          <w:lang w:val="en-US"/>
        </w:rPr>
        <w:t xml:space="preserve"> from the Emergency Department </w:t>
      </w:r>
      <w:r>
        <w:rPr>
          <w:iCs/>
          <w:lang w:val="en-US"/>
        </w:rPr>
        <w:t>to Psychiatry.</w:t>
      </w:r>
      <w:r w:rsidR="00CE2A7B">
        <w:rPr>
          <w:iCs/>
          <w:lang w:val="en-US"/>
        </w:rPr>
        <w:t xml:space="preserve"> </w:t>
      </w:r>
    </w:p>
    <w:p w14:paraId="70A9254D" w14:textId="77777777" w:rsidR="00B00952" w:rsidRPr="00B149C3" w:rsidRDefault="00B00952">
      <w:pPr>
        <w:spacing w:before="240" w:line="360" w:lineRule="auto"/>
        <w:rPr>
          <w:b/>
          <w:i/>
          <w:lang w:val="en-US"/>
        </w:rPr>
      </w:pPr>
    </w:p>
    <w:p w14:paraId="2408FE40" w14:textId="77777777" w:rsidR="00B00952" w:rsidRPr="00B149C3" w:rsidRDefault="00000000">
      <w:pPr>
        <w:spacing w:before="240" w:line="360" w:lineRule="auto"/>
        <w:rPr>
          <w:b/>
          <w:i/>
          <w:lang w:val="en-US"/>
        </w:rPr>
      </w:pPr>
      <w:r w:rsidRPr="00B149C3">
        <w:rPr>
          <w:b/>
          <w:i/>
          <w:lang w:val="en-US"/>
        </w:rPr>
        <w:t>Statistical analyses</w:t>
      </w:r>
    </w:p>
    <w:p w14:paraId="080E99B9" w14:textId="384F02AA" w:rsidR="00B00952" w:rsidRPr="00B149C3" w:rsidRDefault="00000000">
      <w:pPr>
        <w:spacing w:before="240" w:line="360" w:lineRule="auto"/>
        <w:rPr>
          <w:b/>
          <w:lang w:val="en-US"/>
        </w:rPr>
      </w:pPr>
      <w:r w:rsidRPr="00B149C3">
        <w:rPr>
          <w:lang w:val="en-US"/>
        </w:rPr>
        <w:t xml:space="preserve">Our outcome measure was the inter-rater reliability between the INTOXICATE’s prediction disposition and the treating physician's decision. </w:t>
      </w:r>
      <w:commentRangeStart w:id="2"/>
      <w:r w:rsidR="008A714B">
        <w:rPr>
          <w:lang w:val="en-US"/>
        </w:rPr>
        <w:t>We chose this measure instead of overall agreement to capture the degree to which INTOXICATE agrees with toxicologist decision-making beyond chance.</w:t>
      </w:r>
      <w:commentRangeEnd w:id="2"/>
      <w:r w:rsidR="00E37D4A">
        <w:rPr>
          <w:rStyle w:val="CommentReference"/>
        </w:rPr>
        <w:commentReference w:id="2"/>
      </w:r>
    </w:p>
    <w:p w14:paraId="6C9AF790" w14:textId="77777777" w:rsidR="00B00952" w:rsidRPr="00B149C3" w:rsidRDefault="00B00952">
      <w:pPr>
        <w:spacing w:before="240" w:line="360" w:lineRule="auto"/>
        <w:rPr>
          <w:lang w:val="en-US"/>
        </w:rPr>
      </w:pPr>
    </w:p>
    <w:p w14:paraId="101840D5" w14:textId="21BA4E1B" w:rsidR="00B00952" w:rsidRDefault="00000000">
      <w:pPr>
        <w:spacing w:before="240" w:line="360" w:lineRule="auto"/>
        <w:rPr>
          <w:i/>
          <w:lang w:val="en-US"/>
        </w:rPr>
      </w:pPr>
      <w:r w:rsidRPr="00B149C3">
        <w:rPr>
          <w:b/>
          <w:i/>
          <w:lang w:val="en-US"/>
        </w:rPr>
        <w:t>Results</w:t>
      </w:r>
      <w:r w:rsidR="00AD1A94">
        <w:rPr>
          <w:b/>
          <w:i/>
          <w:lang w:val="en-US"/>
        </w:rPr>
        <w:t>:</w:t>
      </w:r>
    </w:p>
    <w:p w14:paraId="6632DAE9" w14:textId="2109B85A" w:rsidR="00A50F07" w:rsidRPr="00535860" w:rsidDel="00A50F07" w:rsidRDefault="00404347" w:rsidP="00A7181A">
      <w:pPr>
        <w:spacing w:before="240" w:line="360" w:lineRule="auto"/>
        <w:rPr>
          <w:lang w:val="en-US"/>
        </w:rPr>
      </w:pPr>
      <w:r>
        <w:rPr>
          <w:b/>
          <w:bCs/>
          <w:iCs/>
          <w:lang w:val="en-US"/>
        </w:rPr>
        <w:t>Description of Data Set.</w:t>
      </w:r>
      <w:r w:rsidR="007D6620">
        <w:rPr>
          <w:b/>
          <w:bCs/>
          <w:iCs/>
          <w:lang w:val="en-US"/>
        </w:rPr>
        <w:t xml:space="preserve"> </w:t>
      </w:r>
      <w:r w:rsidR="007D6620">
        <w:rPr>
          <w:iCs/>
          <w:lang w:val="en-US"/>
        </w:rPr>
        <w:t xml:space="preserve">We screened 112 patients, </w:t>
      </w:r>
      <w:r w:rsidR="00CD7645">
        <w:rPr>
          <w:iCs/>
          <w:lang w:val="en-US"/>
        </w:rPr>
        <w:t xml:space="preserve">excluded 7 who were under 12 and 2 who had missing data, </w:t>
      </w:r>
      <w:r w:rsidR="00350F4C">
        <w:rPr>
          <w:iCs/>
          <w:lang w:val="en-US"/>
        </w:rPr>
        <w:t xml:space="preserve">ultimately </w:t>
      </w:r>
      <w:r w:rsidR="007D6620">
        <w:rPr>
          <w:iCs/>
          <w:lang w:val="en-US"/>
        </w:rPr>
        <w:t>including 103 patients for analysis (</w:t>
      </w:r>
      <w:r w:rsidR="007D6620" w:rsidRPr="00B149C3">
        <w:rPr>
          <w:color w:val="000000" w:themeColor="text1"/>
        </w:rPr>
        <w:t>Figure 1</w:t>
      </w:r>
      <w:r w:rsidR="007D6620">
        <w:rPr>
          <w:iCs/>
          <w:lang w:val="en-US"/>
        </w:rPr>
        <w:t xml:space="preserve">). </w:t>
      </w:r>
      <w:r w:rsidR="00A50F07">
        <w:rPr>
          <w:iCs/>
          <w:lang w:val="en-US"/>
        </w:rPr>
        <w:t>The median age of the adolescents and adults were, 15 [14-16] and 35 [28-50], respectively, expressed as median [interquartile ran</w:t>
      </w:r>
      <w:r w:rsidR="005D2FE0">
        <w:rPr>
          <w:iCs/>
          <w:lang w:val="en-US"/>
        </w:rPr>
        <w:t>ge], respectively.</w:t>
      </w:r>
      <w:r w:rsidR="00A50F07">
        <w:rPr>
          <w:iCs/>
          <w:lang w:val="en-US"/>
        </w:rPr>
        <w:t xml:space="preserve"> </w:t>
      </w:r>
      <w:r w:rsidR="005D2FE0">
        <w:rPr>
          <w:iCs/>
          <w:lang w:val="en-US"/>
        </w:rPr>
        <w:t xml:space="preserve">The </w:t>
      </w:r>
      <w:r w:rsidR="00A50F07">
        <w:rPr>
          <w:iCs/>
          <w:lang w:val="en-US"/>
        </w:rPr>
        <w:t xml:space="preserve">proportions of admission to a general medical floor or the ICU were comparable </w:t>
      </w:r>
      <w:r w:rsidR="00B62118">
        <w:rPr>
          <w:iCs/>
          <w:lang w:val="en-US"/>
        </w:rPr>
        <w:t xml:space="preserve">between adolescents and adults </w:t>
      </w:r>
      <w:r w:rsidR="00AD1A94">
        <w:rPr>
          <w:iCs/>
          <w:lang w:val="en-US"/>
        </w:rPr>
        <w:t>(</w:t>
      </w:r>
      <w:r w:rsidR="00AD1A94" w:rsidRPr="001C0570">
        <w:rPr>
          <w:sz w:val="22"/>
          <w:szCs w:val="22"/>
        </w:rPr>
        <w:t xml:space="preserve">Table </w:t>
      </w:r>
      <w:r w:rsidR="00AD1A94" w:rsidRPr="001C0570">
        <w:rPr>
          <w:noProof/>
          <w:sz w:val="22"/>
          <w:szCs w:val="22"/>
        </w:rPr>
        <w:t>1</w:t>
      </w:r>
      <w:r w:rsidR="00AD1A94">
        <w:rPr>
          <w:iCs/>
          <w:lang w:val="en-US"/>
        </w:rPr>
        <w:t>)</w:t>
      </w:r>
      <w:r w:rsidR="00A50F07">
        <w:rPr>
          <w:iCs/>
          <w:lang w:val="en-US"/>
        </w:rPr>
        <w:t>.</w:t>
      </w:r>
      <w:r w:rsidR="00AD1A94">
        <w:rPr>
          <w:iCs/>
          <w:lang w:val="en-US"/>
        </w:rPr>
        <w:t xml:space="preserve"> </w:t>
      </w:r>
      <w:r w:rsidR="00B62118">
        <w:rPr>
          <w:lang w:val="en-US"/>
        </w:rPr>
        <w:t>T</w:t>
      </w:r>
      <w:r w:rsidR="00B62118" w:rsidRPr="00857310">
        <w:rPr>
          <w:lang w:val="en-US"/>
        </w:rPr>
        <w:t xml:space="preserve">here were no statistically significant differences </w:t>
      </w:r>
      <w:r w:rsidR="00B62118">
        <w:rPr>
          <w:lang w:val="en-US"/>
        </w:rPr>
        <w:t xml:space="preserve">between adolescents and adults </w:t>
      </w:r>
      <w:r w:rsidR="00B62118" w:rsidRPr="00857310">
        <w:rPr>
          <w:lang w:val="en-US"/>
        </w:rPr>
        <w:t xml:space="preserve">in gender, </w:t>
      </w:r>
      <w:r w:rsidR="00B62118">
        <w:rPr>
          <w:lang w:val="en-US"/>
        </w:rPr>
        <w:t xml:space="preserve">heart rate, </w:t>
      </w:r>
      <w:r w:rsidR="00B62118" w:rsidRPr="00857310">
        <w:rPr>
          <w:lang w:val="en-US"/>
        </w:rPr>
        <w:t>actual disposit</w:t>
      </w:r>
      <w:r w:rsidR="00B62118">
        <w:rPr>
          <w:lang w:val="en-US"/>
        </w:rPr>
        <w:t>ion</w:t>
      </w:r>
      <w:r w:rsidR="00B62118" w:rsidRPr="00857310">
        <w:rPr>
          <w:lang w:val="en-US"/>
        </w:rPr>
        <w:t xml:space="preserve">, respiratory insufficiency, cirrhosis, dysrhythmia, </w:t>
      </w:r>
      <w:r w:rsidR="00B62118">
        <w:rPr>
          <w:lang w:val="en-US"/>
        </w:rPr>
        <w:t xml:space="preserve">GCS, type of exposure, </w:t>
      </w:r>
      <w:r w:rsidR="00B62118" w:rsidRPr="00857310">
        <w:rPr>
          <w:lang w:val="en-US"/>
        </w:rPr>
        <w:t xml:space="preserve">or </w:t>
      </w:r>
      <w:r w:rsidR="00B62118">
        <w:rPr>
          <w:lang w:val="en-US"/>
        </w:rPr>
        <w:t>other medical</w:t>
      </w:r>
      <w:r w:rsidR="00B62118" w:rsidRPr="00857310">
        <w:rPr>
          <w:lang w:val="en-US"/>
        </w:rPr>
        <w:t xml:space="preserve"> reason</w:t>
      </w:r>
      <w:r w:rsidR="00B62118">
        <w:rPr>
          <w:lang w:val="en-US"/>
        </w:rPr>
        <w:t>s</w:t>
      </w:r>
      <w:r w:rsidR="00B62118" w:rsidRPr="00857310">
        <w:rPr>
          <w:lang w:val="en-US"/>
        </w:rPr>
        <w:t xml:space="preserve"> for ICU admission.</w:t>
      </w:r>
      <w:r w:rsidR="00B62118">
        <w:rPr>
          <w:lang w:val="en-US"/>
        </w:rPr>
        <w:t xml:space="preserve"> The systolic blood pressure was significantly different, 116 [106-119] and 120 [112-140], respectively, but this difference is </w:t>
      </w:r>
      <w:r w:rsidR="00B62118" w:rsidRPr="00B62118">
        <w:rPr>
          <w:lang w:val="en-US"/>
        </w:rPr>
        <w:t>unlikely to be</w:t>
      </w:r>
      <w:r w:rsidR="00B62118">
        <w:rPr>
          <w:lang w:val="en-US"/>
        </w:rPr>
        <w:t xml:space="preserve"> clinically meaningful.</w:t>
      </w:r>
    </w:p>
    <w:p w14:paraId="61FA2F26" w14:textId="5686438D" w:rsidR="00F8705F" w:rsidRDefault="00000000">
      <w:pPr>
        <w:spacing w:before="240" w:line="360" w:lineRule="auto"/>
        <w:rPr>
          <w:lang w:val="en-US"/>
        </w:rPr>
      </w:pPr>
      <w:commentRangeStart w:id="3"/>
      <w:r w:rsidRPr="00B149C3">
        <w:rPr>
          <w:lang w:val="en-US"/>
        </w:rPr>
        <w:t>Of the 1</w:t>
      </w:r>
      <w:r w:rsidR="00EB0471">
        <w:rPr>
          <w:lang w:val="en-US"/>
        </w:rPr>
        <w:t>03</w:t>
      </w:r>
      <w:r w:rsidRPr="00B149C3">
        <w:rPr>
          <w:lang w:val="en-US"/>
        </w:rPr>
        <w:t xml:space="preserve"> patients, 2</w:t>
      </w:r>
      <w:r w:rsidR="00EB0471">
        <w:rPr>
          <w:lang w:val="en-US"/>
        </w:rPr>
        <w:t>0</w:t>
      </w:r>
      <w:r w:rsidRPr="00B149C3">
        <w:rPr>
          <w:lang w:val="en-US"/>
        </w:rPr>
        <w:t xml:space="preserve"> (19%) were admitted to the ICU, 16 (1</w:t>
      </w:r>
      <w:r w:rsidR="00EB0471">
        <w:rPr>
          <w:lang w:val="en-US"/>
        </w:rPr>
        <w:t>6</w:t>
      </w:r>
      <w:r w:rsidRPr="00B149C3">
        <w:rPr>
          <w:lang w:val="en-US"/>
        </w:rPr>
        <w:t>%) to a general medical floor, and 75 (6</w:t>
      </w:r>
      <w:r w:rsidR="00EB0471">
        <w:rPr>
          <w:lang w:val="en-US"/>
        </w:rPr>
        <w:t>5</w:t>
      </w:r>
      <w:r w:rsidRPr="00B149C3">
        <w:rPr>
          <w:lang w:val="en-US"/>
        </w:rPr>
        <w:t>%) were discharged or transferred directly to psychiatry. INTOXICATE recommended ICU admission for 1</w:t>
      </w:r>
      <w:r w:rsidR="00EB0471">
        <w:rPr>
          <w:lang w:val="en-US"/>
        </w:rPr>
        <w:t>3</w:t>
      </w:r>
      <w:r w:rsidRPr="00B149C3">
        <w:rPr>
          <w:lang w:val="en-US"/>
        </w:rPr>
        <w:t>/2</w:t>
      </w:r>
      <w:r w:rsidR="00EB0471">
        <w:rPr>
          <w:lang w:val="en-US"/>
        </w:rPr>
        <w:t>0</w:t>
      </w:r>
      <w:r w:rsidRPr="00B149C3">
        <w:rPr>
          <w:lang w:val="en-US"/>
        </w:rPr>
        <w:t xml:space="preserve"> (6</w:t>
      </w:r>
      <w:r w:rsidR="00EB0471">
        <w:rPr>
          <w:lang w:val="en-US"/>
        </w:rPr>
        <w:t>5</w:t>
      </w:r>
      <w:r w:rsidRPr="00B149C3">
        <w:rPr>
          <w:lang w:val="en-US"/>
        </w:rPr>
        <w:t>%) of patients for whom the toxicologist recommended ICU admission, ICU admission for 12 of the 16 (75%) patients for whom admission the toxicologist recommended a general medical floor, and ICU admission for and 3</w:t>
      </w:r>
      <w:r w:rsidR="00766752">
        <w:rPr>
          <w:lang w:val="en-US"/>
        </w:rPr>
        <w:t>6</w:t>
      </w:r>
      <w:r w:rsidRPr="00B149C3">
        <w:rPr>
          <w:lang w:val="en-US"/>
        </w:rPr>
        <w:t xml:space="preserve"> of the </w:t>
      </w:r>
      <w:r w:rsidR="00766752">
        <w:rPr>
          <w:lang w:val="en-US"/>
        </w:rPr>
        <w:t>75</w:t>
      </w:r>
      <w:r w:rsidRPr="00B149C3">
        <w:rPr>
          <w:lang w:val="en-US"/>
        </w:rPr>
        <w:t xml:space="preserve"> (</w:t>
      </w:r>
      <w:r w:rsidR="00766752">
        <w:rPr>
          <w:lang w:val="en-US"/>
        </w:rPr>
        <w:t>4</w:t>
      </w:r>
      <w:r w:rsidRPr="00B149C3">
        <w:rPr>
          <w:lang w:val="en-US"/>
        </w:rPr>
        <w:t xml:space="preserve">8%) patients for whom the toxicologist recommended discharge. No patients for whom toxicology recommended a floor admission were admitted to a floor and then transferred to the ICU. No patients who were discharged but for whom INTOXICATE recommended admission returned to any hospital in the metropolitan area in 48 hours. </w:t>
      </w:r>
      <w:commentRangeEnd w:id="3"/>
      <w:r w:rsidR="002D62ED">
        <w:rPr>
          <w:rStyle w:val="CommentReference"/>
        </w:rPr>
        <w:commentReference w:id="3"/>
      </w:r>
      <w:r w:rsidR="00A7004B">
        <w:rPr>
          <w:lang w:val="en-US"/>
        </w:rPr>
        <w:t>There was no agreement greater than chance between INTOXICATE’s predictions and the bedside toxicologists’ recommendations for either adolescents or adults (</w:t>
      </w:r>
      <w:r w:rsidR="00A7004B" w:rsidRPr="00A7004B">
        <w:t xml:space="preserve">Table </w:t>
      </w:r>
      <w:r w:rsidR="00A7004B" w:rsidRPr="00A7004B">
        <w:rPr>
          <w:noProof/>
        </w:rPr>
        <w:t>2</w:t>
      </w:r>
      <w:r w:rsidR="00A7004B">
        <w:rPr>
          <w:lang w:val="en-US"/>
        </w:rPr>
        <w:t xml:space="preserve">). </w:t>
      </w:r>
    </w:p>
    <w:p w14:paraId="779ECD93" w14:textId="1AB9C4B8" w:rsidR="00920577" w:rsidRDefault="003B5E3B">
      <w:pPr>
        <w:spacing w:before="240" w:line="360" w:lineRule="auto"/>
        <w:rPr>
          <w:lang w:val="en-US"/>
        </w:rPr>
      </w:pPr>
      <w:r w:rsidRPr="00B149C3">
        <w:rPr>
          <w:b/>
          <w:bCs/>
          <w:lang w:val="en-US"/>
        </w:rPr>
        <w:lastRenderedPageBreak/>
        <w:t>Adults.</w:t>
      </w:r>
      <w:r>
        <w:rPr>
          <w:lang w:val="en-US"/>
        </w:rPr>
        <w:t xml:space="preserve"> </w:t>
      </w:r>
      <w:r w:rsidR="00C301A4">
        <w:rPr>
          <w:lang w:val="en-US"/>
        </w:rPr>
        <w:t xml:space="preserve">Of the 79 adults, 16 were admitted to the ICU. INTOXICATE and toxicologist agreed that 11 of the 16 (69%) required ICU admission. For the remaining 5, INTOXICATE </w:t>
      </w:r>
      <w:r w:rsidR="00920577">
        <w:rPr>
          <w:lang w:val="en-US"/>
        </w:rPr>
        <w:t xml:space="preserve">assigned them a lower risk score because </w:t>
      </w:r>
      <w:r w:rsidR="00AB4801">
        <w:rPr>
          <w:lang w:val="en-US"/>
        </w:rPr>
        <w:t>it considered</w:t>
      </w:r>
      <w:r w:rsidR="00C301A4">
        <w:rPr>
          <w:lang w:val="en-US"/>
        </w:rPr>
        <w:t xml:space="preserve"> </w:t>
      </w:r>
      <w:r w:rsidR="00AB4801">
        <w:rPr>
          <w:lang w:val="en-US"/>
        </w:rPr>
        <w:t xml:space="preserve">their </w:t>
      </w:r>
      <w:r w:rsidR="00C301A4">
        <w:rPr>
          <w:lang w:val="en-US"/>
        </w:rPr>
        <w:t xml:space="preserve">exposure </w:t>
      </w:r>
      <w:r w:rsidR="00AB4801">
        <w:rPr>
          <w:lang w:val="en-US"/>
        </w:rPr>
        <w:t>to be</w:t>
      </w:r>
      <w:r w:rsidR="00C301A4">
        <w:rPr>
          <w:lang w:val="en-US"/>
        </w:rPr>
        <w:t xml:space="preserve"> low risk</w:t>
      </w:r>
      <w:r w:rsidR="00541179">
        <w:rPr>
          <w:lang w:val="en-US"/>
        </w:rPr>
        <w:t>,</w:t>
      </w:r>
      <w:r w:rsidR="00C301A4">
        <w:rPr>
          <w:lang w:val="en-US"/>
        </w:rPr>
        <w:t xml:space="preserve"> there was no respiratory insufficiency or dysrhythmia</w:t>
      </w:r>
      <w:r w:rsidR="00541179">
        <w:rPr>
          <w:lang w:val="en-US"/>
        </w:rPr>
        <w:t>, their GCS scores were 15</w:t>
      </w:r>
      <w:r w:rsidR="00920577">
        <w:rPr>
          <w:lang w:val="en-US"/>
        </w:rPr>
        <w:t xml:space="preserve">, their pulses were </w:t>
      </w:r>
      <w:r w:rsidR="003C56C3">
        <w:rPr>
          <w:lang w:val="en-US"/>
        </w:rPr>
        <w:t>lower</w:t>
      </w:r>
      <w:r w:rsidR="00D45354">
        <w:rPr>
          <w:lang w:val="en-US"/>
        </w:rPr>
        <w:t>,</w:t>
      </w:r>
      <w:r w:rsidR="00920577">
        <w:rPr>
          <w:lang w:val="en-US"/>
        </w:rPr>
        <w:t xml:space="preserve"> and they were younger. The median (IQR) pulse in those for whom INTOXICATE and Toxicology recommended ICU admission was 87 (76-104) beats per minute. </w:t>
      </w:r>
      <w:commentRangeStart w:id="4"/>
      <w:commentRangeStart w:id="5"/>
      <w:commentRangeStart w:id="6"/>
      <w:commentRangeStart w:id="7"/>
      <w:r w:rsidR="00920577">
        <w:rPr>
          <w:lang w:val="en-US"/>
        </w:rPr>
        <w:t>It was 70 (65-74) beats per minute in the patients for whom Toxicology recommended ICU admission but INTOXICATE did not. The median ages were 38 (30-53) and 30 (25-38), respectively. N</w:t>
      </w:r>
      <w:r w:rsidR="00535718">
        <w:rPr>
          <w:lang w:val="en-US"/>
        </w:rPr>
        <w:t>either</w:t>
      </w:r>
      <w:r w:rsidR="00920577">
        <w:rPr>
          <w:lang w:val="en-US"/>
        </w:rPr>
        <w:t xml:space="preserve"> of these differences were statistically significant. </w:t>
      </w:r>
      <w:commentRangeEnd w:id="4"/>
      <w:r w:rsidR="004F40E0">
        <w:rPr>
          <w:rStyle w:val="CommentReference"/>
        </w:rPr>
        <w:commentReference w:id="4"/>
      </w:r>
      <w:commentRangeEnd w:id="5"/>
      <w:r w:rsidR="008201B0">
        <w:rPr>
          <w:rStyle w:val="CommentReference"/>
        </w:rPr>
        <w:commentReference w:id="5"/>
      </w:r>
      <w:commentRangeEnd w:id="6"/>
      <w:r w:rsidR="00FC1467">
        <w:rPr>
          <w:rStyle w:val="CommentReference"/>
        </w:rPr>
        <w:commentReference w:id="6"/>
      </w:r>
      <w:commentRangeEnd w:id="7"/>
      <w:r w:rsidR="002B48C8">
        <w:rPr>
          <w:rStyle w:val="CommentReference"/>
        </w:rPr>
        <w:commentReference w:id="7"/>
      </w:r>
      <w:r w:rsidR="006C5E6E">
        <w:rPr>
          <w:lang w:val="en-US"/>
        </w:rPr>
        <w:t xml:space="preserve"> Taking the toxicologist’s recommendation as the gold standard, the sensitivity and specificity of INTOXICATE </w:t>
      </w:r>
      <w:r w:rsidR="00B62118">
        <w:rPr>
          <w:lang w:val="en-US"/>
        </w:rPr>
        <w:t xml:space="preserve">for patients aged 18-65 </w:t>
      </w:r>
      <w:r w:rsidR="006C5E6E">
        <w:rPr>
          <w:lang w:val="en-US"/>
        </w:rPr>
        <w:t>were 69</w:t>
      </w:r>
      <w:r>
        <w:rPr>
          <w:lang w:val="en-US"/>
        </w:rPr>
        <w:t>%</w:t>
      </w:r>
      <w:r w:rsidR="006C5E6E">
        <w:rPr>
          <w:lang w:val="en-US"/>
        </w:rPr>
        <w:t xml:space="preserve"> [41-89] and 38% [26-51], respectively, expressed as estimate [95% confidence interval]. </w:t>
      </w:r>
    </w:p>
    <w:p w14:paraId="438F3561" w14:textId="4FFDF8A2" w:rsidR="00C301A4" w:rsidRDefault="00C301A4">
      <w:pPr>
        <w:spacing w:before="240" w:line="360" w:lineRule="auto"/>
        <w:rPr>
          <w:lang w:val="en-US"/>
        </w:rPr>
      </w:pPr>
      <w:r>
        <w:rPr>
          <w:lang w:val="en-US"/>
        </w:rPr>
        <w:t xml:space="preserve">INTOXICATE thought 39 people required the ICU because </w:t>
      </w:r>
      <w:r w:rsidR="00541179">
        <w:rPr>
          <w:lang w:val="en-US"/>
        </w:rPr>
        <w:t>of the converse</w:t>
      </w:r>
      <w:r>
        <w:rPr>
          <w:lang w:val="en-US"/>
        </w:rPr>
        <w:t xml:space="preserve"> even though bedside toxicologists did not.  </w:t>
      </w:r>
      <w:r w:rsidR="00541179">
        <w:rPr>
          <w:lang w:val="en-US"/>
        </w:rPr>
        <w:t xml:space="preserve">The </w:t>
      </w:r>
      <w:commentRangeStart w:id="8"/>
      <w:commentRangeStart w:id="9"/>
      <w:commentRangeStart w:id="10"/>
      <w:commentRangeStart w:id="11"/>
      <w:r w:rsidR="00E44545">
        <w:rPr>
          <w:lang w:val="en-US"/>
        </w:rPr>
        <w:t xml:space="preserve">age, </w:t>
      </w:r>
      <w:r w:rsidR="00541179">
        <w:rPr>
          <w:lang w:val="en-US"/>
        </w:rPr>
        <w:t>median heart</w:t>
      </w:r>
      <w:r w:rsidR="00D33985">
        <w:rPr>
          <w:lang w:val="en-US"/>
        </w:rPr>
        <w:t xml:space="preserve"> rate,</w:t>
      </w:r>
      <w:r w:rsidR="00541179">
        <w:rPr>
          <w:lang w:val="en-US"/>
        </w:rPr>
        <w:t xml:space="preserve"> and</w:t>
      </w:r>
      <w:r w:rsidR="00D33985">
        <w:rPr>
          <w:lang w:val="en-US"/>
        </w:rPr>
        <w:t xml:space="preserve"> median</w:t>
      </w:r>
      <w:r w:rsidR="00541179">
        <w:rPr>
          <w:lang w:val="en-US"/>
        </w:rPr>
        <w:t xml:space="preserve"> </w:t>
      </w:r>
      <w:commentRangeEnd w:id="8"/>
      <w:r w:rsidR="00D33985">
        <w:rPr>
          <w:rStyle w:val="CommentReference"/>
        </w:rPr>
        <w:commentReference w:id="8"/>
      </w:r>
      <w:commentRangeEnd w:id="9"/>
      <w:r w:rsidR="00F613F1">
        <w:rPr>
          <w:rStyle w:val="CommentReference"/>
        </w:rPr>
        <w:commentReference w:id="9"/>
      </w:r>
      <w:commentRangeEnd w:id="10"/>
      <w:r w:rsidR="00FC1467">
        <w:rPr>
          <w:rStyle w:val="CommentReference"/>
        </w:rPr>
        <w:commentReference w:id="10"/>
      </w:r>
      <w:commentRangeEnd w:id="11"/>
      <w:r w:rsidR="007F6232">
        <w:rPr>
          <w:rStyle w:val="CommentReference"/>
        </w:rPr>
        <w:commentReference w:id="11"/>
      </w:r>
      <w:r w:rsidR="00541179">
        <w:rPr>
          <w:lang w:val="en-US"/>
        </w:rPr>
        <w:t xml:space="preserve">systolic blood pressure </w:t>
      </w:r>
      <w:proofErr w:type="gramStart"/>
      <w:r w:rsidR="00541179" w:rsidRPr="00186A63">
        <w:rPr>
          <w:lang w:val="en-US"/>
        </w:rPr>
        <w:t>were</w:t>
      </w:r>
      <w:proofErr w:type="gramEnd"/>
      <w:r w:rsidR="00541179" w:rsidRPr="00186A63">
        <w:rPr>
          <w:lang w:val="en-US"/>
        </w:rPr>
        <w:t xml:space="preserve"> not significantly different between </w:t>
      </w:r>
      <w:r w:rsidR="00541179">
        <w:rPr>
          <w:lang w:val="en-US"/>
        </w:rPr>
        <w:t xml:space="preserve">those </w:t>
      </w:r>
      <w:r w:rsidR="00D33985">
        <w:rPr>
          <w:lang w:val="en-US"/>
        </w:rPr>
        <w:t xml:space="preserve">for </w:t>
      </w:r>
      <w:r w:rsidR="00541179">
        <w:rPr>
          <w:lang w:val="en-US"/>
        </w:rPr>
        <w:t>whom INTOXICATE predicted required the ICU and those whom it predicted did not.</w:t>
      </w:r>
    </w:p>
    <w:p w14:paraId="0B44F441" w14:textId="42FA1FFB" w:rsidR="00B00952" w:rsidRPr="00B149C3" w:rsidRDefault="003B5E3B">
      <w:pPr>
        <w:spacing w:before="240" w:line="360" w:lineRule="auto"/>
        <w:rPr>
          <w:lang w:val="en-US"/>
        </w:rPr>
      </w:pPr>
      <w:r w:rsidRPr="00B149C3">
        <w:rPr>
          <w:b/>
          <w:bCs/>
          <w:lang w:val="en-US"/>
        </w:rPr>
        <w:t xml:space="preserve">Adolescents. </w:t>
      </w:r>
      <w:r w:rsidR="001E5763">
        <w:rPr>
          <w:lang w:val="en-US"/>
        </w:rPr>
        <w:t xml:space="preserve">Of the 24 adolescents, 4 were admitted to the ICU. INTOXICATE and toxicologist agreed that </w:t>
      </w:r>
      <w:r w:rsidR="00B62118">
        <w:rPr>
          <w:lang w:val="en-US"/>
        </w:rPr>
        <w:t>two</w:t>
      </w:r>
      <w:r w:rsidR="001E5763">
        <w:rPr>
          <w:lang w:val="en-US"/>
        </w:rPr>
        <w:t xml:space="preserve"> of the </w:t>
      </w:r>
      <w:r w:rsidR="00B62118">
        <w:rPr>
          <w:lang w:val="en-US"/>
        </w:rPr>
        <w:t>four</w:t>
      </w:r>
      <w:r w:rsidR="001E5763">
        <w:rPr>
          <w:lang w:val="en-US"/>
        </w:rPr>
        <w:t xml:space="preserve"> (50%) required ICU admission. </w:t>
      </w:r>
      <w:r w:rsidR="003C56C3">
        <w:rPr>
          <w:lang w:val="en-US"/>
        </w:rPr>
        <w:t>T</w:t>
      </w:r>
      <w:r w:rsidR="001E5763">
        <w:rPr>
          <w:lang w:val="en-US"/>
        </w:rPr>
        <w:t xml:space="preserve">hese patients presented with </w:t>
      </w:r>
      <w:r w:rsidR="00AD77B2">
        <w:rPr>
          <w:lang w:val="en-US"/>
        </w:rPr>
        <w:t>GCS 10 and 14</w:t>
      </w:r>
      <w:r w:rsidR="001E5763">
        <w:rPr>
          <w:lang w:val="en-US"/>
        </w:rPr>
        <w:t xml:space="preserve">, </w:t>
      </w:r>
      <w:r w:rsidR="00B62118">
        <w:rPr>
          <w:lang w:val="en-US"/>
        </w:rPr>
        <w:t xml:space="preserve">and </w:t>
      </w:r>
      <w:commentRangeStart w:id="12"/>
      <w:r w:rsidR="001E5763">
        <w:rPr>
          <w:lang w:val="en-US"/>
        </w:rPr>
        <w:t>tachycardi</w:t>
      </w:r>
      <w:r w:rsidR="00B62118">
        <w:rPr>
          <w:lang w:val="en-US"/>
        </w:rPr>
        <w:t>a</w:t>
      </w:r>
      <w:commentRangeEnd w:id="12"/>
      <w:r w:rsidR="00B62118">
        <w:rPr>
          <w:rStyle w:val="CommentReference"/>
        </w:rPr>
        <w:commentReference w:id="12"/>
      </w:r>
      <w:r w:rsidR="00891FD8">
        <w:rPr>
          <w:lang w:val="en-US"/>
        </w:rPr>
        <w:t>.</w:t>
      </w:r>
      <w:r w:rsidR="001E5763">
        <w:rPr>
          <w:lang w:val="en-US"/>
        </w:rPr>
        <w:t xml:space="preserve"> </w:t>
      </w:r>
      <w:commentRangeStart w:id="13"/>
      <w:commentRangeStart w:id="14"/>
      <w:r w:rsidR="00891FD8">
        <w:rPr>
          <w:lang w:val="en-US"/>
        </w:rPr>
        <w:t>O</w:t>
      </w:r>
      <w:r w:rsidR="001E5763">
        <w:rPr>
          <w:lang w:val="en-US"/>
        </w:rPr>
        <w:t xml:space="preserve">ne presented </w:t>
      </w:r>
      <w:r w:rsidR="00891FD8">
        <w:rPr>
          <w:lang w:val="en-US"/>
        </w:rPr>
        <w:t>after ingesting an unknown substance.</w:t>
      </w:r>
      <w:r w:rsidR="001E5763">
        <w:rPr>
          <w:lang w:val="en-US"/>
        </w:rPr>
        <w:t xml:space="preserve"> </w:t>
      </w:r>
      <w:commentRangeEnd w:id="13"/>
      <w:r w:rsidR="00891FD8">
        <w:rPr>
          <w:rStyle w:val="CommentReference"/>
        </w:rPr>
        <w:commentReference w:id="13"/>
      </w:r>
      <w:commentRangeEnd w:id="14"/>
      <w:r w:rsidR="00AD77B2">
        <w:rPr>
          <w:rStyle w:val="CommentReference"/>
        </w:rPr>
        <w:commentReference w:id="14"/>
      </w:r>
      <w:r w:rsidR="00891FD8">
        <w:rPr>
          <w:lang w:val="en-US"/>
        </w:rPr>
        <w:t xml:space="preserve"> Of the </w:t>
      </w:r>
      <w:r w:rsidR="001E5763">
        <w:rPr>
          <w:lang w:val="en-US"/>
        </w:rPr>
        <w:t xml:space="preserve">two patients, for whom INTOXICATE did not recommend ICU admission, </w:t>
      </w:r>
      <w:r w:rsidR="00891FD8">
        <w:rPr>
          <w:lang w:val="en-US"/>
        </w:rPr>
        <w:t>o</w:t>
      </w:r>
      <w:r w:rsidR="001E5763">
        <w:rPr>
          <w:lang w:val="en-US"/>
        </w:rPr>
        <w:t>ne presented with</w:t>
      </w:r>
      <w:r w:rsidR="00891FD8">
        <w:rPr>
          <w:lang w:val="en-US"/>
        </w:rPr>
        <w:t xml:space="preserve"> a</w:t>
      </w:r>
      <w:r w:rsidR="00B62118">
        <w:rPr>
          <w:lang w:val="en-US"/>
        </w:rPr>
        <w:t>n</w:t>
      </w:r>
      <w:r w:rsidR="00891FD8">
        <w:rPr>
          <w:lang w:val="en-US"/>
        </w:rPr>
        <w:t xml:space="preserve"> acetaminophen ingestion</w:t>
      </w:r>
      <w:r w:rsidR="00B62118">
        <w:rPr>
          <w:lang w:val="en-US"/>
        </w:rPr>
        <w:t xml:space="preserve"> requiring N-acetylcysteine</w:t>
      </w:r>
      <w:r w:rsidR="001F73F8">
        <w:rPr>
          <w:lang w:val="en-US"/>
        </w:rPr>
        <w:t xml:space="preserve">. INTOXICATE assigned a risk score of 3 because the patient </w:t>
      </w:r>
      <w:r w:rsidR="001E5763">
        <w:rPr>
          <w:lang w:val="en-US"/>
        </w:rPr>
        <w:t xml:space="preserve">was normotensive, </w:t>
      </w:r>
      <w:r w:rsidR="001F73F8">
        <w:rPr>
          <w:lang w:val="en-US"/>
        </w:rPr>
        <w:t>not tachycardic</w:t>
      </w:r>
      <w:r w:rsidR="00826F00">
        <w:rPr>
          <w:lang w:val="en-US"/>
        </w:rPr>
        <w:t>,</w:t>
      </w:r>
      <w:r w:rsidR="001F73F8">
        <w:rPr>
          <w:lang w:val="en-US"/>
        </w:rPr>
        <w:t xml:space="preserve"> </w:t>
      </w:r>
      <w:r w:rsidR="001E5763">
        <w:rPr>
          <w:lang w:val="en-US"/>
        </w:rPr>
        <w:t xml:space="preserve">and had </w:t>
      </w:r>
      <w:r w:rsidR="001F73F8">
        <w:rPr>
          <w:lang w:val="en-US"/>
        </w:rPr>
        <w:t>no cirrhosis, respiratory insufficiency, or cardiac dysrhythmia. T</w:t>
      </w:r>
      <w:r w:rsidR="001E5763">
        <w:rPr>
          <w:lang w:val="en-US"/>
        </w:rPr>
        <w:t xml:space="preserve">he other presented with alcohol intoxication and was hypertensive, tachycardic, with </w:t>
      </w:r>
      <w:commentRangeStart w:id="15"/>
      <w:commentRangeStart w:id="16"/>
      <w:commentRangeStart w:id="17"/>
      <w:r w:rsidR="001E5763">
        <w:rPr>
          <w:lang w:val="en-US"/>
        </w:rPr>
        <w:t>GCS = 10 (IRS = 4)</w:t>
      </w:r>
      <w:commentRangeEnd w:id="15"/>
      <w:r>
        <w:rPr>
          <w:rStyle w:val="CommentReference"/>
        </w:rPr>
        <w:commentReference w:id="15"/>
      </w:r>
      <w:commentRangeEnd w:id="16"/>
      <w:r>
        <w:rPr>
          <w:rStyle w:val="CommentReference"/>
        </w:rPr>
        <w:commentReference w:id="16"/>
      </w:r>
      <w:commentRangeEnd w:id="17"/>
      <w:r w:rsidR="00F55CE4">
        <w:rPr>
          <w:rStyle w:val="CommentReference"/>
        </w:rPr>
        <w:commentReference w:id="17"/>
      </w:r>
      <w:r w:rsidR="001E5763">
        <w:rPr>
          <w:lang w:val="en-US"/>
        </w:rPr>
        <w:t xml:space="preserve">. </w:t>
      </w:r>
      <w:r w:rsidR="003C56C3">
        <w:rPr>
          <w:lang w:val="en-US"/>
        </w:rPr>
        <w:t xml:space="preserve">In INTOXICATE’s schema, </w:t>
      </w:r>
      <w:r w:rsidR="00B62118">
        <w:rPr>
          <w:lang w:val="en-US"/>
        </w:rPr>
        <w:t xml:space="preserve">report of </w:t>
      </w:r>
      <w:r w:rsidR="003C56C3">
        <w:rPr>
          <w:lang w:val="en-US"/>
        </w:rPr>
        <w:t xml:space="preserve">alcohol ingestion decreases the odds of ICU admission no matter the vital sign abnormalities. </w:t>
      </w:r>
      <w:r w:rsidR="001E5763">
        <w:rPr>
          <w:lang w:val="en-US"/>
        </w:rPr>
        <w:t xml:space="preserve">INTOXICATE </w:t>
      </w:r>
      <w:r>
        <w:rPr>
          <w:lang w:val="en-US"/>
        </w:rPr>
        <w:t xml:space="preserve">recommended the </w:t>
      </w:r>
      <w:r w:rsidR="001E5763">
        <w:rPr>
          <w:lang w:val="en-US"/>
        </w:rPr>
        <w:t xml:space="preserve">ICU requirement </w:t>
      </w:r>
      <w:r>
        <w:rPr>
          <w:lang w:val="en-US"/>
        </w:rPr>
        <w:t>for</w:t>
      </w:r>
      <w:r w:rsidR="001E5763">
        <w:rPr>
          <w:lang w:val="en-US"/>
        </w:rPr>
        <w:t xml:space="preserve"> 9 </w:t>
      </w:r>
      <w:r w:rsidR="00B62118">
        <w:rPr>
          <w:lang w:val="en-US"/>
        </w:rPr>
        <w:t>adolescents</w:t>
      </w:r>
      <w:r w:rsidR="001E5763">
        <w:rPr>
          <w:lang w:val="en-US"/>
        </w:rPr>
        <w:t xml:space="preserve"> for whom toxicology did not</w:t>
      </w:r>
      <w:r>
        <w:rPr>
          <w:lang w:val="en-US"/>
        </w:rPr>
        <w:t>.</w:t>
      </w:r>
      <w:r w:rsidR="001E5763">
        <w:rPr>
          <w:lang w:val="en-US"/>
        </w:rPr>
        <w:t xml:space="preserve"> </w:t>
      </w:r>
      <w:r>
        <w:rPr>
          <w:lang w:val="en-US"/>
        </w:rPr>
        <w:t>T</w:t>
      </w:r>
      <w:r w:rsidR="001E5763">
        <w:rPr>
          <w:lang w:val="en-US"/>
        </w:rPr>
        <w:t xml:space="preserve">hese 9 patients presented with </w:t>
      </w:r>
      <w:r>
        <w:rPr>
          <w:lang w:val="en-US"/>
        </w:rPr>
        <w:t>different</w:t>
      </w:r>
      <w:r w:rsidR="001E5763">
        <w:rPr>
          <w:lang w:val="en-US"/>
        </w:rPr>
        <w:t xml:space="preserve"> </w:t>
      </w:r>
      <w:r>
        <w:rPr>
          <w:lang w:val="en-US"/>
        </w:rPr>
        <w:t>ingestions</w:t>
      </w:r>
      <w:r w:rsidR="001E5763">
        <w:rPr>
          <w:lang w:val="en-US"/>
        </w:rPr>
        <w:t xml:space="preserve">, but all were tachycardic </w:t>
      </w:r>
      <w:r w:rsidR="009851CF">
        <w:rPr>
          <w:lang w:val="en-US"/>
        </w:rPr>
        <w:t xml:space="preserve">with </w:t>
      </w:r>
      <w:commentRangeStart w:id="18"/>
      <w:r w:rsidR="009851CF">
        <w:rPr>
          <w:lang w:val="en-US"/>
        </w:rPr>
        <w:t>me</w:t>
      </w:r>
      <w:r w:rsidR="00766752">
        <w:rPr>
          <w:lang w:val="en-US"/>
        </w:rPr>
        <w:t>dian</w:t>
      </w:r>
      <w:r w:rsidR="009851CF">
        <w:rPr>
          <w:lang w:val="en-US"/>
        </w:rPr>
        <w:t xml:space="preserve"> </w:t>
      </w:r>
      <w:r w:rsidR="00B62118">
        <w:rPr>
          <w:lang w:val="en-US"/>
        </w:rPr>
        <w:t xml:space="preserve">(IQR) of </w:t>
      </w:r>
      <w:r w:rsidR="009851CF">
        <w:rPr>
          <w:lang w:val="en-US"/>
        </w:rPr>
        <w:t>11</w:t>
      </w:r>
      <w:r w:rsidR="00766752">
        <w:rPr>
          <w:lang w:val="en-US"/>
        </w:rPr>
        <w:t>4</w:t>
      </w:r>
      <w:r w:rsidR="009851CF">
        <w:rPr>
          <w:lang w:val="en-US"/>
        </w:rPr>
        <w:t xml:space="preserve"> (106</w:t>
      </w:r>
      <w:r w:rsidR="00B62118">
        <w:rPr>
          <w:lang w:val="en-US"/>
        </w:rPr>
        <w:t xml:space="preserve"> - </w:t>
      </w:r>
      <w:r w:rsidR="009851CF">
        <w:rPr>
          <w:lang w:val="en-US"/>
        </w:rPr>
        <w:t>115) bpm</w:t>
      </w:r>
      <w:commentRangeEnd w:id="18"/>
      <w:r>
        <w:rPr>
          <w:rStyle w:val="CommentReference"/>
        </w:rPr>
        <w:commentReference w:id="18"/>
      </w:r>
      <w:r w:rsidR="009851CF">
        <w:rPr>
          <w:lang w:val="en-US"/>
        </w:rPr>
        <w:t xml:space="preserve">, and all had </w:t>
      </w:r>
      <w:r w:rsidR="00B62118">
        <w:rPr>
          <w:lang w:val="en-US"/>
        </w:rPr>
        <w:t xml:space="preserve">a </w:t>
      </w:r>
      <w:r w:rsidR="009851CF">
        <w:rPr>
          <w:lang w:val="en-US"/>
        </w:rPr>
        <w:t>GCS of 15.</w:t>
      </w:r>
      <w:r w:rsidR="00424DE6">
        <w:rPr>
          <w:lang w:val="en-US"/>
        </w:rPr>
        <w:t xml:space="preserve"> </w:t>
      </w:r>
      <w:r>
        <w:rPr>
          <w:lang w:val="en-US"/>
        </w:rPr>
        <w:t>T</w:t>
      </w:r>
      <w:r w:rsidR="00424DE6">
        <w:rPr>
          <w:lang w:val="en-US"/>
        </w:rPr>
        <w:t>here were no significant differences in</w:t>
      </w:r>
      <w:r w:rsidR="00857310">
        <w:rPr>
          <w:lang w:val="en-US"/>
        </w:rPr>
        <w:t xml:space="preserve"> age, HR, SBP, GCS, or presence of respiratory insufficiency, cirrhosis, dysrhythmia, or </w:t>
      </w:r>
      <w:r>
        <w:rPr>
          <w:lang w:val="en-US"/>
        </w:rPr>
        <w:t xml:space="preserve">other </w:t>
      </w:r>
      <w:r w:rsidR="00857310">
        <w:rPr>
          <w:lang w:val="en-US"/>
        </w:rPr>
        <w:t xml:space="preserve">reason for ICU admission. </w:t>
      </w:r>
      <w:commentRangeStart w:id="19"/>
      <w:commentRangeStart w:id="20"/>
      <w:r w:rsidR="005166AB">
        <w:rPr>
          <w:lang w:val="en-US"/>
        </w:rPr>
        <w:t>Taking the toxicologist’s recommendation as the gold standard, the sensitivity and specificity of INTOXICATE were 50</w:t>
      </w:r>
      <w:r w:rsidR="00FC15AE">
        <w:rPr>
          <w:lang w:val="en-US"/>
        </w:rPr>
        <w:t>%</w:t>
      </w:r>
      <w:r w:rsidR="005166AB">
        <w:rPr>
          <w:lang w:val="en-US"/>
        </w:rPr>
        <w:t xml:space="preserve"> [1-</w:t>
      </w:r>
      <w:r w:rsidR="00FC15AE">
        <w:rPr>
          <w:lang w:val="en-US"/>
        </w:rPr>
        <w:t xml:space="preserve">99] </w:t>
      </w:r>
      <w:r w:rsidR="005166AB">
        <w:rPr>
          <w:lang w:val="en-US"/>
        </w:rPr>
        <w:t>and 55</w:t>
      </w:r>
      <w:r w:rsidR="00FC15AE">
        <w:rPr>
          <w:lang w:val="en-US"/>
        </w:rPr>
        <w:t>%</w:t>
      </w:r>
      <w:r w:rsidR="005166AB">
        <w:rPr>
          <w:lang w:val="en-US"/>
        </w:rPr>
        <w:t xml:space="preserve"> [33-77], respectively, expressed as estimate </w:t>
      </w:r>
      <w:r w:rsidR="005166AB">
        <w:rPr>
          <w:lang w:val="en-US"/>
        </w:rPr>
        <w:lastRenderedPageBreak/>
        <w:t>[95% confidence interval].</w:t>
      </w:r>
      <w:commentRangeEnd w:id="19"/>
      <w:r w:rsidR="00DB471D">
        <w:rPr>
          <w:rStyle w:val="CommentReference"/>
        </w:rPr>
        <w:commentReference w:id="19"/>
      </w:r>
      <w:commentRangeEnd w:id="20"/>
      <w:r w:rsidR="00DB471D">
        <w:rPr>
          <w:rStyle w:val="CommentReference"/>
        </w:rPr>
        <w:commentReference w:id="20"/>
      </w:r>
      <w:r w:rsidR="00522A6A">
        <w:rPr>
          <w:lang w:val="en-US"/>
        </w:rPr>
        <w:t xml:space="preserve"> The wide confidence intervals reflect </w:t>
      </w:r>
      <w:r w:rsidR="00B62118">
        <w:rPr>
          <w:lang w:val="en-US"/>
        </w:rPr>
        <w:t>the overall small number of adolescents</w:t>
      </w:r>
      <w:r w:rsidR="00522A6A">
        <w:rPr>
          <w:i/>
          <w:iCs/>
          <w:lang w:val="en-US"/>
        </w:rPr>
        <w:t>.</w:t>
      </w:r>
      <w:r w:rsidR="00857310">
        <w:rPr>
          <w:lang w:val="en-US"/>
        </w:rPr>
        <w:t xml:space="preserve"> </w:t>
      </w:r>
    </w:p>
    <w:p w14:paraId="6F5B1875" w14:textId="55D0F701" w:rsidR="00B00952" w:rsidRDefault="00000000">
      <w:pPr>
        <w:spacing w:before="240" w:line="360" w:lineRule="auto"/>
        <w:rPr>
          <w:i/>
          <w:lang w:val="en-US"/>
        </w:rPr>
      </w:pPr>
      <w:r w:rsidRPr="00B149C3">
        <w:rPr>
          <w:b/>
          <w:i/>
          <w:lang w:val="en-US"/>
        </w:rPr>
        <w:t>Discussion:</w:t>
      </w:r>
      <w:r w:rsidRPr="00B149C3">
        <w:rPr>
          <w:i/>
          <w:lang w:val="en-US"/>
        </w:rPr>
        <w:t xml:space="preserve"> </w:t>
      </w:r>
    </w:p>
    <w:p w14:paraId="14C63F36" w14:textId="0B9AC143" w:rsidR="00B00952" w:rsidRPr="00B149C3" w:rsidRDefault="004F40E0">
      <w:pPr>
        <w:spacing w:before="240" w:line="360" w:lineRule="auto"/>
        <w:rPr>
          <w:lang w:val="en-US"/>
        </w:rPr>
      </w:pPr>
      <w:r>
        <w:rPr>
          <w:iCs/>
          <w:lang w:val="en-US"/>
        </w:rPr>
        <w:t xml:space="preserve">The overall goal of this paper </w:t>
      </w:r>
      <w:r w:rsidR="00DF18C8">
        <w:rPr>
          <w:lang w:val="en-US"/>
        </w:rPr>
        <w:t xml:space="preserve">was to externally validate INTOXICATE as a clinical decision tool </w:t>
      </w:r>
      <w:r w:rsidR="00FC15AE">
        <w:rPr>
          <w:lang w:val="en-US"/>
        </w:rPr>
        <w:t xml:space="preserve">to identify patients who would not need ICU level of care in the first 24 hours after presentation. </w:t>
      </w:r>
      <w:r w:rsidR="00DF18C8">
        <w:rPr>
          <w:lang w:val="en-US"/>
        </w:rPr>
        <w:t>We found that INTOXICATE had no clinically significant agreement with the recommendations of bedside toxicologists.</w:t>
      </w:r>
      <w:r w:rsidR="00570AC5">
        <w:rPr>
          <w:lang w:val="en-US"/>
        </w:rPr>
        <w:t xml:space="preserve"> </w:t>
      </w:r>
      <w:r w:rsidR="00FC15AE">
        <w:rPr>
          <w:lang w:val="en-US"/>
        </w:rPr>
        <w:t xml:space="preserve">The initial derivation study investigated suspected poisoned patients admitted to the ICU.  </w:t>
      </w:r>
      <w:r w:rsidR="00FC15AE" w:rsidRPr="00B149C3">
        <w:rPr>
          <w:lang w:val="en-US"/>
        </w:rPr>
        <w:t xml:space="preserve">If applied </w:t>
      </w:r>
      <w:r w:rsidR="00DD6BA0">
        <w:rPr>
          <w:lang w:val="en-US"/>
        </w:rPr>
        <w:t xml:space="preserve">only </w:t>
      </w:r>
      <w:r w:rsidR="00FC15AE" w:rsidRPr="00B149C3">
        <w:rPr>
          <w:lang w:val="en-US"/>
        </w:rPr>
        <w:t>to patients for whom toxicology recommended ICU admission, INTOXICATE would have reduced ICU admissions by 33% (7/21), consistent with the</w:t>
      </w:r>
      <w:r w:rsidR="004605B2">
        <w:rPr>
          <w:lang w:val="en-US"/>
        </w:rPr>
        <w:t xml:space="preserve"> initial derivation study. </w:t>
      </w:r>
      <w:r w:rsidR="00597A8B">
        <w:rPr>
          <w:lang w:val="en-US"/>
        </w:rPr>
        <w:t>However</w:t>
      </w:r>
      <w:r w:rsidR="00FC15AE">
        <w:rPr>
          <w:lang w:val="en-US"/>
        </w:rPr>
        <w:t xml:space="preserve">, INTOXICATE </w:t>
      </w:r>
      <w:r w:rsidR="00750520">
        <w:rPr>
          <w:lang w:val="en-US"/>
        </w:rPr>
        <w:t>is more</w:t>
      </w:r>
      <w:r w:rsidR="00FC15AE">
        <w:rPr>
          <w:lang w:val="en-US"/>
        </w:rPr>
        <w:t xml:space="preserve"> likely to be used in the Emergency Department to determine the initial level of care</w:t>
      </w:r>
      <w:r w:rsidR="00597A8B">
        <w:rPr>
          <w:lang w:val="en-US"/>
        </w:rPr>
        <w:t>, rather than to downgrade care</w:t>
      </w:r>
      <w:r w:rsidR="00750520">
        <w:rPr>
          <w:lang w:val="en-US"/>
        </w:rPr>
        <w:t xml:space="preserve"> after Toxicology consultation</w:t>
      </w:r>
      <w:r w:rsidR="00FC15AE">
        <w:rPr>
          <w:lang w:val="en-US"/>
        </w:rPr>
        <w:t xml:space="preserve">. </w:t>
      </w:r>
      <w:r w:rsidR="00597A8B">
        <w:rPr>
          <w:lang w:val="en-US"/>
        </w:rPr>
        <w:t>If applied to all patients Emergency Department patients who received a toxicology consult</w:t>
      </w:r>
      <w:r w:rsidR="0072552F">
        <w:rPr>
          <w:lang w:val="en-US"/>
        </w:rPr>
        <w:t xml:space="preserve">, </w:t>
      </w:r>
      <w:r w:rsidR="0072552F" w:rsidRPr="00B149C3">
        <w:rPr>
          <w:lang w:val="en-US"/>
        </w:rPr>
        <w:t>INTOXICATE</w:t>
      </w:r>
      <w:r w:rsidR="00FC15AE" w:rsidRPr="00B149C3">
        <w:rPr>
          <w:lang w:val="en-US"/>
        </w:rPr>
        <w:t xml:space="preserve"> </w:t>
      </w:r>
      <w:r w:rsidR="00181869">
        <w:rPr>
          <w:lang w:val="en-US"/>
        </w:rPr>
        <w:t xml:space="preserve">nearly tripled </w:t>
      </w:r>
      <w:r w:rsidR="00FC15AE" w:rsidRPr="00B149C3">
        <w:rPr>
          <w:lang w:val="en-US"/>
        </w:rPr>
        <w:t>ICU utilization (from 2</w:t>
      </w:r>
      <w:r w:rsidR="00181869">
        <w:rPr>
          <w:lang w:val="en-US"/>
        </w:rPr>
        <w:t>0</w:t>
      </w:r>
      <w:r w:rsidR="00FC15AE" w:rsidRPr="00B149C3">
        <w:rPr>
          <w:lang w:val="en-US"/>
        </w:rPr>
        <w:t xml:space="preserve"> to </w:t>
      </w:r>
      <w:r w:rsidR="00181869">
        <w:rPr>
          <w:lang w:val="en-US"/>
        </w:rPr>
        <w:t>61</w:t>
      </w:r>
      <w:r w:rsidR="00FC15AE" w:rsidRPr="00B149C3">
        <w:rPr>
          <w:lang w:val="en-US"/>
        </w:rPr>
        <w:t xml:space="preserve">). </w:t>
      </w:r>
      <w:r w:rsidR="005F0D70">
        <w:rPr>
          <w:lang w:val="en-US"/>
        </w:rPr>
        <w:t xml:space="preserve"> </w:t>
      </w:r>
      <w:r w:rsidR="005F0D70" w:rsidRPr="00B149C3">
        <w:rPr>
          <w:lang w:val="en-US"/>
        </w:rPr>
        <w:t xml:space="preserve">The IRS threshold of 6 points </w:t>
      </w:r>
      <w:r w:rsidR="005F0D70">
        <w:rPr>
          <w:lang w:val="en-US"/>
        </w:rPr>
        <w:t xml:space="preserve">that </w:t>
      </w:r>
      <w:r w:rsidR="005F0D70" w:rsidRPr="00B149C3">
        <w:rPr>
          <w:lang w:val="en-US"/>
        </w:rPr>
        <w:t>was chosen by Brandenburg et. al. to minimize false negatives</w:t>
      </w:r>
      <w:r w:rsidR="005F0D70">
        <w:rPr>
          <w:lang w:val="en-US"/>
        </w:rPr>
        <w:t xml:space="preserve">. </w:t>
      </w:r>
      <w:commentRangeStart w:id="21"/>
      <w:r w:rsidR="005F0D70">
        <w:rPr>
          <w:lang w:val="en-US"/>
        </w:rPr>
        <w:t xml:space="preserve">The threshold may need to be recalibrated. </w:t>
      </w:r>
      <w:commentRangeEnd w:id="21"/>
      <w:r w:rsidR="005F0D70">
        <w:rPr>
          <w:rStyle w:val="CommentReference"/>
        </w:rPr>
        <w:commentReference w:id="21"/>
      </w:r>
    </w:p>
    <w:p w14:paraId="75B8E0FD" w14:textId="280334DF" w:rsidR="00633201" w:rsidRDefault="00633201">
      <w:pPr>
        <w:spacing w:before="240" w:line="360" w:lineRule="auto"/>
        <w:rPr>
          <w:lang w:val="en-US"/>
        </w:rPr>
      </w:pPr>
      <w:r>
        <w:rPr>
          <w:lang w:val="en-US"/>
        </w:rPr>
        <w:t xml:space="preserve">Variation </w:t>
      </w:r>
      <w:r w:rsidRPr="00B149C3">
        <w:rPr>
          <w:lang w:val="en-US"/>
        </w:rPr>
        <w:t>in practices across health care systems</w:t>
      </w:r>
      <w:r>
        <w:rPr>
          <w:lang w:val="en-US"/>
        </w:rPr>
        <w:t xml:space="preserve"> may contribute to the discordance. At the authors’ institution, all patients receiving an N-acetylcysteine infusion or hyperbaric treatment are admitted to the ICU.</w:t>
      </w:r>
      <w:r w:rsidRPr="00B149C3">
        <w:rPr>
          <w:lang w:val="en-US"/>
        </w:rPr>
        <w:t xml:space="preserve"> </w:t>
      </w:r>
      <w:r w:rsidR="00097872">
        <w:rPr>
          <w:lang w:val="en-US"/>
        </w:rPr>
        <w:t>The agreement between INTOXICATE and the initial disposition may change in health care systems that use a Poison Center-based Toxicology consultation, rather than a bedside one.</w:t>
      </w:r>
      <w:r w:rsidR="00750520">
        <w:rPr>
          <w:lang w:val="en-US"/>
        </w:rPr>
        <w:t xml:space="preserve"> However, recommendations from Poison Control are inconsistently followed.</w:t>
      </w:r>
      <w:r w:rsidR="00BF24C3">
        <w:rPr>
          <w:lang w:val="en-US"/>
        </w:rPr>
        <w:t xml:space="preserve"> The degree of evaluation and treatment done in the Emergency Department may vary across healthcare systems.</w:t>
      </w:r>
      <w:r w:rsidR="00FC15AE">
        <w:rPr>
          <w:lang w:val="en-US"/>
        </w:rPr>
        <w:t xml:space="preserve"> The bedside toxicologist</w:t>
      </w:r>
      <w:r w:rsidR="008D37CF">
        <w:rPr>
          <w:lang w:val="en-US"/>
        </w:rPr>
        <w:t xml:space="preserve"> </w:t>
      </w:r>
      <w:r w:rsidR="00FC15AE">
        <w:rPr>
          <w:lang w:val="en-US"/>
        </w:rPr>
        <w:t>consider</w:t>
      </w:r>
      <w:r w:rsidR="008D37CF">
        <w:rPr>
          <w:lang w:val="en-US"/>
        </w:rPr>
        <w:t>s</w:t>
      </w:r>
      <w:r w:rsidR="00FC15AE">
        <w:rPr>
          <w:lang w:val="en-US"/>
        </w:rPr>
        <w:t xml:space="preserve"> features </w:t>
      </w:r>
      <w:r w:rsidR="00FC15AE" w:rsidRPr="00B149C3">
        <w:rPr>
          <w:lang w:val="en-US"/>
        </w:rPr>
        <w:t>INTOXICATE</w:t>
      </w:r>
      <w:r w:rsidR="00FC15AE">
        <w:rPr>
          <w:lang w:val="en-US"/>
        </w:rPr>
        <w:t xml:space="preserve"> does not</w:t>
      </w:r>
      <w:r w:rsidR="00FC15AE" w:rsidRPr="00B149C3">
        <w:rPr>
          <w:lang w:val="en-US"/>
        </w:rPr>
        <w:t xml:space="preserve">, such as </w:t>
      </w:r>
      <w:r w:rsidR="00FC15AE">
        <w:rPr>
          <w:lang w:val="en-US"/>
        </w:rPr>
        <w:t>clonus, abnormal EKG intervals, progressive limb swelling, inability to tolerate food or liquid by mouth, or acidemia.</w:t>
      </w:r>
      <w:r w:rsidR="00FC15AE" w:rsidRPr="00B149C3">
        <w:rPr>
          <w:lang w:val="en-US"/>
        </w:rPr>
        <w:t xml:space="preserve"> </w:t>
      </w:r>
      <w:r w:rsidRPr="00B149C3">
        <w:rPr>
          <w:lang w:val="en-US"/>
        </w:rPr>
        <w:tab/>
      </w:r>
    </w:p>
    <w:p w14:paraId="5A2AD463" w14:textId="5FD306E9" w:rsidR="0034509D" w:rsidRPr="00B149C3" w:rsidRDefault="006225C7">
      <w:pPr>
        <w:spacing w:before="240" w:line="360" w:lineRule="auto"/>
        <w:rPr>
          <w:lang w:val="en-US"/>
        </w:rPr>
      </w:pPr>
      <w:r>
        <w:rPr>
          <w:lang w:val="en-US"/>
        </w:rPr>
        <w:t xml:space="preserve">Our study did not investigate all facets of INTOXICATE. </w:t>
      </w:r>
      <w:r w:rsidRPr="00B149C3">
        <w:rPr>
          <w:lang w:val="en-US"/>
        </w:rPr>
        <w:t>INTOXICATE identif</w:t>
      </w:r>
      <w:r w:rsidR="00BF24C3">
        <w:rPr>
          <w:lang w:val="en-US"/>
        </w:rPr>
        <w:t>ies</w:t>
      </w:r>
      <w:r w:rsidRPr="00B149C3">
        <w:rPr>
          <w:lang w:val="en-US"/>
        </w:rPr>
        <w:t xml:space="preserve"> predictors </w:t>
      </w:r>
      <w:r w:rsidR="00BF24C3">
        <w:rPr>
          <w:lang w:val="en-US"/>
        </w:rPr>
        <w:t xml:space="preserve">of not needing </w:t>
      </w:r>
      <w:r w:rsidRPr="00B149C3">
        <w:rPr>
          <w:lang w:val="en-US"/>
        </w:rPr>
        <w:t xml:space="preserve">ICU </w:t>
      </w:r>
      <w:r w:rsidR="00BF24C3">
        <w:rPr>
          <w:lang w:val="en-US"/>
        </w:rPr>
        <w:t xml:space="preserve">care, </w:t>
      </w:r>
      <w:r w:rsidRPr="00B149C3">
        <w:rPr>
          <w:lang w:val="en-US"/>
        </w:rPr>
        <w:t xml:space="preserve">such as acute intoxication with alcohol. </w:t>
      </w:r>
      <w:r w:rsidR="00BF24C3">
        <w:rPr>
          <w:lang w:val="en-US"/>
        </w:rPr>
        <w:t>I</w:t>
      </w:r>
      <w:r w:rsidRPr="00B149C3">
        <w:rPr>
          <w:lang w:val="en-US"/>
        </w:rPr>
        <w:t xml:space="preserve">n our cohort, </w:t>
      </w:r>
      <w:r w:rsidR="00BF24C3">
        <w:rPr>
          <w:lang w:val="en-US"/>
        </w:rPr>
        <w:t xml:space="preserve">Toxicology was not consulted on any patients </w:t>
      </w:r>
      <w:r w:rsidRPr="00B149C3">
        <w:rPr>
          <w:lang w:val="en-US"/>
        </w:rPr>
        <w:t xml:space="preserve">with alcohol intoxication alone. INTOXICATE </w:t>
      </w:r>
      <w:r>
        <w:rPr>
          <w:lang w:val="en-US"/>
        </w:rPr>
        <w:t>identifies</w:t>
      </w:r>
      <w:r w:rsidRPr="00B149C3">
        <w:rPr>
          <w:lang w:val="en-US"/>
        </w:rPr>
        <w:t xml:space="preserve"> respiratory insufficiency, dysrhythmia, cirrhosis, and a </w:t>
      </w:r>
      <w:proofErr w:type="spellStart"/>
      <w:r>
        <w:rPr>
          <w:lang w:val="en-US"/>
        </w:rPr>
        <w:t>nontoxicological</w:t>
      </w:r>
      <w:proofErr w:type="spellEnd"/>
      <w:r>
        <w:rPr>
          <w:lang w:val="en-US"/>
        </w:rPr>
        <w:t xml:space="preserve"> </w:t>
      </w:r>
      <w:r w:rsidRPr="00B149C3">
        <w:rPr>
          <w:lang w:val="en-US"/>
        </w:rPr>
        <w:t>reason for ICU admission</w:t>
      </w:r>
      <w:r>
        <w:rPr>
          <w:lang w:val="en-US"/>
        </w:rPr>
        <w:t xml:space="preserve"> as predictors of needing ICU care</w:t>
      </w:r>
      <w:r w:rsidRPr="00B149C3">
        <w:rPr>
          <w:lang w:val="en-US"/>
        </w:rPr>
        <w:t xml:space="preserve">. </w:t>
      </w:r>
      <w:r>
        <w:rPr>
          <w:lang w:val="en-US"/>
        </w:rPr>
        <w:t xml:space="preserve">In this </w:t>
      </w:r>
      <w:r>
        <w:rPr>
          <w:lang w:val="en-US"/>
        </w:rPr>
        <w:lastRenderedPageBreak/>
        <w:t>study, a</w:t>
      </w:r>
      <w:r w:rsidRPr="00B149C3">
        <w:rPr>
          <w:lang w:val="en-US"/>
        </w:rPr>
        <w:t xml:space="preserve">ll patients admitted to our ICU had either respiratory insufficiency, dysrhythmia, or both. </w:t>
      </w:r>
      <w:r w:rsidR="007C6408">
        <w:rPr>
          <w:lang w:val="en-US"/>
        </w:rPr>
        <w:t>Seven of the 19</w:t>
      </w:r>
      <w:r w:rsidRPr="00B149C3">
        <w:rPr>
          <w:lang w:val="en-US"/>
        </w:rPr>
        <w:t xml:space="preserve"> patients </w:t>
      </w:r>
      <w:r w:rsidR="007C6408">
        <w:rPr>
          <w:lang w:val="en-US"/>
        </w:rPr>
        <w:t xml:space="preserve">the bedside toxicologist recommended for discharge </w:t>
      </w:r>
      <w:r w:rsidRPr="00B149C3">
        <w:rPr>
          <w:lang w:val="en-US"/>
        </w:rPr>
        <w:t xml:space="preserve">had one of </w:t>
      </w:r>
      <w:r w:rsidR="007C6408">
        <w:rPr>
          <w:lang w:val="en-US"/>
        </w:rPr>
        <w:t>those</w:t>
      </w:r>
      <w:r w:rsidRPr="00B149C3">
        <w:rPr>
          <w:lang w:val="en-US"/>
        </w:rPr>
        <w:t xml:space="preserve"> comorbidities</w:t>
      </w:r>
      <w:r w:rsidR="007C6408">
        <w:rPr>
          <w:lang w:val="en-US"/>
        </w:rPr>
        <w:t>.</w:t>
      </w:r>
      <w:r w:rsidRPr="00B149C3">
        <w:rPr>
          <w:lang w:val="en-US"/>
        </w:rPr>
        <w:t xml:space="preserve"> INTOXICATE recommended ICU for all patients with any of the above criteria, suggesting </w:t>
      </w:r>
      <w:r w:rsidR="007C6408">
        <w:rPr>
          <w:lang w:val="en-US"/>
        </w:rPr>
        <w:t>an opportunity to refine criteria such as respiratory insufficiency</w:t>
      </w:r>
      <w:r w:rsidRPr="00B149C3">
        <w:rPr>
          <w:lang w:val="en-US"/>
        </w:rPr>
        <w:t>.</w:t>
      </w:r>
    </w:p>
    <w:p w14:paraId="4C92A9BD" w14:textId="6999C399" w:rsidR="00B00952" w:rsidRDefault="00000000">
      <w:pPr>
        <w:spacing w:before="240" w:line="360" w:lineRule="auto"/>
        <w:rPr>
          <w:b/>
          <w:lang w:val="en-US"/>
        </w:rPr>
      </w:pPr>
      <w:r w:rsidRPr="00B149C3">
        <w:rPr>
          <w:lang w:val="en-US"/>
        </w:rPr>
        <w:t>INTOXICATE us</w:t>
      </w:r>
      <w:r w:rsidR="007C6408">
        <w:rPr>
          <w:lang w:val="en-US"/>
        </w:rPr>
        <w:t>es</w:t>
      </w:r>
      <w:r w:rsidRPr="00B149C3">
        <w:rPr>
          <w:lang w:val="en-US"/>
        </w:rPr>
        <w:t xml:space="preserve"> APACHE IV diagnoses </w:t>
      </w:r>
      <w:r w:rsidR="0089758A">
        <w:rPr>
          <w:lang w:val="en-US"/>
        </w:rPr>
        <w:t>to classify ingestions</w:t>
      </w:r>
      <w:r w:rsidR="007C6408">
        <w:rPr>
          <w:lang w:val="en-US"/>
        </w:rPr>
        <w:t>, which may not agree with the bedside toxicologist’s schema</w:t>
      </w:r>
      <w:r w:rsidR="0089758A">
        <w:rPr>
          <w:lang w:val="en-US"/>
        </w:rPr>
        <w:t xml:space="preserve">.  </w:t>
      </w:r>
      <w:r w:rsidR="007C6408">
        <w:rPr>
          <w:lang w:val="en-US"/>
        </w:rPr>
        <w:t>T</w:t>
      </w:r>
      <w:r w:rsidR="0089758A">
        <w:rPr>
          <w:lang w:val="en-US"/>
        </w:rPr>
        <w:t xml:space="preserve">he category </w:t>
      </w:r>
      <w:r w:rsidRPr="00B149C3">
        <w:rPr>
          <w:i/>
          <w:lang w:val="en-US"/>
        </w:rPr>
        <w:t>Antidepressants</w:t>
      </w:r>
      <w:r w:rsidRPr="00B149C3">
        <w:rPr>
          <w:lang w:val="en-US"/>
        </w:rPr>
        <w:t>, includ</w:t>
      </w:r>
      <w:r w:rsidR="0089758A">
        <w:rPr>
          <w:lang w:val="en-US"/>
        </w:rPr>
        <w:t>es</w:t>
      </w:r>
      <w:r w:rsidRPr="00B149C3">
        <w:rPr>
          <w:lang w:val="en-US"/>
        </w:rPr>
        <w:t xml:space="preserve"> SSRIs, </w:t>
      </w:r>
      <w:r w:rsidR="00A70DF1" w:rsidRPr="00B149C3">
        <w:rPr>
          <w:lang w:val="en-US"/>
        </w:rPr>
        <w:t>tricyclic</w:t>
      </w:r>
      <w:r w:rsidR="00A70DF1">
        <w:rPr>
          <w:lang w:val="en-US"/>
        </w:rPr>
        <w:t xml:space="preserve"> antidepressants</w:t>
      </w:r>
      <w:r w:rsidR="00A70DF1" w:rsidRPr="00B149C3">
        <w:rPr>
          <w:lang w:val="en-US"/>
        </w:rPr>
        <w:t>,</w:t>
      </w:r>
      <w:r w:rsidR="0089758A">
        <w:rPr>
          <w:lang w:val="en-US"/>
        </w:rPr>
        <w:t xml:space="preserve"> and </w:t>
      </w:r>
      <w:r w:rsidRPr="00B149C3">
        <w:rPr>
          <w:lang w:val="en-US"/>
        </w:rPr>
        <w:t>lithium</w:t>
      </w:r>
      <w:r w:rsidR="0089758A">
        <w:rPr>
          <w:lang w:val="en-US"/>
        </w:rPr>
        <w:t>. Tachycardia has clinically significantly different prognostic values for each of these xenobiotics</w:t>
      </w:r>
      <w:r w:rsidRPr="00B149C3">
        <w:rPr>
          <w:lang w:val="en-US"/>
        </w:rPr>
        <w:t>.</w:t>
      </w:r>
      <w:r w:rsidR="007C6408">
        <w:rPr>
          <w:lang w:val="en-US"/>
        </w:rPr>
        <w:t xml:space="preserve"> An opioid could be classified as a </w:t>
      </w:r>
      <w:r w:rsidR="007C6408">
        <w:rPr>
          <w:i/>
          <w:iCs/>
          <w:lang w:val="en-US"/>
        </w:rPr>
        <w:t>Street Drug</w:t>
      </w:r>
      <w:r w:rsidR="007C6408">
        <w:rPr>
          <w:lang w:val="en-US"/>
        </w:rPr>
        <w:t xml:space="preserve"> or </w:t>
      </w:r>
      <w:r w:rsidR="007C6408">
        <w:rPr>
          <w:i/>
          <w:iCs/>
          <w:lang w:val="en-US"/>
        </w:rPr>
        <w:t>Analgesic</w:t>
      </w:r>
      <w:r w:rsidR="007C6408">
        <w:rPr>
          <w:lang w:val="en-US"/>
        </w:rPr>
        <w:t xml:space="preserve">. </w:t>
      </w:r>
      <w:r w:rsidR="0089758A">
        <w:rPr>
          <w:lang w:val="en-US"/>
        </w:rPr>
        <w:t xml:space="preserve">Carbon monoxide, arsenic, and cyanide have their own category, but </w:t>
      </w:r>
      <w:r w:rsidRPr="00B149C3">
        <w:rPr>
          <w:lang w:val="en-US"/>
        </w:rPr>
        <w:t xml:space="preserve">household </w:t>
      </w:r>
      <w:r w:rsidR="0089758A">
        <w:rPr>
          <w:lang w:val="en-US"/>
        </w:rPr>
        <w:t>cleaners</w:t>
      </w:r>
      <w:r w:rsidRPr="00B149C3">
        <w:rPr>
          <w:lang w:val="en-US"/>
        </w:rPr>
        <w:t xml:space="preserve"> </w:t>
      </w:r>
      <w:r w:rsidR="0089758A">
        <w:rPr>
          <w:lang w:val="en-US"/>
        </w:rPr>
        <w:t>and pesticides are lumped under</w:t>
      </w:r>
      <w:r w:rsidRPr="00B149C3">
        <w:rPr>
          <w:lang w:val="en-US"/>
        </w:rPr>
        <w:t xml:space="preserve"> under </w:t>
      </w:r>
      <w:r w:rsidRPr="00B149C3">
        <w:rPr>
          <w:i/>
          <w:lang w:val="en-US"/>
        </w:rPr>
        <w:t xml:space="preserve">toxins not otherwise specified. </w:t>
      </w:r>
      <w:r w:rsidRPr="00B149C3">
        <w:rPr>
          <w:lang w:val="en-US"/>
        </w:rPr>
        <w:t xml:space="preserve">The category </w:t>
      </w:r>
      <w:r w:rsidRPr="00B149C3">
        <w:rPr>
          <w:i/>
          <w:lang w:val="en-US"/>
        </w:rPr>
        <w:t>combination of two subtypes of intoxication</w:t>
      </w:r>
      <w:r w:rsidRPr="00B149C3">
        <w:rPr>
          <w:lang w:val="en-US"/>
        </w:rPr>
        <w:t xml:space="preserve"> </w:t>
      </w:r>
      <w:r w:rsidR="0089758A">
        <w:rPr>
          <w:lang w:val="en-US"/>
        </w:rPr>
        <w:t>i</w:t>
      </w:r>
      <w:r w:rsidRPr="00B149C3">
        <w:rPr>
          <w:lang w:val="en-US"/>
        </w:rPr>
        <w:t>s a catch-all for polysubstance intoxications,</w:t>
      </w:r>
      <w:r w:rsidR="0089758A">
        <w:rPr>
          <w:lang w:val="en-US"/>
        </w:rPr>
        <w:t xml:space="preserve"> but </w:t>
      </w:r>
      <w:r w:rsidRPr="00B149C3">
        <w:rPr>
          <w:lang w:val="en-US"/>
        </w:rPr>
        <w:t xml:space="preserve">Brandenburg </w:t>
      </w:r>
      <w:r w:rsidRPr="00B149C3">
        <w:rPr>
          <w:b/>
          <w:lang w:val="en-US"/>
        </w:rPr>
        <w:t>(for reasons unknown and not explained in their paper)</w:t>
      </w:r>
      <w:r w:rsidRPr="00B149C3">
        <w:rPr>
          <w:lang w:val="en-US"/>
        </w:rPr>
        <w:t xml:space="preserve"> did not include polysubstance intoxication as a covariate in their model or assign it a risk score. This is particularly important given the significant morbidity and mortality associated with polysubstance intoxications, being implicated in 48-58% of overdose deaths </w:t>
      </w:r>
      <w:r w:rsidRPr="00B149C3">
        <w:rPr>
          <w:b/>
          <w:lang w:val="en-US"/>
        </w:rPr>
        <w:t xml:space="preserve">(cited </w:t>
      </w:r>
      <w:proofErr w:type="spellStart"/>
      <w:r w:rsidRPr="00B149C3">
        <w:rPr>
          <w:b/>
          <w:lang w:val="en-US"/>
        </w:rPr>
        <w:t>Peppin</w:t>
      </w:r>
      <w:proofErr w:type="spellEnd"/>
      <w:r w:rsidRPr="00B149C3">
        <w:rPr>
          <w:b/>
          <w:lang w:val="en-US"/>
        </w:rPr>
        <w:t xml:space="preserve"> </w:t>
      </w:r>
      <w:proofErr w:type="gramStart"/>
      <w:r w:rsidRPr="00B149C3">
        <w:rPr>
          <w:b/>
          <w:lang w:val="en-US"/>
        </w:rPr>
        <w:t>below, but</w:t>
      </w:r>
      <w:proofErr w:type="gramEnd"/>
      <w:r w:rsidRPr="00B149C3">
        <w:rPr>
          <w:b/>
          <w:lang w:val="en-US"/>
        </w:rPr>
        <w:t xml:space="preserve"> will find more because that source is specific to unintentional drug overdose and there is definitely plenty more to cite and mention). </w:t>
      </w:r>
      <w:r w:rsidR="00D50386">
        <w:rPr>
          <w:lang w:val="en-US"/>
        </w:rPr>
        <w:t xml:space="preserve">For </w:t>
      </w:r>
      <w:r w:rsidR="0089758A" w:rsidRPr="00B149C3">
        <w:rPr>
          <w:lang w:val="en-US"/>
        </w:rPr>
        <w:t>18</w:t>
      </w:r>
      <w:r w:rsidR="00D50386">
        <w:rPr>
          <w:lang w:val="en-US"/>
        </w:rPr>
        <w:t xml:space="preserve"> out of </w:t>
      </w:r>
      <w:r w:rsidR="0089758A" w:rsidRPr="00B149C3">
        <w:rPr>
          <w:lang w:val="en-US"/>
        </w:rPr>
        <w:t xml:space="preserve">28 </w:t>
      </w:r>
      <w:r w:rsidR="00D50386">
        <w:rPr>
          <w:lang w:val="en-US"/>
        </w:rPr>
        <w:t>adult patients (64%)</w:t>
      </w:r>
      <w:r w:rsidR="0089758A" w:rsidRPr="00B149C3">
        <w:rPr>
          <w:lang w:val="en-US"/>
        </w:rPr>
        <w:t xml:space="preserve">, </w:t>
      </w:r>
      <w:r w:rsidR="00D50386">
        <w:rPr>
          <w:lang w:val="en-US"/>
        </w:rPr>
        <w:t xml:space="preserve">the </w:t>
      </w:r>
      <w:r w:rsidR="0089758A" w:rsidRPr="00B149C3">
        <w:rPr>
          <w:lang w:val="en-US"/>
        </w:rPr>
        <w:t>intoxication type</w:t>
      </w:r>
      <w:r w:rsidR="00D50386">
        <w:rPr>
          <w:lang w:val="en-US"/>
        </w:rPr>
        <w:t xml:space="preserve"> </w:t>
      </w:r>
      <w:commentRangeStart w:id="22"/>
      <w:r w:rsidR="00D50386">
        <w:rPr>
          <w:lang w:val="en-US"/>
        </w:rPr>
        <w:t>was</w:t>
      </w:r>
      <w:r w:rsidR="0089758A" w:rsidRPr="00B149C3">
        <w:rPr>
          <w:lang w:val="en-US"/>
        </w:rPr>
        <w:t xml:space="preserve"> </w:t>
      </w:r>
      <w:r w:rsidR="0089758A" w:rsidRPr="00B149C3">
        <w:rPr>
          <w:i/>
          <w:lang w:val="en-US"/>
        </w:rPr>
        <w:t xml:space="preserve">Intoxicant NOS </w:t>
      </w:r>
      <w:r w:rsidR="0089758A" w:rsidRPr="00B149C3">
        <w:rPr>
          <w:lang w:val="en-US"/>
        </w:rPr>
        <w:t xml:space="preserve">or </w:t>
      </w:r>
      <w:r w:rsidR="0089758A" w:rsidRPr="00B149C3">
        <w:rPr>
          <w:i/>
          <w:lang w:val="en-US"/>
        </w:rPr>
        <w:t>Combination</w:t>
      </w:r>
      <w:commentRangeEnd w:id="22"/>
      <w:r w:rsidR="00D50386">
        <w:rPr>
          <w:rStyle w:val="CommentReference"/>
        </w:rPr>
        <w:commentReference w:id="22"/>
      </w:r>
      <w:r w:rsidR="00AF0E7D">
        <w:rPr>
          <w:lang w:val="en-US"/>
        </w:rPr>
        <w:t xml:space="preserve">. </w:t>
      </w:r>
    </w:p>
    <w:p w14:paraId="4DC591EA" w14:textId="77777777" w:rsidR="007C6408" w:rsidRPr="007C6408" w:rsidRDefault="007C6408">
      <w:pPr>
        <w:spacing w:before="240" w:line="360" w:lineRule="auto"/>
        <w:rPr>
          <w:b/>
          <w:lang w:val="en-US"/>
        </w:rPr>
      </w:pPr>
    </w:p>
    <w:p w14:paraId="73B07C6D" w14:textId="30C5467D" w:rsidR="00B00952" w:rsidRPr="00B149C3" w:rsidRDefault="00000000">
      <w:pPr>
        <w:spacing w:before="240" w:line="360" w:lineRule="auto"/>
        <w:rPr>
          <w:lang w:val="en-US"/>
        </w:rPr>
      </w:pPr>
      <w:r w:rsidRPr="00B149C3">
        <w:rPr>
          <w:b/>
          <w:i/>
          <w:lang w:val="en-US"/>
        </w:rPr>
        <w:t xml:space="preserve">Conclusions: </w:t>
      </w:r>
    </w:p>
    <w:p w14:paraId="712AAE46" w14:textId="309729BA" w:rsidR="00B00952" w:rsidRDefault="00CF2A6C">
      <w:pPr>
        <w:pBdr>
          <w:top w:val="nil"/>
          <w:left w:val="nil"/>
          <w:bottom w:val="nil"/>
          <w:right w:val="nil"/>
          <w:between w:val="nil"/>
        </w:pBdr>
        <w:spacing w:before="240" w:line="360" w:lineRule="auto"/>
        <w:rPr>
          <w:b/>
          <w:lang w:val="en-US"/>
        </w:rPr>
      </w:pPr>
      <w:r>
        <w:rPr>
          <w:lang w:val="en-US"/>
        </w:rPr>
        <w:t xml:space="preserve"> </w:t>
      </w:r>
      <w:r w:rsidR="008F77DD">
        <w:rPr>
          <w:lang w:val="en-US"/>
        </w:rPr>
        <w:t>Clinical</w:t>
      </w:r>
      <w:r w:rsidRPr="00B149C3">
        <w:rPr>
          <w:lang w:val="en-US"/>
        </w:rPr>
        <w:t xml:space="preserve"> decision rules</w:t>
      </w:r>
      <w:r w:rsidR="008F77DD">
        <w:rPr>
          <w:lang w:val="en-US"/>
        </w:rPr>
        <w:t xml:space="preserve"> currently used by X</w:t>
      </w:r>
      <w:r w:rsidRPr="00B149C3">
        <w:rPr>
          <w:lang w:val="en-US"/>
        </w:rPr>
        <w:t xml:space="preserve"> recommend </w:t>
      </w:r>
      <w:r w:rsidR="008F77DD">
        <w:rPr>
          <w:lang w:val="en-US"/>
        </w:rPr>
        <w:t>a</w:t>
      </w:r>
      <w:r w:rsidRPr="00B149C3">
        <w:rPr>
          <w:lang w:val="en-US"/>
        </w:rPr>
        <w:t xml:space="preserve"> course of action (e.g., Ottawa Knee/Ankle, Wells’ DVT/PE, Canadian Head CT, PECARN)</w:t>
      </w:r>
      <w:r w:rsidR="008F77DD">
        <w:rPr>
          <w:lang w:val="en-US"/>
        </w:rPr>
        <w:t>. They</w:t>
      </w:r>
      <w:r w:rsidRPr="00B149C3">
        <w:rPr>
          <w:lang w:val="en-US"/>
        </w:rPr>
        <w:t xml:space="preserve"> were created to help identify patients who would benefit from an action in cases where the risks associated with the action are low (e.g., diagnostic imaging) and the consequences of a false negative are high (e.g., untreated fracture, thromboembolism, or ICH). When these rules are appropriately applied to patients with reasonable pre-test probability of disease based on H&amp;</w:t>
      </w:r>
      <w:r w:rsidR="00925055" w:rsidRPr="00B149C3">
        <w:rPr>
          <w:lang w:val="en-US"/>
        </w:rPr>
        <w:t>P, just</w:t>
      </w:r>
      <w:r w:rsidRPr="00B149C3">
        <w:rPr>
          <w:lang w:val="en-US"/>
        </w:rPr>
        <w:t xml:space="preserve"> one or two points are sufficient to communicate sufficiently high risk of an outcome to indicate intervention. In contrast, for INTOXICATE, the problem being addressed by the decision rule is the outcome of the decision rule itself - ICU </w:t>
      </w:r>
      <w:r w:rsidRPr="00B149C3">
        <w:rPr>
          <w:lang w:val="en-US"/>
        </w:rPr>
        <w:lastRenderedPageBreak/>
        <w:t xml:space="preserve">admission - and a slew of non-specific clinical covariates found to have independent (but not independently sufficient!) associations with the outcome are assessed. At this time, INTOXICATE is an arithmetical substitute for the physician’s gauge of pre-test probability, but is not the test itself. In that way, INTOXICATE is more closely related to a mortality prediction score, such as APACHE, and mortality prediction scores are not clinical decision rules. </w:t>
      </w:r>
      <w:r w:rsidRPr="00B149C3">
        <w:rPr>
          <w:b/>
          <w:lang w:val="en-US"/>
        </w:rPr>
        <w:t>There’s a lot left that could be written for the conclusion, but I think it’s best to shape up the rest of the paper before I conclude it.</w:t>
      </w:r>
    </w:p>
    <w:p w14:paraId="34C5FE8E" w14:textId="38083105" w:rsidR="00614AF2" w:rsidRPr="00B149C3" w:rsidRDefault="00B149C3" w:rsidP="00B149C3">
      <w:pPr>
        <w:spacing w:before="240" w:line="360" w:lineRule="auto"/>
        <w:rPr>
          <w:bCs/>
          <w:lang w:val="en-US"/>
        </w:rPr>
      </w:pPr>
      <w:r>
        <w:rPr>
          <w:bCs/>
          <w:lang w:val="en-US"/>
        </w:rPr>
        <w:t xml:space="preserve">Clinical decision tools such as </w:t>
      </w:r>
      <w:commentRangeStart w:id="23"/>
      <w:r w:rsidR="00614AF2">
        <w:rPr>
          <w:bCs/>
          <w:lang w:val="en-US"/>
        </w:rPr>
        <w:t>INTOXICATE</w:t>
      </w:r>
      <w:r>
        <w:rPr>
          <w:bCs/>
          <w:lang w:val="en-US"/>
        </w:rPr>
        <w:t xml:space="preserve"> assume</w:t>
      </w:r>
      <w:r w:rsidR="00614AF2">
        <w:rPr>
          <w:bCs/>
          <w:lang w:val="en-US"/>
        </w:rPr>
        <w:t xml:space="preserve"> that the level of care a poisoned patient requires can </w:t>
      </w:r>
      <w:r>
        <w:rPr>
          <w:bCs/>
          <w:lang w:val="en-US"/>
        </w:rPr>
        <w:t>be predicted from</w:t>
      </w:r>
      <w:r w:rsidR="00614AF2">
        <w:rPr>
          <w:bCs/>
          <w:lang w:val="en-US"/>
        </w:rPr>
        <w:t xml:space="preserve"> a small number of commonly used clinical features, despite the variety of xenobiotics and their variegated effects on the body</w:t>
      </w:r>
      <w:commentRangeEnd w:id="23"/>
      <w:r w:rsidR="008201B0">
        <w:rPr>
          <w:rStyle w:val="CommentReference"/>
        </w:rPr>
        <w:commentReference w:id="23"/>
      </w:r>
      <w:r w:rsidR="00614AF2">
        <w:rPr>
          <w:bCs/>
          <w:lang w:val="en-US"/>
        </w:rPr>
        <w:t xml:space="preserve">.  Risk-stratification measures for specific </w:t>
      </w:r>
      <w:proofErr w:type="spellStart"/>
      <w:r w:rsidR="00614AF2">
        <w:rPr>
          <w:bCs/>
          <w:lang w:val="en-US"/>
        </w:rPr>
        <w:t>ingestants</w:t>
      </w:r>
      <w:proofErr w:type="spellEnd"/>
      <w:r w:rsidR="00614AF2">
        <w:rPr>
          <w:bCs/>
          <w:lang w:val="en-US"/>
        </w:rPr>
        <w:t xml:space="preserve"> have been quite successful, for example serum concentrations of acetaminophen, salicylate, bupropion HR</w:t>
      </w:r>
      <w:sdt>
        <w:sdtPr>
          <w:rPr>
            <w:bCs/>
            <w:color w:val="000000"/>
            <w:lang w:val="en-US"/>
          </w:rPr>
          <w:tag w:val="MENDELEY_CITATION_v3_eyJjaXRhdGlvbklEIjoiTUVOREVMRVlfQ0lUQVRJT05fZDY4NmJhOGMtZmNlZi00NjIyLTgwZDMtNjRiN2I0YjVlMzE5IiwicHJvcGVydGllcyI6eyJub3RlSW5kZXgiOjB9LCJpc0VkaXRlZCI6ZmFsc2UsIm1hbnVhbE92ZXJyaWRlIjp7ImlzTWFudWFsbHlPdmVycmlkZGVuIjpmYWxzZSwiY2l0ZXByb2NUZXh0IjoiKDQ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
          <w:id w:val="344069410"/>
          <w:placeholder>
            <w:docPart w:val="E5C18E05185E0749AEB7814EA2C5232E"/>
          </w:placeholder>
        </w:sdtPr>
        <w:sdtContent>
          <w:r w:rsidR="00433C44" w:rsidRPr="00433C44">
            <w:rPr>
              <w:bCs/>
              <w:color w:val="000000"/>
              <w:lang w:val="en-US"/>
            </w:rPr>
            <w:t>(4)</w:t>
          </w:r>
        </w:sdtContent>
      </w:sdt>
      <w:r w:rsidR="00614AF2">
        <w:rPr>
          <w:bCs/>
          <w:lang w:val="en-US"/>
        </w:rPr>
        <w:t>, PO tolerance for caustics, osmolar gap for toxic alcohols.</w:t>
      </w:r>
      <w:r>
        <w:rPr>
          <w:bCs/>
          <w:lang w:val="en-US"/>
        </w:rPr>
        <w:t xml:space="preserve"> Broader risk stratification tools, in the spirit of INTOXICATE, are useful when a person ingests clinically relevant amounts of multiple substances and when the ingestion is unknown</w:t>
      </w:r>
      <w:r w:rsidR="00614AF2">
        <w:rPr>
          <w:bCs/>
          <w:lang w:val="en-US"/>
        </w:rPr>
        <w:t xml:space="preserve">. Our results extend those of Brandenburg by demonstrating that </w:t>
      </w:r>
      <w:commentRangeStart w:id="24"/>
      <w:r w:rsidR="00614AF2">
        <w:rPr>
          <w:bCs/>
          <w:lang w:val="en-US"/>
        </w:rPr>
        <w:t>the sensitivity and specificity of INTOXICATE are comparable in the Dutch and American healthcare systems</w:t>
      </w:r>
      <w:commentRangeEnd w:id="24"/>
      <w:r w:rsidR="00381F94">
        <w:rPr>
          <w:bCs/>
          <w:lang w:val="en-US"/>
        </w:rPr>
        <w:t xml:space="preserve"> in the original study </w:t>
      </w:r>
      <w:proofErr w:type="gramStart"/>
      <w:r w:rsidR="00381F94">
        <w:rPr>
          <w:bCs/>
          <w:lang w:val="en-US"/>
        </w:rPr>
        <w:t>population, but</w:t>
      </w:r>
      <w:proofErr w:type="gramEnd"/>
      <w:r w:rsidR="00381F94">
        <w:rPr>
          <w:bCs/>
          <w:lang w:val="en-US"/>
        </w:rPr>
        <w:t xml:space="preserve"> increase unnecessary ICU utilization in the most likely implementation scenario</w:t>
      </w:r>
      <w:r w:rsidR="005A1CA6">
        <w:rPr>
          <w:rStyle w:val="CommentReference"/>
        </w:rPr>
        <w:commentReference w:id="24"/>
      </w:r>
      <w:r w:rsidR="00614AF2">
        <w:rPr>
          <w:bCs/>
          <w:lang w:val="en-US"/>
        </w:rPr>
        <w:t xml:space="preserve">. Our findings underscore the divide between INTOXICATE’s prediction and the recommendation of bedside toxicologists. </w:t>
      </w:r>
      <w:commentRangeStart w:id="25"/>
      <w:commentRangeStart w:id="26"/>
      <w:r w:rsidR="00614AF2">
        <w:rPr>
          <w:bCs/>
          <w:lang w:val="en-US"/>
        </w:rPr>
        <w:t>Future work may improve INTOXICATE by considering trends in vital signs and focusing on ingestions for whom there is no effective risk stratification tool</w:t>
      </w:r>
      <w:commentRangeEnd w:id="25"/>
      <w:r w:rsidR="005A1CA6">
        <w:rPr>
          <w:rStyle w:val="CommentReference"/>
        </w:rPr>
        <w:commentReference w:id="25"/>
      </w:r>
      <w:commentRangeEnd w:id="26"/>
      <w:r>
        <w:rPr>
          <w:rStyle w:val="CommentReference"/>
        </w:rPr>
        <w:commentReference w:id="26"/>
      </w:r>
      <w:r w:rsidR="00614AF2">
        <w:rPr>
          <w:bCs/>
          <w:lang w:val="en-US"/>
        </w:rPr>
        <w:t xml:space="preserve">. </w:t>
      </w:r>
    </w:p>
    <w:p w14:paraId="49DCFB65" w14:textId="77777777" w:rsidR="008B1986" w:rsidRDefault="008B1986">
      <w:pPr>
        <w:pBdr>
          <w:top w:val="nil"/>
          <w:left w:val="nil"/>
          <w:bottom w:val="nil"/>
          <w:right w:val="nil"/>
          <w:between w:val="nil"/>
        </w:pBdr>
        <w:spacing w:before="240" w:line="360" w:lineRule="auto"/>
        <w:rPr>
          <w:b/>
          <w:lang w:val="en-US"/>
        </w:rPr>
      </w:pPr>
    </w:p>
    <w:p w14:paraId="04C8CEFA" w14:textId="77777777" w:rsidR="008B1986" w:rsidRDefault="008B1986">
      <w:pPr>
        <w:pBdr>
          <w:top w:val="nil"/>
          <w:left w:val="nil"/>
          <w:bottom w:val="nil"/>
          <w:right w:val="nil"/>
          <w:between w:val="nil"/>
        </w:pBdr>
        <w:spacing w:before="240" w:line="360" w:lineRule="auto"/>
        <w:rPr>
          <w:b/>
          <w:lang w:val="en-US"/>
        </w:rPr>
      </w:pPr>
    </w:p>
    <w:p w14:paraId="24A8DA20" w14:textId="77777777" w:rsidR="008B1986" w:rsidRDefault="008B1986">
      <w:pPr>
        <w:pBdr>
          <w:top w:val="nil"/>
          <w:left w:val="nil"/>
          <w:bottom w:val="nil"/>
          <w:right w:val="nil"/>
          <w:between w:val="nil"/>
        </w:pBdr>
        <w:spacing w:before="240" w:line="360" w:lineRule="auto"/>
        <w:rPr>
          <w:b/>
          <w:lang w:val="en-US"/>
        </w:rPr>
      </w:pPr>
    </w:p>
    <w:p w14:paraId="0D6CA4BA" w14:textId="26B91008" w:rsidR="00B00952" w:rsidRPr="00B149C3" w:rsidRDefault="00000000">
      <w:pPr>
        <w:pBdr>
          <w:top w:val="nil"/>
          <w:left w:val="nil"/>
          <w:bottom w:val="nil"/>
          <w:right w:val="nil"/>
          <w:between w:val="nil"/>
        </w:pBdr>
        <w:spacing w:before="240" w:line="360" w:lineRule="auto"/>
        <w:rPr>
          <w:b/>
          <w:lang w:val="en-US"/>
        </w:rPr>
      </w:pPr>
      <w:r w:rsidRPr="00B149C3">
        <w:rPr>
          <w:b/>
          <w:lang w:val="en-US"/>
        </w:rPr>
        <w:t>Other points to work in</w:t>
      </w:r>
    </w:p>
    <w:p w14:paraId="17EDE0D4" w14:textId="77777777" w:rsidR="00B00952" w:rsidRPr="00B149C3" w:rsidRDefault="00000000">
      <w:pPr>
        <w:numPr>
          <w:ilvl w:val="0"/>
          <w:numId w:val="1"/>
        </w:numPr>
        <w:pBdr>
          <w:top w:val="nil"/>
          <w:left w:val="nil"/>
          <w:bottom w:val="nil"/>
          <w:right w:val="nil"/>
          <w:between w:val="nil"/>
        </w:pBdr>
        <w:spacing w:line="360" w:lineRule="auto"/>
        <w:rPr>
          <w:b/>
          <w:lang w:val="en-US"/>
        </w:rPr>
      </w:pPr>
      <w:r w:rsidRPr="00B149C3">
        <w:rPr>
          <w:b/>
          <w:lang w:val="en-US"/>
        </w:rPr>
        <w:t xml:space="preserve">Not yet known whether a mortality prediction score, developed for intoxicated patients or the general population, at a certain threshold is an equal or better predictor of ICU requirement than a model developed on ICU patients with known </w:t>
      </w:r>
      <w:proofErr w:type="gramStart"/>
      <w:r w:rsidRPr="00B149C3">
        <w:rPr>
          <w:b/>
          <w:lang w:val="en-US"/>
        </w:rPr>
        <w:t>outcomes</w:t>
      </w:r>
      <w:proofErr w:type="gramEnd"/>
    </w:p>
    <w:p w14:paraId="1BD6F56B" w14:textId="77777777" w:rsidR="00B00952" w:rsidRPr="00B149C3" w:rsidRDefault="00B00952">
      <w:pPr>
        <w:pBdr>
          <w:top w:val="nil"/>
          <w:left w:val="nil"/>
          <w:bottom w:val="nil"/>
          <w:right w:val="nil"/>
          <w:between w:val="nil"/>
        </w:pBdr>
        <w:spacing w:before="240" w:line="360" w:lineRule="auto"/>
        <w:rPr>
          <w:lang w:val="en-US"/>
        </w:rPr>
      </w:pPr>
    </w:p>
    <w:p w14:paraId="2091B987" w14:textId="77777777" w:rsidR="00B00952" w:rsidRPr="00B149C3" w:rsidRDefault="00B00952">
      <w:pPr>
        <w:pBdr>
          <w:top w:val="nil"/>
          <w:left w:val="nil"/>
          <w:bottom w:val="nil"/>
          <w:right w:val="nil"/>
          <w:between w:val="nil"/>
        </w:pBdr>
        <w:spacing w:before="240" w:line="360" w:lineRule="auto"/>
        <w:rPr>
          <w:lang w:val="en-US"/>
        </w:rPr>
      </w:pPr>
    </w:p>
    <w:p w14:paraId="1187379A" w14:textId="77777777" w:rsidR="00B00952" w:rsidRPr="00B149C3" w:rsidRDefault="00B00952">
      <w:pPr>
        <w:pBdr>
          <w:top w:val="nil"/>
          <w:left w:val="nil"/>
          <w:bottom w:val="nil"/>
          <w:right w:val="nil"/>
          <w:between w:val="nil"/>
        </w:pBdr>
        <w:spacing w:before="240" w:line="360" w:lineRule="auto"/>
        <w:rPr>
          <w:lang w:val="en-US"/>
        </w:rPr>
      </w:pPr>
    </w:p>
    <w:p w14:paraId="0B6CD455" w14:textId="77777777" w:rsidR="00B00952" w:rsidRPr="00B149C3" w:rsidRDefault="00000000">
      <w:pPr>
        <w:pBdr>
          <w:top w:val="nil"/>
          <w:left w:val="nil"/>
          <w:bottom w:val="nil"/>
          <w:right w:val="nil"/>
          <w:between w:val="nil"/>
        </w:pBdr>
        <w:spacing w:before="240" w:line="360" w:lineRule="auto"/>
        <w:rPr>
          <w:b/>
          <w:lang w:val="en-US"/>
        </w:rPr>
      </w:pPr>
      <w:r w:rsidRPr="00B149C3">
        <w:rPr>
          <w:b/>
          <w:lang w:val="en-US"/>
        </w:rPr>
        <w:t>References</w:t>
      </w:r>
    </w:p>
    <w:p w14:paraId="691A7BFF" w14:textId="77777777" w:rsidR="00B00952" w:rsidRPr="00B149C3" w:rsidRDefault="00000000">
      <w:pPr>
        <w:numPr>
          <w:ilvl w:val="0"/>
          <w:numId w:val="2"/>
        </w:numPr>
        <w:spacing w:before="240" w:line="360" w:lineRule="auto"/>
        <w:rPr>
          <w:sz w:val="22"/>
          <w:szCs w:val="22"/>
          <w:lang w:val="en-US"/>
        </w:rPr>
      </w:pPr>
      <w:r w:rsidRPr="00B149C3">
        <w:rPr>
          <w:sz w:val="22"/>
          <w:szCs w:val="22"/>
          <w:lang w:val="en-US"/>
        </w:rPr>
        <w:t xml:space="preserve">Simpson, M. et al. Clinical and electrocardiographic factors associated with adverse cardiovascular events in bupropion exposures. </w:t>
      </w:r>
      <w:r w:rsidRPr="00B149C3">
        <w:rPr>
          <w:i/>
          <w:sz w:val="22"/>
          <w:szCs w:val="22"/>
          <w:lang w:val="en-US"/>
        </w:rPr>
        <w:t xml:space="preserve">Clin </w:t>
      </w:r>
      <w:proofErr w:type="spellStart"/>
      <w:r w:rsidRPr="00B149C3">
        <w:rPr>
          <w:i/>
          <w:sz w:val="22"/>
          <w:szCs w:val="22"/>
          <w:lang w:val="en-US"/>
        </w:rPr>
        <w:t>Toxicol</w:t>
      </w:r>
      <w:proofErr w:type="spellEnd"/>
      <w:r w:rsidRPr="00B149C3">
        <w:rPr>
          <w:sz w:val="22"/>
          <w:szCs w:val="22"/>
          <w:lang w:val="en-US"/>
        </w:rPr>
        <w:t xml:space="preserve"> </w:t>
      </w:r>
      <w:r w:rsidRPr="00B149C3">
        <w:rPr>
          <w:b/>
          <w:sz w:val="22"/>
          <w:szCs w:val="22"/>
          <w:lang w:val="en-US"/>
        </w:rPr>
        <w:t>61</w:t>
      </w:r>
      <w:r w:rsidRPr="00B149C3">
        <w:rPr>
          <w:sz w:val="22"/>
          <w:szCs w:val="22"/>
          <w:lang w:val="en-US"/>
        </w:rPr>
        <w:t>, 529–535 (2023).</w:t>
      </w:r>
    </w:p>
    <w:p w14:paraId="3813CB8A" w14:textId="77777777" w:rsidR="00B00952" w:rsidRPr="00B149C3" w:rsidRDefault="00000000">
      <w:pPr>
        <w:numPr>
          <w:ilvl w:val="0"/>
          <w:numId w:val="2"/>
        </w:numPr>
        <w:spacing w:line="360" w:lineRule="auto"/>
        <w:rPr>
          <w:sz w:val="22"/>
          <w:szCs w:val="22"/>
          <w:lang w:val="en-US"/>
        </w:rPr>
      </w:pPr>
      <w:r w:rsidRPr="00B149C3">
        <w:rPr>
          <w:sz w:val="22"/>
          <w:szCs w:val="22"/>
          <w:lang w:val="en-US"/>
        </w:rPr>
        <w:t xml:space="preserve">Brandenburg, R. et al. The need for ICU admission in intoxicated patients: a prediction model. </w:t>
      </w:r>
      <w:r w:rsidRPr="00B149C3">
        <w:rPr>
          <w:i/>
          <w:sz w:val="22"/>
          <w:szCs w:val="22"/>
          <w:lang w:val="en-US"/>
        </w:rPr>
        <w:t xml:space="preserve">Clin </w:t>
      </w:r>
      <w:proofErr w:type="spellStart"/>
      <w:r w:rsidRPr="00B149C3">
        <w:rPr>
          <w:i/>
          <w:sz w:val="22"/>
          <w:szCs w:val="22"/>
          <w:lang w:val="en-US"/>
        </w:rPr>
        <w:t>Toxicol</w:t>
      </w:r>
      <w:proofErr w:type="spellEnd"/>
      <w:r w:rsidRPr="00B149C3">
        <w:rPr>
          <w:sz w:val="22"/>
          <w:szCs w:val="22"/>
          <w:lang w:val="en-US"/>
        </w:rPr>
        <w:t xml:space="preserve"> </w:t>
      </w:r>
      <w:r w:rsidRPr="00B149C3">
        <w:rPr>
          <w:b/>
          <w:sz w:val="22"/>
          <w:szCs w:val="22"/>
          <w:lang w:val="en-US"/>
        </w:rPr>
        <w:t>55</w:t>
      </w:r>
      <w:r w:rsidRPr="00B149C3">
        <w:rPr>
          <w:sz w:val="22"/>
          <w:szCs w:val="22"/>
          <w:lang w:val="en-US"/>
        </w:rPr>
        <w:t>, 4–11 (2017).</w:t>
      </w:r>
    </w:p>
    <w:p w14:paraId="6A74482B" w14:textId="77777777" w:rsidR="00B00952" w:rsidRPr="00B149C3" w:rsidRDefault="00000000">
      <w:pPr>
        <w:numPr>
          <w:ilvl w:val="0"/>
          <w:numId w:val="2"/>
        </w:numPr>
        <w:spacing w:line="276" w:lineRule="auto"/>
        <w:rPr>
          <w:sz w:val="22"/>
          <w:szCs w:val="22"/>
          <w:lang w:val="en-US"/>
        </w:rPr>
      </w:pPr>
      <w:r w:rsidRPr="00B149C3">
        <w:rPr>
          <w:rFonts w:ascii="Arial" w:eastAsia="Arial" w:hAnsi="Arial" w:cs="Arial"/>
          <w:color w:val="212121"/>
          <w:sz w:val="18"/>
          <w:szCs w:val="18"/>
          <w:highlight w:val="white"/>
          <w:lang w:val="en-US"/>
        </w:rPr>
        <w:t xml:space="preserve">Han, K. S., Kim, S. J., Lee, E. J., Shin, J. H., Lee, J. S., &amp; Lee, S. W. (2021). Development and validation of new poisoning mortality score system for patients with acute poisoning at the emergency department. </w:t>
      </w:r>
      <w:r w:rsidRPr="00B149C3">
        <w:rPr>
          <w:rFonts w:ascii="Arial" w:eastAsia="Arial" w:hAnsi="Arial" w:cs="Arial"/>
          <w:i/>
          <w:color w:val="212121"/>
          <w:sz w:val="18"/>
          <w:szCs w:val="18"/>
          <w:highlight w:val="white"/>
          <w:lang w:val="en-US"/>
        </w:rPr>
        <w:t>Critical care (London, England)</w:t>
      </w:r>
      <w:r w:rsidRPr="00B149C3">
        <w:rPr>
          <w:rFonts w:ascii="Arial" w:eastAsia="Arial" w:hAnsi="Arial" w:cs="Arial"/>
          <w:color w:val="212121"/>
          <w:sz w:val="18"/>
          <w:szCs w:val="18"/>
          <w:highlight w:val="white"/>
          <w:lang w:val="en-US"/>
        </w:rPr>
        <w:t xml:space="preserve">, </w:t>
      </w:r>
      <w:r w:rsidRPr="00B149C3">
        <w:rPr>
          <w:rFonts w:ascii="Arial" w:eastAsia="Arial" w:hAnsi="Arial" w:cs="Arial"/>
          <w:i/>
          <w:color w:val="212121"/>
          <w:sz w:val="18"/>
          <w:szCs w:val="18"/>
          <w:highlight w:val="white"/>
          <w:lang w:val="en-US"/>
        </w:rPr>
        <w:t>25</w:t>
      </w:r>
      <w:r w:rsidRPr="00B149C3">
        <w:rPr>
          <w:rFonts w:ascii="Arial" w:eastAsia="Arial" w:hAnsi="Arial" w:cs="Arial"/>
          <w:color w:val="212121"/>
          <w:sz w:val="18"/>
          <w:szCs w:val="18"/>
          <w:highlight w:val="white"/>
          <w:lang w:val="en-US"/>
        </w:rPr>
        <w:t xml:space="preserve">(1), 29. </w:t>
      </w:r>
      <w:r w:rsidRPr="00B149C3">
        <w:rPr>
          <w:rFonts w:ascii="Arial" w:eastAsia="Arial" w:hAnsi="Arial" w:cs="Arial"/>
          <w:color w:val="1155CC"/>
          <w:sz w:val="18"/>
          <w:szCs w:val="18"/>
          <w:highlight w:val="white"/>
          <w:u w:val="single"/>
          <w:lang w:val="en-US"/>
        </w:rPr>
        <w:t>https://doi.org/10.1186/s13054-020-03408-1</w:t>
      </w:r>
    </w:p>
    <w:p w14:paraId="0A018E10" w14:textId="77777777" w:rsidR="00B00952" w:rsidRPr="00B149C3" w:rsidRDefault="00000000">
      <w:pPr>
        <w:numPr>
          <w:ilvl w:val="0"/>
          <w:numId w:val="2"/>
        </w:numPr>
        <w:spacing w:line="276" w:lineRule="auto"/>
        <w:rPr>
          <w:sz w:val="22"/>
          <w:szCs w:val="22"/>
          <w:lang w:val="en-US"/>
        </w:rPr>
      </w:pPr>
      <w:r w:rsidRPr="00B149C3">
        <w:rPr>
          <w:rFonts w:ascii="Arial" w:eastAsia="Arial" w:hAnsi="Arial" w:cs="Arial"/>
          <w:color w:val="212121"/>
          <w:sz w:val="18"/>
          <w:szCs w:val="18"/>
          <w:highlight w:val="white"/>
          <w:lang w:val="en-US"/>
        </w:rPr>
        <w:t xml:space="preserve">Idowu, D., </w:t>
      </w:r>
      <w:proofErr w:type="spellStart"/>
      <w:r w:rsidRPr="00B149C3">
        <w:rPr>
          <w:rFonts w:ascii="Arial" w:eastAsia="Arial" w:hAnsi="Arial" w:cs="Arial"/>
          <w:color w:val="212121"/>
          <w:sz w:val="18"/>
          <w:szCs w:val="18"/>
          <w:highlight w:val="white"/>
          <w:lang w:val="en-US"/>
        </w:rPr>
        <w:t>Ezema</w:t>
      </w:r>
      <w:proofErr w:type="spellEnd"/>
      <w:r w:rsidRPr="00B149C3">
        <w:rPr>
          <w:rFonts w:ascii="Arial" w:eastAsia="Arial" w:hAnsi="Arial" w:cs="Arial"/>
          <w:color w:val="212121"/>
          <w:sz w:val="18"/>
          <w:szCs w:val="18"/>
          <w:highlight w:val="white"/>
          <w:lang w:val="en-US"/>
        </w:rPr>
        <w:t xml:space="preserve">, K., Corcoran, J., &amp; Farkas, A. (2024). The predictive value of heart rate in determining clinical course after a bupropion overdose. Clinical Toxicology, 1–7. </w:t>
      </w:r>
      <w:r w:rsidRPr="00B149C3">
        <w:rPr>
          <w:rFonts w:ascii="Arial" w:eastAsia="Arial" w:hAnsi="Arial" w:cs="Arial"/>
          <w:color w:val="1155CC"/>
          <w:sz w:val="18"/>
          <w:szCs w:val="18"/>
          <w:highlight w:val="white"/>
          <w:u w:val="single"/>
          <w:lang w:val="en-US"/>
        </w:rPr>
        <w:t>https://doi.org/10.1080/15563650.2024.2347514</w:t>
      </w:r>
    </w:p>
    <w:p w14:paraId="78B3B9A0" w14:textId="77777777" w:rsidR="00B00952" w:rsidRPr="00B149C3" w:rsidRDefault="00000000">
      <w:pPr>
        <w:numPr>
          <w:ilvl w:val="0"/>
          <w:numId w:val="2"/>
        </w:numPr>
        <w:spacing w:line="276" w:lineRule="auto"/>
        <w:rPr>
          <w:sz w:val="22"/>
          <w:szCs w:val="22"/>
          <w:lang w:val="en-US"/>
        </w:rPr>
      </w:pPr>
      <w:proofErr w:type="spellStart"/>
      <w:r w:rsidRPr="00B149C3">
        <w:rPr>
          <w:sz w:val="22"/>
          <w:szCs w:val="22"/>
          <w:lang w:val="en-US"/>
        </w:rPr>
        <w:t>Peppin</w:t>
      </w:r>
      <w:proofErr w:type="spellEnd"/>
      <w:r w:rsidRPr="00B149C3">
        <w:rPr>
          <w:sz w:val="22"/>
          <w:szCs w:val="22"/>
          <w:lang w:val="en-US"/>
        </w:rPr>
        <w:t xml:space="preserve">, J. F., Raffa, R. B., &amp; </w:t>
      </w:r>
      <w:proofErr w:type="spellStart"/>
      <w:r w:rsidRPr="00B149C3">
        <w:rPr>
          <w:sz w:val="22"/>
          <w:szCs w:val="22"/>
          <w:lang w:val="en-US"/>
        </w:rPr>
        <w:t>Schatman</w:t>
      </w:r>
      <w:proofErr w:type="spellEnd"/>
      <w:r w:rsidRPr="00B149C3">
        <w:rPr>
          <w:sz w:val="22"/>
          <w:szCs w:val="22"/>
          <w:lang w:val="en-US"/>
        </w:rPr>
        <w:t>, M. E. (2020). The Polysubstance Overdose-Death Crisis. Journal of pain research, 13, 3405–3408. https://doi.org/10.2147/JPR.S295715</w:t>
      </w:r>
    </w:p>
    <w:p w14:paraId="21E529B6" w14:textId="6D33C58C" w:rsidR="006C2EA3" w:rsidRDefault="006C2EA3">
      <w:pPr>
        <w:rPr>
          <w:b/>
          <w:lang w:val="en-US"/>
        </w:rPr>
      </w:pPr>
      <w:r>
        <w:rPr>
          <w:b/>
          <w:lang w:val="en-US"/>
        </w:rPr>
        <w:br w:type="page"/>
      </w:r>
    </w:p>
    <w:p w14:paraId="136A4B76" w14:textId="77777777" w:rsidR="006C2EA3" w:rsidRDefault="006C2EA3" w:rsidP="00B149C3">
      <w:pPr>
        <w:keepNext/>
        <w:pBdr>
          <w:top w:val="nil"/>
          <w:left w:val="nil"/>
          <w:bottom w:val="nil"/>
          <w:right w:val="nil"/>
          <w:between w:val="nil"/>
        </w:pBdr>
        <w:spacing w:before="240" w:line="360" w:lineRule="auto"/>
      </w:pPr>
      <w:r w:rsidRPr="00CB2AFE">
        <w:rPr>
          <w:b/>
          <w:noProof/>
          <w:lang w:val="en-US"/>
        </w:rPr>
        <w:lastRenderedPageBreak/>
        <w:drawing>
          <wp:inline distT="0" distB="0" distL="0" distR="0" wp14:anchorId="62326462" wp14:editId="0EE0BFCB">
            <wp:extent cx="5396865" cy="4081780"/>
            <wp:effectExtent l="0" t="0" r="635" b="0"/>
            <wp:docPr id="834543347" name="Picture 1" descr="A flowchart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3347" name="Picture 1" descr="A flowchart of a number of individuals&#10;&#10;Description automatically generated"/>
                    <pic:cNvPicPr/>
                  </pic:nvPicPr>
                  <pic:blipFill>
                    <a:blip r:embed="rId10"/>
                    <a:stretch>
                      <a:fillRect/>
                    </a:stretch>
                  </pic:blipFill>
                  <pic:spPr>
                    <a:xfrm>
                      <a:off x="0" y="0"/>
                      <a:ext cx="5396865" cy="4081780"/>
                    </a:xfrm>
                    <a:prstGeom prst="rect">
                      <a:avLst/>
                    </a:prstGeom>
                  </pic:spPr>
                </pic:pic>
              </a:graphicData>
            </a:graphic>
          </wp:inline>
        </w:drawing>
      </w:r>
    </w:p>
    <w:p w14:paraId="762E76A1" w14:textId="15D58AA0" w:rsidR="001C0570" w:rsidRDefault="006C2EA3" w:rsidP="006C2EA3">
      <w:pPr>
        <w:pStyle w:val="Caption"/>
        <w:rPr>
          <w:i w:val="0"/>
          <w:iCs w:val="0"/>
          <w:color w:val="000000" w:themeColor="text1"/>
        </w:rPr>
      </w:pPr>
      <w:bookmarkStart w:id="27" w:name="_Ref170118666"/>
      <w:r w:rsidRPr="00B149C3">
        <w:rPr>
          <w:i w:val="0"/>
          <w:iCs w:val="0"/>
          <w:color w:val="000000" w:themeColor="text1"/>
        </w:rPr>
        <w:t>Figure 1</w:t>
      </w:r>
      <w:bookmarkEnd w:id="27"/>
      <w:r>
        <w:rPr>
          <w:i w:val="0"/>
          <w:iCs w:val="0"/>
          <w:color w:val="000000" w:themeColor="text1"/>
        </w:rPr>
        <w:t xml:space="preserve">. Screening and Inclusion of Patients. </w:t>
      </w:r>
    </w:p>
    <w:p w14:paraId="3C33DA51" w14:textId="77777777" w:rsidR="001C0570" w:rsidRDefault="001C0570">
      <w:pPr>
        <w:rPr>
          <w:color w:val="000000" w:themeColor="text1"/>
          <w:sz w:val="18"/>
          <w:szCs w:val="18"/>
        </w:rPr>
      </w:pPr>
      <w:r>
        <w:rPr>
          <w:i/>
          <w:iCs/>
          <w:color w:val="000000" w:themeColor="text1"/>
        </w:rPr>
        <w:br w:type="page"/>
      </w:r>
    </w:p>
    <w:p w14:paraId="4CBB55E6" w14:textId="77777777" w:rsidR="001C0570" w:rsidRDefault="001C0570" w:rsidP="001C0570">
      <w:pPr>
        <w:pStyle w:val="Caption"/>
        <w:rPr>
          <w:sz w:val="22"/>
          <w:szCs w:val="22"/>
        </w:rPr>
      </w:pPr>
    </w:p>
    <w:tbl>
      <w:tblPr>
        <w:tblW w:w="8499"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409"/>
        <w:gridCol w:w="1978"/>
        <w:gridCol w:w="2042"/>
        <w:gridCol w:w="1070"/>
      </w:tblGrid>
      <w:tr w:rsidR="00A50F07" w:rsidRPr="00A50F07" w14:paraId="0574A4DC" w14:textId="77777777" w:rsidTr="00B149C3">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3E61513" w14:textId="77777777" w:rsidR="00A50F07" w:rsidRPr="00A50F07" w:rsidRDefault="00A50F07" w:rsidP="00A50F07">
            <w:pPr>
              <w:spacing w:line="240" w:lineRule="auto"/>
              <w:rPr>
                <w:color w:val="333333"/>
                <w:sz w:val="22"/>
                <w:szCs w:val="22"/>
                <w:lang w:val="en-US"/>
              </w:rPr>
            </w:pPr>
            <w:r w:rsidRPr="00A50F07">
              <w:rPr>
                <w:b/>
                <w:bCs/>
                <w:color w:val="333333"/>
                <w:sz w:val="22"/>
                <w:szCs w:val="22"/>
                <w:lang w:val="en-US"/>
              </w:rPr>
              <w:t>Characteristic</w:t>
            </w:r>
          </w:p>
        </w:tc>
        <w:tc>
          <w:tcPr>
            <w:tcW w:w="1978" w:type="dxa"/>
            <w:tcBorders>
              <w:top w:val="nil"/>
              <w:left w:val="nil"/>
              <w:bottom w:val="nil"/>
              <w:right w:val="nil"/>
            </w:tcBorders>
            <w:shd w:val="clear" w:color="auto" w:fill="FFFFFF"/>
            <w:tcMar>
              <w:top w:w="75" w:type="dxa"/>
              <w:left w:w="75" w:type="dxa"/>
              <w:bottom w:w="90" w:type="dxa"/>
              <w:right w:w="75" w:type="dxa"/>
            </w:tcMar>
            <w:vAlign w:val="bottom"/>
            <w:hideMark/>
          </w:tcPr>
          <w:p w14:paraId="2CC326D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Adolescent</w:t>
            </w:r>
            <w:r w:rsidRPr="00A50F07">
              <w:rPr>
                <w:color w:val="333333"/>
                <w:sz w:val="22"/>
                <w:szCs w:val="22"/>
                <w:lang w:val="en-US"/>
              </w:rPr>
              <w:t>, N = 24</w:t>
            </w:r>
            <w:r w:rsidRPr="00A50F07">
              <w:rPr>
                <w:i/>
                <w:iCs/>
                <w:color w:val="333333"/>
                <w:sz w:val="22"/>
                <w:szCs w:val="22"/>
                <w:vertAlign w:val="superscript"/>
                <w:lang w:val="en-US"/>
              </w:rPr>
              <w:t>1</w:t>
            </w:r>
          </w:p>
        </w:tc>
        <w:tc>
          <w:tcPr>
            <w:tcW w:w="2042" w:type="dxa"/>
            <w:tcBorders>
              <w:top w:val="nil"/>
              <w:left w:val="nil"/>
              <w:bottom w:val="nil"/>
              <w:right w:val="nil"/>
            </w:tcBorders>
            <w:shd w:val="clear" w:color="auto" w:fill="FFFFFF"/>
            <w:tcMar>
              <w:top w:w="75" w:type="dxa"/>
              <w:left w:w="75" w:type="dxa"/>
              <w:bottom w:w="90" w:type="dxa"/>
              <w:right w:w="75" w:type="dxa"/>
            </w:tcMar>
            <w:vAlign w:val="bottom"/>
            <w:hideMark/>
          </w:tcPr>
          <w:p w14:paraId="55B69F29"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Adult</w:t>
            </w:r>
            <w:r w:rsidRPr="00A50F07">
              <w:rPr>
                <w:color w:val="333333"/>
                <w:sz w:val="22"/>
                <w:szCs w:val="22"/>
                <w:lang w:val="en-US"/>
              </w:rPr>
              <w:t>, N = 79</w:t>
            </w:r>
            <w:r w:rsidRPr="00A50F07">
              <w:rPr>
                <w:i/>
                <w:iCs/>
                <w:color w:val="333333"/>
                <w:sz w:val="22"/>
                <w:szCs w:val="22"/>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04CE8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p-value</w:t>
            </w:r>
            <w:r w:rsidRPr="00A50F07">
              <w:rPr>
                <w:i/>
                <w:iCs/>
                <w:color w:val="333333"/>
                <w:sz w:val="22"/>
                <w:szCs w:val="22"/>
                <w:vertAlign w:val="superscript"/>
                <w:lang w:val="en-US"/>
              </w:rPr>
              <w:t>2</w:t>
            </w:r>
          </w:p>
        </w:tc>
      </w:tr>
      <w:tr w:rsidR="00A50F07" w:rsidRPr="00A50F07" w14:paraId="013B1986"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E530C9"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8D76F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15 (14, 16)</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18F94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35 (28,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20110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&lt;0.001</w:t>
            </w:r>
          </w:p>
        </w:tc>
      </w:tr>
      <w:tr w:rsidR="00A50F07" w:rsidRPr="00A50F07" w14:paraId="09DEEBE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ED3D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Gender</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2A93E"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C37A4D"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37C07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738F6D2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0B99A9"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12C5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13 (54%)</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2DE3E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40 (51%)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8D234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E3B67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5A5B0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M</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25BA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620BA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39 (49%)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65C92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4C1CDE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DAC087"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NB</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18CCB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7261D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1763D" w14:textId="77777777" w:rsidR="00A50F07" w:rsidRPr="00A50F07" w:rsidRDefault="00A50F07" w:rsidP="00A50F07">
            <w:pPr>
              <w:spacing w:line="240" w:lineRule="auto"/>
              <w:ind w:left="150" w:right="150"/>
              <w:jc w:val="center"/>
              <w:rPr>
                <w:color w:val="333333"/>
                <w:sz w:val="22"/>
                <w:szCs w:val="22"/>
                <w:lang w:val="en-US"/>
              </w:rPr>
            </w:pPr>
          </w:p>
        </w:tc>
      </w:tr>
      <w:tr w:rsidR="00FC1467" w:rsidRPr="00A50F07" w14:paraId="635F09E6"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F074320" w14:textId="4EDFE3E2"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Pulse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4A72D8B" w14:textId="7E36347B"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99 (89, 110)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C8B09BC" w14:textId="00885BA8"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90 (72, 107)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013BC6" w14:textId="0A30F10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0.071</w:t>
            </w:r>
          </w:p>
        </w:tc>
      </w:tr>
      <w:tr w:rsidR="00FC1467" w:rsidRPr="00A50F07" w14:paraId="1B1FE3C2"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31C65F" w14:textId="129A9D51"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SBP</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A93F96A" w14:textId="5091E54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116 (106, 119)</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9D4153F" w14:textId="0814F959"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120 (112, 140)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8400581" w14:textId="27AE7777"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0.033</w:t>
            </w:r>
          </w:p>
        </w:tc>
      </w:tr>
      <w:tr w:rsidR="00A50F07" w:rsidRPr="00A50F07" w14:paraId="6F4B7E9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0555F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Actual Disposition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C0856F"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BA17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FEC15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0.5</w:t>
            </w:r>
          </w:p>
        </w:tc>
      </w:tr>
      <w:tr w:rsidR="00A50F07" w:rsidRPr="00A50F07" w14:paraId="5D9179E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446735"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Discharge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383B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603E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49 (62%)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30131"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2AF0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FDBF1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GMF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980B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0E5CA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14 (18%)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04B56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712E00C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AF4B8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ICU</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F241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 (17%)</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B59D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666B45"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FAE43B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E06315"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Respiratory Insufficiency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45C41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8182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BB29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5CDCC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6776B4"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Cirrhosis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41A0F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C9322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9680E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3BA9386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2DCC"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Dysrhythmia</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BFA5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12 (50%)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D657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29 (37%)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3B57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0.3</w:t>
            </w:r>
          </w:p>
        </w:tc>
      </w:tr>
      <w:tr w:rsidR="00A50F07" w:rsidRPr="00A50F07" w14:paraId="5D1208F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E59351"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Secondary Reason for ICU Admission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518AB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42F4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98AC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4AA0B17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EE1A8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GCS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7BCAF7"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62220"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F7E88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0.024</w:t>
            </w:r>
          </w:p>
        </w:tc>
      </w:tr>
      <w:tr w:rsidR="00A50F07" w:rsidRPr="00A50F07" w14:paraId="06A0FB9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C569C5" w14:textId="7E2D21C0" w:rsidR="00A50F07" w:rsidRPr="00A50F07" w:rsidRDefault="00A50F07" w:rsidP="00A50F07">
            <w:pPr>
              <w:spacing w:line="240" w:lineRule="auto"/>
              <w:ind w:left="150" w:right="150"/>
              <w:rPr>
                <w:color w:val="333333"/>
                <w:sz w:val="22"/>
                <w:szCs w:val="22"/>
                <w:lang w:val="en-US"/>
              </w:rPr>
            </w:pPr>
            <w:commentRangeStart w:id="28"/>
            <w:commentRangeStart w:id="29"/>
            <w:r w:rsidRPr="00A50F07">
              <w:rPr>
                <w:color w:val="333333"/>
                <w:sz w:val="22"/>
                <w:szCs w:val="22"/>
                <w:lang w:val="en-US"/>
              </w:rPr>
              <w:t>    </w:t>
            </w:r>
            <w:r w:rsidR="004B7C8C">
              <w:rPr>
                <w:color w:val="333333"/>
                <w:sz w:val="22"/>
                <w:szCs w:val="22"/>
                <w:lang w:val="en-US"/>
              </w:rPr>
              <w:t>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7752E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B350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(3.8%)</w:t>
            </w:r>
            <w:commentRangeEnd w:id="28"/>
            <w:r>
              <w:rPr>
                <w:rStyle w:val="CommentReference"/>
              </w:rPr>
              <w:commentReference w:id="28"/>
            </w:r>
            <w:r w:rsidR="00D771B2">
              <w:rPr>
                <w:rStyle w:val="CommentReference"/>
              </w:rPr>
              <w:commentReference w:id="29"/>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4E0CE" w14:textId="77777777" w:rsidR="00A50F07" w:rsidRPr="00A50F07" w:rsidRDefault="00A50F07" w:rsidP="00A50F07">
            <w:pPr>
              <w:spacing w:line="240" w:lineRule="auto"/>
              <w:ind w:left="150" w:right="150"/>
              <w:jc w:val="center"/>
              <w:rPr>
                <w:color w:val="333333"/>
                <w:sz w:val="22"/>
                <w:szCs w:val="22"/>
                <w:lang w:val="en-US"/>
              </w:rPr>
            </w:pPr>
          </w:p>
        </w:tc>
      </w:tr>
      <w:commentRangeEnd w:id="29"/>
      <w:tr w:rsidR="00A50F07" w:rsidRPr="00A50F07" w14:paraId="4637717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E128B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E3282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8750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20A3C3"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7BA69"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08C53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10</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2806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85F7A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7B30B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5124B8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872C41"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11</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B998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29918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BFBF1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94E8E9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E8CED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12</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53E28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709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B66BB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FE228"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C010AA"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4C28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B0AE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191A3A"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DA6E71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64167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14</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BF79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B25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7313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5E001235"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FD13D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EFAD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F1F52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69 (87%)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5604B9"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23C3C2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C775C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Exposure Category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FD9301"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FD6D0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D3D7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0.11</w:t>
            </w:r>
          </w:p>
        </w:tc>
      </w:tr>
      <w:tr w:rsidR="00A50F07" w:rsidRPr="00A50F07" w14:paraId="055960A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DD4F6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lastRenderedPageBreak/>
              <w:t>    Alcohol</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3D1A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3F12D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2E85F"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1F0806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E905B"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Analgesic</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54E62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(25%)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0E19A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A09D"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BC89CD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7BA3D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Antidepressants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48A16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64DED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C5793C"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7785D9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356D6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 As, CN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2A99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21B16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9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A0375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00E20C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AB919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Combination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FE4ED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234BE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2470F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14091F"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0C277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Sedatives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53E54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8F36A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313D9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597ECC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AEA02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Street Drugs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42293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32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2FED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0DD243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626FB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Unknown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5BEB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53360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C441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E19938B"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EC3F1A2"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1</w:t>
            </w:r>
            <w:r w:rsidRPr="00A50F07">
              <w:rPr>
                <w:color w:val="333333"/>
                <w:sz w:val="22"/>
                <w:szCs w:val="22"/>
                <w:lang w:val="en-US"/>
              </w:rPr>
              <w:t> Median (IQR); n (%)</w:t>
            </w:r>
          </w:p>
        </w:tc>
      </w:tr>
      <w:tr w:rsidR="00A50F07" w:rsidRPr="00A50F07" w14:paraId="334A3E02"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63DFE1C"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2</w:t>
            </w:r>
            <w:r w:rsidRPr="00A50F07">
              <w:rPr>
                <w:color w:val="333333"/>
                <w:sz w:val="22"/>
                <w:szCs w:val="22"/>
                <w:lang w:val="en-US"/>
              </w:rPr>
              <w:t> Wilcoxon rank sum test; Fisher’s exact test; Pearson’s Chi-squared test</w:t>
            </w:r>
          </w:p>
        </w:tc>
      </w:tr>
    </w:tbl>
    <w:p w14:paraId="3D0DF3A3" w14:textId="77777777" w:rsidR="00A50F07" w:rsidRPr="00A50F07" w:rsidRDefault="00A50F07" w:rsidP="001C0570">
      <w:pPr>
        <w:pStyle w:val="Caption"/>
        <w:rPr>
          <w:i w:val="0"/>
          <w:iCs w:val="0"/>
          <w:sz w:val="22"/>
          <w:szCs w:val="22"/>
        </w:rPr>
      </w:pPr>
    </w:p>
    <w:p w14:paraId="042347BF" w14:textId="77777777" w:rsidR="00A50F07" w:rsidRDefault="00A50F07" w:rsidP="001C0570">
      <w:pPr>
        <w:pStyle w:val="Caption"/>
        <w:rPr>
          <w:i w:val="0"/>
          <w:iCs w:val="0"/>
          <w:sz w:val="22"/>
          <w:szCs w:val="22"/>
        </w:rPr>
      </w:pPr>
    </w:p>
    <w:p w14:paraId="17BF02A7" w14:textId="748B4617" w:rsidR="00B00952" w:rsidRDefault="001C0570" w:rsidP="001C0570">
      <w:pPr>
        <w:pStyle w:val="Caption"/>
        <w:rPr>
          <w:i w:val="0"/>
          <w:iCs w:val="0"/>
          <w:sz w:val="22"/>
          <w:szCs w:val="22"/>
        </w:rPr>
      </w:pPr>
      <w:bookmarkStart w:id="30" w:name="_Ref170120619"/>
      <w:r w:rsidRPr="001C0570">
        <w:rPr>
          <w:i w:val="0"/>
          <w:iCs w:val="0"/>
          <w:sz w:val="22"/>
          <w:szCs w:val="22"/>
        </w:rPr>
        <w:t xml:space="preserve">Table </w:t>
      </w:r>
      <w:r w:rsidR="0071067C">
        <w:rPr>
          <w:i w:val="0"/>
          <w:iCs w:val="0"/>
          <w:noProof/>
          <w:sz w:val="22"/>
          <w:szCs w:val="22"/>
        </w:rPr>
        <w:t>1</w:t>
      </w:r>
      <w:bookmarkEnd w:id="30"/>
      <w:r>
        <w:rPr>
          <w:i w:val="0"/>
          <w:iCs w:val="0"/>
          <w:sz w:val="22"/>
          <w:szCs w:val="22"/>
        </w:rPr>
        <w:t xml:space="preserve">. GMF, general medical floor. </w:t>
      </w:r>
    </w:p>
    <w:p w14:paraId="633A73B4" w14:textId="77777777" w:rsidR="0071067C" w:rsidRDefault="0071067C" w:rsidP="0071067C"/>
    <w:p w14:paraId="05F0F60C" w14:textId="2E732DE5" w:rsidR="0071067C" w:rsidRDefault="0071067C">
      <w:r>
        <w:br w:type="page"/>
      </w:r>
    </w:p>
    <w:tbl>
      <w:tblPr>
        <w:tblW w:w="9258"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502"/>
        <w:gridCol w:w="670"/>
        <w:gridCol w:w="670"/>
        <w:gridCol w:w="670"/>
        <w:gridCol w:w="945"/>
        <w:gridCol w:w="835"/>
        <w:gridCol w:w="670"/>
        <w:gridCol w:w="670"/>
        <w:gridCol w:w="670"/>
        <w:gridCol w:w="945"/>
        <w:gridCol w:w="1417"/>
      </w:tblGrid>
      <w:tr w:rsidR="00A1242D" w:rsidRPr="00A1242D" w14:paraId="29FFC539" w14:textId="77777777" w:rsidTr="00B149C3">
        <w:trPr>
          <w:trHeight w:val="340"/>
          <w:tblHeader/>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7CEEEE8E" w14:textId="77777777" w:rsidR="0071067C" w:rsidRPr="00B149C3" w:rsidRDefault="0071067C" w:rsidP="0071067C">
            <w:pPr>
              <w:spacing w:line="240" w:lineRule="auto"/>
              <w:rPr>
                <w:sz w:val="22"/>
                <w:szCs w:val="22"/>
                <w:lang w:val="en-US"/>
              </w:rPr>
            </w:pPr>
          </w:p>
        </w:tc>
        <w:tc>
          <w:tcPr>
            <w:tcW w:w="0" w:type="auto"/>
            <w:gridSpan w:val="5"/>
            <w:tcBorders>
              <w:top w:val="nil"/>
              <w:left w:val="nil"/>
              <w:bottom w:val="nil"/>
              <w:right w:val="nil"/>
            </w:tcBorders>
            <w:shd w:val="clear" w:color="auto" w:fill="FFFFFF"/>
            <w:tcMar>
              <w:top w:w="0" w:type="dxa"/>
              <w:left w:w="60" w:type="dxa"/>
              <w:bottom w:w="0" w:type="dxa"/>
              <w:right w:w="60" w:type="dxa"/>
            </w:tcMar>
            <w:vAlign w:val="center"/>
            <w:hideMark/>
          </w:tcPr>
          <w:p w14:paraId="7542B099"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Adolescent</w:t>
            </w:r>
          </w:p>
        </w:tc>
        <w:tc>
          <w:tcPr>
            <w:tcW w:w="0" w:type="auto"/>
            <w:gridSpan w:val="5"/>
            <w:tcBorders>
              <w:top w:val="nil"/>
              <w:left w:val="nil"/>
              <w:bottom w:val="nil"/>
              <w:right w:val="nil"/>
            </w:tcBorders>
            <w:shd w:val="clear" w:color="auto" w:fill="FFFFFF"/>
            <w:tcMar>
              <w:top w:w="0" w:type="dxa"/>
              <w:left w:w="60" w:type="dxa"/>
              <w:bottom w:w="0" w:type="dxa"/>
              <w:right w:w="0" w:type="dxa"/>
            </w:tcMar>
            <w:vAlign w:val="center"/>
            <w:hideMark/>
          </w:tcPr>
          <w:p w14:paraId="1A7DD6E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Adult</w:t>
            </w:r>
          </w:p>
        </w:tc>
      </w:tr>
      <w:tr w:rsidR="00A1242D" w:rsidRPr="00A1242D" w14:paraId="580FF042" w14:textId="77777777" w:rsidTr="00B149C3">
        <w:trPr>
          <w:trHeight w:val="144"/>
          <w:tblHeader/>
        </w:trPr>
        <w:tc>
          <w:tcPr>
            <w:tcW w:w="0" w:type="auto"/>
            <w:vMerge/>
            <w:tcBorders>
              <w:top w:val="nil"/>
              <w:left w:val="nil"/>
              <w:bottom w:val="nil"/>
              <w:right w:val="nil"/>
            </w:tcBorders>
            <w:shd w:val="clear" w:color="auto" w:fill="FFFFFF"/>
            <w:vAlign w:val="center"/>
          </w:tcPr>
          <w:p w14:paraId="4AA00ACF" w14:textId="77777777" w:rsidR="00A1242D" w:rsidRPr="00A1242D" w:rsidRDefault="00A1242D" w:rsidP="0071067C">
            <w:pPr>
              <w:spacing w:line="240" w:lineRule="auto"/>
              <w:rPr>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34B75090" w14:textId="5D2148F1"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79A6293"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8C49F6E"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2A252CBC" w14:textId="77777777" w:rsidR="00A1242D" w:rsidRPr="00A1242D" w:rsidRDefault="00A1242D" w:rsidP="0071067C">
            <w:pPr>
              <w:spacing w:line="240" w:lineRule="auto"/>
              <w:jc w:val="center"/>
              <w:rPr>
                <w:b/>
                <w:bCs/>
                <w:color w:val="333333"/>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6764459E" w14:textId="2F9376E7"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0CCF9F6F"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1424216B"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4922D346" w14:textId="77777777" w:rsidR="00A1242D" w:rsidRPr="00A1242D" w:rsidRDefault="00A1242D" w:rsidP="0071067C">
            <w:pPr>
              <w:spacing w:line="240" w:lineRule="auto"/>
              <w:jc w:val="center"/>
              <w:rPr>
                <w:b/>
                <w:bCs/>
                <w:color w:val="333333"/>
                <w:sz w:val="22"/>
                <w:szCs w:val="22"/>
                <w:lang w:val="en-US"/>
              </w:rPr>
            </w:pPr>
          </w:p>
        </w:tc>
      </w:tr>
      <w:tr w:rsidR="00A7004B" w:rsidRPr="00A7004B" w14:paraId="5E0A8052" w14:textId="77777777" w:rsidTr="00A7004B">
        <w:trPr>
          <w:trHeight w:val="144"/>
          <w:tblHeader/>
        </w:trPr>
        <w:tc>
          <w:tcPr>
            <w:tcW w:w="0" w:type="auto"/>
            <w:vMerge/>
            <w:tcBorders>
              <w:top w:val="nil"/>
              <w:left w:val="nil"/>
              <w:bottom w:val="nil"/>
              <w:right w:val="nil"/>
            </w:tcBorders>
            <w:shd w:val="clear" w:color="auto" w:fill="FFFFFF"/>
            <w:vAlign w:val="center"/>
            <w:hideMark/>
          </w:tcPr>
          <w:p w14:paraId="5410E69E" w14:textId="77777777" w:rsidR="0071067C" w:rsidRPr="00B149C3" w:rsidRDefault="0071067C" w:rsidP="0071067C">
            <w:pPr>
              <w:spacing w:line="240" w:lineRule="auto"/>
              <w:rPr>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76C2FC4"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C71290C"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C40B011"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8AF35A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4A9E0F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4295940"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151B229"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62C946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747090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B31BC1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r>
      <w:tr w:rsidR="00A7004B" w:rsidRPr="00A7004B" w14:paraId="0186FECD" w14:textId="77777777" w:rsidTr="00B149C3">
        <w:trPr>
          <w:trHeight w:val="17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E9B72F"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256768"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FCD8BF"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13FAAB"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843F7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82E3A4" w14:textId="6FBC3C2A"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89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63BB4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4958A"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B9CDF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202A5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04433D" w14:textId="1BFF444D"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69</w:t>
            </w:r>
          </w:p>
        </w:tc>
      </w:tr>
      <w:tr w:rsidR="00A7004B" w:rsidRPr="00A7004B" w14:paraId="46A47269"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F5979" w14:textId="1EDA9537"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8832AD"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0CE7C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4510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443E2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1106C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3DEB5E"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B3E47"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110E6C"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631CE6"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589154"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6B0D6DE7"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679917" w14:textId="29D379F5"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Not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68EC8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6194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5BC9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620032"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E4F3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229F2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39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40FD7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4813E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30205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5595E0"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7BFB9D2E"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BBAC7D"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Total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D4EEB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D6718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CEA888"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24246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44ED8" w14:textId="2AEBFBCA"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A1716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87B04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82F21B"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79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8ECCE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5689C4" w14:textId="77777777" w:rsidR="0071067C" w:rsidRPr="00B149C3" w:rsidRDefault="0071067C" w:rsidP="00B149C3">
            <w:pPr>
              <w:keepNext/>
              <w:spacing w:line="240" w:lineRule="auto"/>
              <w:ind w:left="150" w:right="150"/>
              <w:jc w:val="center"/>
              <w:rPr>
                <w:color w:val="333333"/>
                <w:sz w:val="22"/>
                <w:szCs w:val="22"/>
                <w:lang w:val="en-US"/>
              </w:rPr>
            </w:pPr>
            <w:commentRangeStart w:id="31"/>
            <w:r w:rsidRPr="00B149C3">
              <w:rPr>
                <w:color w:val="333333"/>
                <w:sz w:val="22"/>
                <w:szCs w:val="22"/>
                <w:lang w:val="en-US"/>
              </w:rPr>
              <w:t>0.050</w:t>
            </w:r>
            <w:commentRangeEnd w:id="31"/>
            <w:r w:rsidR="00A55A0C">
              <w:rPr>
                <w:rStyle w:val="CommentReference"/>
              </w:rPr>
              <w:commentReference w:id="31"/>
            </w:r>
          </w:p>
        </w:tc>
      </w:tr>
    </w:tbl>
    <w:p w14:paraId="39D30A75" w14:textId="77777777" w:rsidR="0071067C" w:rsidRDefault="0071067C" w:rsidP="0071067C">
      <w:pPr>
        <w:pStyle w:val="Caption"/>
      </w:pPr>
    </w:p>
    <w:p w14:paraId="6FF760B3" w14:textId="2E070814" w:rsidR="00D33985" w:rsidRDefault="0071067C" w:rsidP="0071067C">
      <w:pPr>
        <w:pStyle w:val="Caption"/>
        <w:rPr>
          <w:i w:val="0"/>
          <w:iCs w:val="0"/>
        </w:rPr>
      </w:pPr>
      <w:bookmarkStart w:id="32" w:name="_Ref170123244"/>
      <w:r w:rsidRPr="00B149C3">
        <w:rPr>
          <w:i w:val="0"/>
          <w:iCs w:val="0"/>
        </w:rPr>
        <w:t xml:space="preserve">Table </w:t>
      </w:r>
      <w:r w:rsidRPr="00B149C3">
        <w:rPr>
          <w:i w:val="0"/>
          <w:iCs w:val="0"/>
          <w:noProof/>
        </w:rPr>
        <w:t>2</w:t>
      </w:r>
      <w:bookmarkEnd w:id="32"/>
      <w:r>
        <w:rPr>
          <w:i w:val="0"/>
          <w:iCs w:val="0"/>
        </w:rPr>
        <w:t>. Cohen’s</w:t>
      </w:r>
    </w:p>
    <w:p w14:paraId="5ECDB4BD" w14:textId="77777777" w:rsidR="00D33985" w:rsidRDefault="00D33985">
      <w:pPr>
        <w:rPr>
          <w:color w:val="1F497D" w:themeColor="text2"/>
          <w:sz w:val="18"/>
          <w:szCs w:val="18"/>
        </w:rPr>
      </w:pPr>
      <w:r>
        <w:rPr>
          <w:i/>
          <w:iCs/>
        </w:rPr>
        <w:br w:type="page"/>
      </w:r>
    </w:p>
    <w:tbl>
      <w:tblPr>
        <w:tblW w:w="927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1710"/>
        <w:gridCol w:w="1831"/>
        <w:gridCol w:w="1769"/>
        <w:gridCol w:w="1800"/>
      </w:tblGrid>
      <w:tr w:rsidR="00D33985" w:rsidRPr="00D33985" w14:paraId="1A3FECD3" w14:textId="77777777" w:rsidTr="00B149C3">
        <w:trPr>
          <w:tblHeader/>
        </w:trPr>
        <w:tc>
          <w:tcPr>
            <w:tcW w:w="2160" w:type="dxa"/>
            <w:tcBorders>
              <w:top w:val="nil"/>
              <w:left w:val="nil"/>
              <w:bottom w:val="nil"/>
              <w:right w:val="nil"/>
            </w:tcBorders>
            <w:shd w:val="clear" w:color="auto" w:fill="FFFFFF"/>
            <w:tcMar>
              <w:top w:w="75" w:type="dxa"/>
              <w:left w:w="75" w:type="dxa"/>
              <w:bottom w:w="90" w:type="dxa"/>
              <w:right w:w="75" w:type="dxa"/>
            </w:tcMar>
            <w:vAlign w:val="bottom"/>
          </w:tcPr>
          <w:p w14:paraId="4CB6C1DD" w14:textId="77777777" w:rsidR="00D33985" w:rsidRPr="00D33985" w:rsidRDefault="00D33985" w:rsidP="00D33985">
            <w:pPr>
              <w:spacing w:line="240" w:lineRule="auto"/>
              <w:rPr>
                <w:color w:val="333333"/>
                <w:sz w:val="22"/>
                <w:szCs w:val="22"/>
                <w:lang w:val="en-US"/>
              </w:rPr>
            </w:pPr>
          </w:p>
        </w:tc>
        <w:tc>
          <w:tcPr>
            <w:tcW w:w="7110" w:type="dxa"/>
            <w:gridSpan w:val="4"/>
            <w:tcBorders>
              <w:top w:val="nil"/>
              <w:left w:val="nil"/>
              <w:bottom w:val="nil"/>
              <w:right w:val="nil"/>
            </w:tcBorders>
            <w:shd w:val="clear" w:color="auto" w:fill="FFFFFF"/>
            <w:tcMar>
              <w:top w:w="0" w:type="dxa"/>
              <w:left w:w="60" w:type="dxa"/>
              <w:bottom w:w="0" w:type="dxa"/>
              <w:right w:w="60" w:type="dxa"/>
            </w:tcMar>
            <w:vAlign w:val="center"/>
          </w:tcPr>
          <w:p w14:paraId="77A89A9A" w14:textId="1129DE81"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Toxicologist’s Recommendations</w:t>
            </w:r>
          </w:p>
        </w:tc>
      </w:tr>
      <w:tr w:rsidR="00D33985" w:rsidRPr="00D33985" w14:paraId="22663D75" w14:textId="77777777" w:rsidTr="00B149C3">
        <w:trPr>
          <w:tblHeader/>
        </w:trPr>
        <w:tc>
          <w:tcPr>
            <w:tcW w:w="2160" w:type="dxa"/>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0662BB5C" w14:textId="2DAB8BD7" w:rsidR="00D33985" w:rsidRPr="00B149C3"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hideMark/>
          </w:tcPr>
          <w:p w14:paraId="14BA7E6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hideMark/>
          </w:tcPr>
          <w:p w14:paraId="5190284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p>
        </w:tc>
      </w:tr>
      <w:tr w:rsidR="00D33985" w:rsidRPr="00D33985" w14:paraId="3CB41AB7" w14:textId="77777777" w:rsidTr="00B149C3">
        <w:trPr>
          <w:tblHeader/>
        </w:trPr>
        <w:tc>
          <w:tcPr>
            <w:tcW w:w="2160" w:type="dxa"/>
            <w:vMerge/>
            <w:tcBorders>
              <w:top w:val="nil"/>
              <w:left w:val="nil"/>
              <w:bottom w:val="nil"/>
              <w:right w:val="nil"/>
            </w:tcBorders>
            <w:shd w:val="clear" w:color="auto" w:fill="FFFFFF"/>
            <w:tcMar>
              <w:top w:w="75" w:type="dxa"/>
              <w:left w:w="75" w:type="dxa"/>
              <w:bottom w:w="90" w:type="dxa"/>
              <w:right w:w="75" w:type="dxa"/>
            </w:tcMar>
            <w:vAlign w:val="bottom"/>
          </w:tcPr>
          <w:p w14:paraId="1C650199" w14:textId="77777777" w:rsidR="00D33985" w:rsidRPr="00D33985"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tcPr>
          <w:p w14:paraId="69FB1CDA" w14:textId="72677986"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tcPr>
          <w:p w14:paraId="618EC1F7" w14:textId="68AFD9EE"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r>
      <w:tr w:rsidR="00D33985" w:rsidRPr="00D33985" w14:paraId="0F30D208" w14:textId="77777777" w:rsidTr="00B149C3">
        <w:trPr>
          <w:tblHeader/>
        </w:trPr>
        <w:tc>
          <w:tcPr>
            <w:tcW w:w="2160" w:type="dxa"/>
            <w:vMerge/>
            <w:tcBorders>
              <w:top w:val="nil"/>
              <w:left w:val="nil"/>
              <w:bottom w:val="nil"/>
              <w:right w:val="nil"/>
            </w:tcBorders>
            <w:shd w:val="clear" w:color="auto" w:fill="FFFFFF"/>
            <w:vAlign w:val="center"/>
            <w:hideMark/>
          </w:tcPr>
          <w:p w14:paraId="4750692D" w14:textId="77777777" w:rsidR="00D33985" w:rsidRPr="00B149C3" w:rsidRDefault="00D33985" w:rsidP="00D33985">
            <w:pPr>
              <w:spacing w:line="240" w:lineRule="auto"/>
              <w:rPr>
                <w:color w:val="333333"/>
                <w:sz w:val="22"/>
                <w:szCs w:val="22"/>
                <w:lang w:val="en-US"/>
              </w:rPr>
            </w:pPr>
          </w:p>
        </w:tc>
        <w:tc>
          <w:tcPr>
            <w:tcW w:w="1710" w:type="dxa"/>
            <w:tcBorders>
              <w:top w:val="nil"/>
              <w:left w:val="nil"/>
              <w:bottom w:val="nil"/>
              <w:right w:val="nil"/>
            </w:tcBorders>
            <w:shd w:val="clear" w:color="auto" w:fill="FFFFFF"/>
            <w:tcMar>
              <w:top w:w="75" w:type="dxa"/>
              <w:left w:w="75" w:type="dxa"/>
              <w:bottom w:w="90" w:type="dxa"/>
              <w:right w:w="75" w:type="dxa"/>
            </w:tcMar>
            <w:vAlign w:val="bottom"/>
            <w:hideMark/>
          </w:tcPr>
          <w:p w14:paraId="72DFBB9C"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11</w:t>
            </w:r>
            <w:r w:rsidRPr="00B149C3">
              <w:rPr>
                <w:i/>
                <w:iCs/>
                <w:color w:val="333333"/>
                <w:sz w:val="22"/>
                <w:szCs w:val="22"/>
                <w:vertAlign w:val="superscript"/>
                <w:lang w:val="en-US"/>
              </w:rPr>
              <w:t>1</w:t>
            </w:r>
          </w:p>
        </w:tc>
        <w:tc>
          <w:tcPr>
            <w:tcW w:w="1831" w:type="dxa"/>
            <w:tcBorders>
              <w:top w:val="nil"/>
              <w:left w:val="nil"/>
              <w:bottom w:val="nil"/>
              <w:right w:val="nil"/>
            </w:tcBorders>
            <w:shd w:val="clear" w:color="auto" w:fill="FFFFFF"/>
            <w:tcMar>
              <w:top w:w="75" w:type="dxa"/>
              <w:left w:w="75" w:type="dxa"/>
              <w:bottom w:w="90" w:type="dxa"/>
              <w:right w:w="75" w:type="dxa"/>
            </w:tcMar>
            <w:vAlign w:val="bottom"/>
            <w:hideMark/>
          </w:tcPr>
          <w:p w14:paraId="0C2D4ED4"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5</w:t>
            </w:r>
            <w:r w:rsidRPr="00B149C3">
              <w:rPr>
                <w:i/>
                <w:iCs/>
                <w:color w:val="333333"/>
                <w:sz w:val="22"/>
                <w:szCs w:val="22"/>
                <w:vertAlign w:val="superscript"/>
                <w:lang w:val="en-US"/>
              </w:rPr>
              <w:t>1</w:t>
            </w:r>
          </w:p>
        </w:tc>
        <w:tc>
          <w:tcPr>
            <w:tcW w:w="1769" w:type="dxa"/>
            <w:tcBorders>
              <w:top w:val="nil"/>
              <w:left w:val="nil"/>
              <w:bottom w:val="nil"/>
              <w:right w:val="nil"/>
            </w:tcBorders>
            <w:shd w:val="clear" w:color="auto" w:fill="FFFFFF"/>
            <w:tcMar>
              <w:top w:w="75" w:type="dxa"/>
              <w:left w:w="75" w:type="dxa"/>
              <w:bottom w:w="90" w:type="dxa"/>
              <w:right w:w="75" w:type="dxa"/>
            </w:tcMar>
            <w:vAlign w:val="bottom"/>
            <w:hideMark/>
          </w:tcPr>
          <w:p w14:paraId="4135D7EF"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39</w:t>
            </w:r>
            <w:r w:rsidRPr="00B149C3">
              <w:rPr>
                <w:i/>
                <w:iCs/>
                <w:color w:val="333333"/>
                <w:sz w:val="22"/>
                <w:szCs w:val="22"/>
                <w:vertAlign w:val="superscript"/>
                <w:lang w:val="en-US"/>
              </w:rPr>
              <w:t>1</w:t>
            </w:r>
          </w:p>
        </w:tc>
        <w:tc>
          <w:tcPr>
            <w:tcW w:w="1800" w:type="dxa"/>
            <w:tcBorders>
              <w:top w:val="nil"/>
              <w:left w:val="nil"/>
              <w:bottom w:val="nil"/>
              <w:right w:val="nil"/>
            </w:tcBorders>
            <w:shd w:val="clear" w:color="auto" w:fill="FFFFFF"/>
            <w:tcMar>
              <w:top w:w="75" w:type="dxa"/>
              <w:left w:w="75" w:type="dxa"/>
              <w:bottom w:w="90" w:type="dxa"/>
              <w:right w:w="75" w:type="dxa"/>
            </w:tcMar>
            <w:vAlign w:val="bottom"/>
            <w:hideMark/>
          </w:tcPr>
          <w:p w14:paraId="49A9B926"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24</w:t>
            </w:r>
            <w:r w:rsidRPr="00B149C3">
              <w:rPr>
                <w:i/>
                <w:iCs/>
                <w:color w:val="333333"/>
                <w:sz w:val="22"/>
                <w:szCs w:val="22"/>
                <w:vertAlign w:val="superscript"/>
                <w:lang w:val="en-US"/>
              </w:rPr>
              <w:t>1</w:t>
            </w:r>
          </w:p>
        </w:tc>
      </w:tr>
      <w:tr w:rsidR="00D33985" w:rsidRPr="00D33985" w14:paraId="6F3BB3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F62D9C"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Respiratory Insufficiency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40960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(55%)</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995D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87260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CA1C0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A9419A3"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179C1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Cirrhosis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CC654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56AB8B"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9FF96F0" w14:textId="2BD5BDB1"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1D4E4BCF" w14:textId="5B356E4F" w:rsidR="00D33985" w:rsidRPr="00B149C3" w:rsidRDefault="00D33985" w:rsidP="00B149C3">
            <w:pPr>
              <w:spacing w:line="240" w:lineRule="auto"/>
              <w:ind w:left="150" w:right="150"/>
              <w:jc w:val="center"/>
              <w:rPr>
                <w:color w:val="333333"/>
                <w:sz w:val="22"/>
                <w:szCs w:val="22"/>
                <w:lang w:val="en-US"/>
              </w:rPr>
            </w:pPr>
          </w:p>
        </w:tc>
      </w:tr>
      <w:tr w:rsidR="00D33985" w:rsidRPr="00D33985" w14:paraId="1E6A8C1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B7A0CB7" w14:textId="7A94CE54"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sidRPr="00B149C3">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446997B" w14:textId="3B849EB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37AC4B9" w14:textId="298D3D9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7D9BA29" w14:textId="0219D898"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C77F47" w14:textId="3DC08671"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r>
      <w:tr w:rsidR="00D33985" w:rsidRPr="00D33985" w14:paraId="0BC8DD4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13306A"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Dysrhythmia</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350AE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(50%)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4F11D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0C98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22 (56%)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43E6E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2AB0D35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F4F35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Secondary Reason for ICU Admission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28553A" w14:textId="5C5C92B6"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C5A7F3D" w14:textId="3D1150FB"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D039F4"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4C039B"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22168C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8ABB661" w14:textId="1510A0DE"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809B9A" w14:textId="4120CFFD"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DE4028" w14:textId="2E4C0E13"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75016E0" w14:textId="77777777" w:rsidR="00D33985" w:rsidRPr="00D33985" w:rsidRDefault="00D33985" w:rsidP="00D33985">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68A48C6" w14:textId="77777777" w:rsidR="00D33985" w:rsidRPr="00D33985" w:rsidRDefault="00D33985" w:rsidP="00D33985">
            <w:pPr>
              <w:spacing w:line="240" w:lineRule="auto"/>
              <w:ind w:left="150" w:right="150"/>
              <w:jc w:val="center"/>
              <w:rPr>
                <w:color w:val="333333"/>
                <w:sz w:val="22"/>
                <w:szCs w:val="22"/>
                <w:lang w:val="en-US"/>
              </w:rPr>
            </w:pPr>
          </w:p>
        </w:tc>
      </w:tr>
      <w:tr w:rsidR="00D33985" w:rsidRPr="00D33985" w14:paraId="41E391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A341E"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No</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BE6592"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F4B89DA"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F434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39 (100%)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95D1C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811E63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3F6BFD"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GCS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1E9AE1"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89F0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68A72E"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E263E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1B829442"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187FC8" w14:textId="24207F5D"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w:t>
            </w:r>
            <w:r w:rsidR="00122A0B">
              <w:rPr>
                <w:color w:val="333333"/>
                <w:sz w:val="22"/>
                <w:szCs w:val="22"/>
                <w:lang w:val="en-US"/>
              </w:rPr>
              <w:t>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AFF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E5953" w14:textId="32C20FBC"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958CB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43E78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28EA21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ED5517"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E6080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E8FC" w14:textId="25EA1420"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CCC95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5C9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0A8E7F7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7EE2B4"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11</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CBC58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6546A7" w14:textId="4ECF1268"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5425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1EA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5AA426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C16436"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12</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E51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EBD7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A3FD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47DE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3D446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20AF3B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3504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(18%)</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F027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1D93B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B9B8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6050D8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6B8D1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14</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11833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E32A6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DF447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2F4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7E60B8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9DF92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6B35B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 (36%)</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F969E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(100%)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609F7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36 (92%)</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D20B7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4BC730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59A191"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Exposure Category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982093"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68CA2"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DE59C"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8E8BC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0AE301D9"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4FF49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Alcohol</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67B48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8661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5E55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147A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(13%)</w:t>
            </w:r>
          </w:p>
        </w:tc>
      </w:tr>
      <w:tr w:rsidR="00D33985" w:rsidRPr="00D33985" w14:paraId="081B755A"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B369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Analgesic</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B92C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F66D9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D6D10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1D187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(25%)</w:t>
            </w:r>
          </w:p>
        </w:tc>
      </w:tr>
      <w:tr w:rsidR="00D33985" w:rsidRPr="00D33985" w14:paraId="163204C1"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2AD99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 As, CN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EB429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674E2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2D6B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6FF55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33FB0E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769AD9"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Combination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1F28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594DD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0CECD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 (21%)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E751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E16E2F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3115AA"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Street Drugs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1915C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65C9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01CB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EE34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(8.3%)</w:t>
            </w:r>
          </w:p>
        </w:tc>
      </w:tr>
      <w:tr w:rsidR="00D33985" w:rsidRPr="00D33985" w14:paraId="0C90E16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6DA68"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Unknown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0596F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7DF4C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25193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61EF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498721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E2A662"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lastRenderedPageBreak/>
              <w:t>    Antidepressants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15BB0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56CBD"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195D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12FB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60AF7F4"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45713"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Sedatives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FD67BD"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81B6D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4F651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E6E6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4316A99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B8064F"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Pulse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D6DF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87 (76, 104)</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40E48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70 (65, 74)</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8B4C22"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101 (80, 115)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F4865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85 (73, 91)</w:t>
            </w:r>
          </w:p>
        </w:tc>
      </w:tr>
      <w:tr w:rsidR="00D33985" w:rsidRPr="00D33985" w14:paraId="5EF599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7FEFD4"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SBP</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0654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113 (91, 149)</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D9C5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112 (105, 130)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8C233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120 (114, 146)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2EEAD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123 (115, 129)</w:t>
            </w:r>
          </w:p>
        </w:tc>
      </w:tr>
      <w:tr w:rsidR="00D33985" w:rsidRPr="00D33985" w14:paraId="0EA28F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C04878"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Age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8FCA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38 (30, 53)</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F29E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30 (25, 38)</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AF591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47 (34, 59)</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C4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27 (20, 32)</w:t>
            </w:r>
          </w:p>
        </w:tc>
      </w:tr>
      <w:tr w:rsidR="00D33985" w:rsidRPr="00D33985" w14:paraId="7E19768A" w14:textId="77777777" w:rsidTr="00B149C3">
        <w:tc>
          <w:tcPr>
            <w:tcW w:w="9270" w:type="dxa"/>
            <w:gridSpan w:val="5"/>
            <w:tcBorders>
              <w:top w:val="nil"/>
              <w:left w:val="nil"/>
              <w:bottom w:val="nil"/>
              <w:right w:val="nil"/>
            </w:tcBorders>
            <w:shd w:val="clear" w:color="auto" w:fill="FFFFFF"/>
            <w:tcMar>
              <w:top w:w="60" w:type="dxa"/>
              <w:left w:w="75" w:type="dxa"/>
              <w:bottom w:w="60" w:type="dxa"/>
              <w:right w:w="75" w:type="dxa"/>
            </w:tcMar>
            <w:vAlign w:val="center"/>
            <w:hideMark/>
          </w:tcPr>
          <w:p w14:paraId="245F7BB4" w14:textId="77777777" w:rsidR="00D33985" w:rsidRPr="00B149C3" w:rsidRDefault="00D33985" w:rsidP="00D33985">
            <w:pPr>
              <w:spacing w:line="240" w:lineRule="auto"/>
              <w:rPr>
                <w:color w:val="333333"/>
                <w:sz w:val="22"/>
                <w:szCs w:val="22"/>
                <w:lang w:val="en-US"/>
              </w:rPr>
            </w:pPr>
            <w:r w:rsidRPr="00B149C3">
              <w:rPr>
                <w:i/>
                <w:iCs/>
                <w:color w:val="333333"/>
                <w:sz w:val="22"/>
                <w:szCs w:val="22"/>
                <w:vertAlign w:val="superscript"/>
                <w:lang w:val="en-US"/>
              </w:rPr>
              <w:t>1</w:t>
            </w:r>
            <w:r w:rsidRPr="00B149C3">
              <w:rPr>
                <w:color w:val="333333"/>
                <w:sz w:val="22"/>
                <w:szCs w:val="22"/>
                <w:lang w:val="en-US"/>
              </w:rPr>
              <w:t> n (%); Median (IQR)</w:t>
            </w:r>
          </w:p>
        </w:tc>
      </w:tr>
    </w:tbl>
    <w:p w14:paraId="5CC9351A" w14:textId="77777777" w:rsidR="0071067C" w:rsidRPr="0071067C" w:rsidRDefault="0071067C" w:rsidP="0071067C">
      <w:pPr>
        <w:pStyle w:val="Caption"/>
        <w:rPr>
          <w:i w:val="0"/>
          <w:iCs w:val="0"/>
          <w:rPrChange w:id="33" w:author="Michael Chary" w:date="2024-06-24T12:02:00Z">
            <w:rPr>
              <w:b/>
            </w:rPr>
          </w:rPrChange>
        </w:rPr>
      </w:pPr>
    </w:p>
    <w:sectPr w:rsidR="0071067C" w:rsidRPr="0071067C">
      <w:pgSz w:w="11901" w:h="16840"/>
      <w:pgMar w:top="1418" w:right="1701" w:bottom="1418" w:left="1701"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Chary" w:date="2024-06-28T07:26:00Z" w:initials="MC">
    <w:p w14:paraId="4B2F8851" w14:textId="77777777" w:rsidR="00B149C3" w:rsidRDefault="00B149C3" w:rsidP="00B149C3">
      <w:r>
        <w:rPr>
          <w:rStyle w:val="CommentReference"/>
        </w:rPr>
        <w:annotationRef/>
      </w:r>
      <w:r>
        <w:rPr>
          <w:color w:val="000000"/>
          <w:sz w:val="20"/>
          <w:szCs w:val="20"/>
        </w:rPr>
        <w:t>Citation needed.</w:t>
      </w:r>
    </w:p>
  </w:comment>
  <w:comment w:id="1" w:author="Michael Chary" w:date="2024-06-28T08:03:00Z" w:initials="MC">
    <w:p w14:paraId="3E279727" w14:textId="77777777" w:rsidR="00433C44" w:rsidRDefault="00433C44" w:rsidP="00433C44">
      <w:r>
        <w:rPr>
          <w:rStyle w:val="CommentReference"/>
        </w:rPr>
        <w:annotationRef/>
      </w:r>
      <w:r>
        <w:rPr>
          <w:color w:val="000000"/>
          <w:sz w:val="20"/>
          <w:szCs w:val="20"/>
        </w:rPr>
        <w:t xml:space="preserve">Dysrhythmia is an arhythmia or something else? A very tortured definition. </w:t>
      </w:r>
    </w:p>
  </w:comment>
  <w:comment w:id="2" w:author="Michael Chary" w:date="2024-06-21T07:17:00Z" w:initials="MC">
    <w:p w14:paraId="702EEBE1" w14:textId="2BB62164" w:rsidR="00E37D4A" w:rsidRDefault="00E37D4A" w:rsidP="00E37D4A">
      <w:r>
        <w:rPr>
          <w:rStyle w:val="CommentReference"/>
        </w:rPr>
        <w:annotationRef/>
      </w:r>
      <w:r>
        <w:rPr>
          <w:color w:val="000000"/>
          <w:sz w:val="20"/>
          <w:szCs w:val="20"/>
        </w:rPr>
        <w:t>What measure did Brandenburg use?</w:t>
      </w:r>
    </w:p>
  </w:comment>
  <w:comment w:id="3" w:author=" " w:date="2024-06-25T13:07:00Z" w:initials="AP">
    <w:p w14:paraId="1B1D727B" w14:textId="77777777" w:rsidR="00DB471D" w:rsidRDefault="002D62ED" w:rsidP="00DB471D">
      <w:pPr>
        <w:pStyle w:val="CommentText"/>
      </w:pPr>
      <w:r>
        <w:rPr>
          <w:rStyle w:val="CommentReference"/>
        </w:rPr>
        <w:annotationRef/>
      </w:r>
      <w:r w:rsidR="00DB471D">
        <w:t>Will revise this for data set excluding children (n=103)</w:t>
      </w:r>
    </w:p>
  </w:comment>
  <w:comment w:id="4" w:author="Michael Chary" w:date="2024-06-24T13:56:00Z" w:initials="MC">
    <w:p w14:paraId="236FD0C7" w14:textId="682E17F5" w:rsidR="004F40E0" w:rsidRDefault="004F40E0" w:rsidP="004F40E0">
      <w:r>
        <w:rPr>
          <w:rStyle w:val="CommentReference"/>
        </w:rPr>
        <w:annotationRef/>
      </w:r>
      <w:r>
        <w:rPr>
          <w:color w:val="000000"/>
          <w:sz w:val="20"/>
          <w:szCs w:val="20"/>
        </w:rPr>
        <w:t xml:space="preserve">Emerging theme that INTOXICATE is unduly reassured by single measurements of vital signs. </w:t>
      </w:r>
    </w:p>
    <w:p w14:paraId="4C09BD48" w14:textId="77777777" w:rsidR="004F40E0" w:rsidRDefault="004F40E0" w:rsidP="004F40E0"/>
  </w:comment>
  <w:comment w:id="5" w:author=" " w:date="2024-06-25T17:10:00Z" w:initials="AP">
    <w:p w14:paraId="7AEAD984" w14:textId="77777777" w:rsidR="008201B0" w:rsidRDefault="008201B0" w:rsidP="008201B0">
      <w:pPr>
        <w:pStyle w:val="CommentText"/>
      </w:pPr>
      <w:r>
        <w:rPr>
          <w:rStyle w:val="CommentReference"/>
        </w:rPr>
        <w:annotationRef/>
      </w:r>
      <w:r>
        <w:t xml:space="preserve">I do not think we can make statements about due without knowing ICU outcomes. If these vital signs reassured INTOXICATE in ICU patients who ultimately did not require ICU care, then INTOXICATE is doing what it’s supposed to be doing. </w:t>
      </w:r>
    </w:p>
  </w:comment>
  <w:comment w:id="6" w:author="Michael Chary" w:date="2024-06-26T07:02:00Z" w:initials="MC">
    <w:p w14:paraId="09F9E531" w14:textId="77777777" w:rsidR="00FC1467" w:rsidRDefault="00FC1467" w:rsidP="00FC1467">
      <w:r>
        <w:rPr>
          <w:rStyle w:val="CommentReference"/>
        </w:rPr>
        <w:annotationRef/>
      </w:r>
      <w:r>
        <w:rPr>
          <w:color w:val="000000"/>
          <w:sz w:val="20"/>
          <w:szCs w:val="20"/>
        </w:rPr>
        <w:t xml:space="preserve">I think it’s more that one set of vital signs doesn’t seem clinically appropriate. It happens a lot in the ED and on a GMF, but that’s mostly pro forma. </w:t>
      </w:r>
    </w:p>
    <w:p w14:paraId="52DA4D82" w14:textId="77777777" w:rsidR="00FC1467" w:rsidRDefault="00FC1467" w:rsidP="00FC1467"/>
    <w:p w14:paraId="2FADA2DB" w14:textId="77777777" w:rsidR="00FC1467" w:rsidRDefault="00FC1467" w:rsidP="00FC1467">
      <w:r>
        <w:rPr>
          <w:color w:val="000000"/>
          <w:sz w:val="20"/>
          <w:szCs w:val="20"/>
        </w:rPr>
        <w:t>The question is whether a trend or the peak is more informative. (The bupropion paper was trying to get at the peak.)</w:t>
      </w:r>
    </w:p>
  </w:comment>
  <w:comment w:id="7" w:author=" " w:date="2024-06-26T19:34:00Z" w:initials="AP">
    <w:p w14:paraId="2A3B2BE3" w14:textId="77777777" w:rsidR="002B48C8" w:rsidRDefault="002B48C8" w:rsidP="002B48C8">
      <w:pPr>
        <w:pStyle w:val="CommentText"/>
      </w:pPr>
      <w:r>
        <w:rPr>
          <w:rStyle w:val="CommentReference"/>
        </w:rPr>
        <w:annotationRef/>
      </w:r>
      <w:r>
        <w:t xml:space="preserve">On that point I am also interested, then! Probably good discussion fodder. I think challenge of validating INTOXICATE related to this is that the timepoint INTOXICATE was developed on was the time of ICU admission for all ICU admits. Thus, the ED-to-ICU group does have a “defined” timepoint. For the non-ICU group, the analogous timepoint would be the hypothetical time at which the physicians would have made the decision to admit to ICU, had they chosen to admit to ICU, but that timepoint of course is hypothetical and does not exist. </w:t>
      </w:r>
    </w:p>
    <w:p w14:paraId="3B0F61BB" w14:textId="77777777" w:rsidR="002B48C8" w:rsidRDefault="002B48C8" w:rsidP="002B48C8">
      <w:pPr>
        <w:pStyle w:val="CommentText"/>
      </w:pPr>
    </w:p>
    <w:p w14:paraId="58251A99" w14:textId="77777777" w:rsidR="002B48C8" w:rsidRDefault="002B48C8" w:rsidP="002B48C8">
      <w:pPr>
        <w:pStyle w:val="CommentText"/>
      </w:pPr>
      <w:r>
        <w:t xml:space="preserve">I think that peak value during ED stay would be the most unproblematic option in this respect (being time-independent), and maybe a stronger predictor of a worse outcome, though as we talked about for the bupropion paper, it comes with a measurement frequency bias (as you mentioned, many measurements are pro forma) that I suspect is worth considering. </w:t>
      </w:r>
    </w:p>
    <w:p w14:paraId="227A4D5B" w14:textId="77777777" w:rsidR="002B48C8" w:rsidRDefault="002B48C8" w:rsidP="002B48C8">
      <w:pPr>
        <w:pStyle w:val="CommentText"/>
      </w:pPr>
    </w:p>
    <w:p w14:paraId="636F9DBC" w14:textId="77777777" w:rsidR="002B48C8" w:rsidRDefault="002B48C8" w:rsidP="002B48C8">
      <w:pPr>
        <w:pStyle w:val="CommentText"/>
      </w:pPr>
      <w:r>
        <w:t>My not-yet-a-doctor gut agrees that trends could be very informative, and I think it would be an interesting and enjoyable research subject. I’ve been keeping it as a prompt for future work, since it may be more approachable to evaluate trends in more specific cases (e.g., specific metrics and specific intoxicants) before bringing it into the big linear model realm of INTOXICATE</w:t>
      </w:r>
    </w:p>
  </w:comment>
  <w:comment w:id="8" w:author="Michael Chary" w:date="2024-06-24T13:31:00Z" w:initials="MC">
    <w:p w14:paraId="39B73D6B" w14:textId="2CEE6597" w:rsidR="00D33985" w:rsidRDefault="00D33985" w:rsidP="00D33985">
      <w:r>
        <w:rPr>
          <w:rStyle w:val="CommentReference"/>
        </w:rPr>
        <w:annotationRef/>
      </w:r>
      <w:r>
        <w:rPr>
          <w:color w:val="000000"/>
          <w:sz w:val="20"/>
          <w:szCs w:val="20"/>
        </w:rPr>
        <w:t xml:space="preserve">Comparing GCS is complicated. It is a categorical variable. Too many empty categories unless you dichotomize. </w:t>
      </w:r>
    </w:p>
  </w:comment>
  <w:comment w:id="9" w:author=" " w:date="2024-06-25T15:18:00Z" w:initials="AP">
    <w:p w14:paraId="42C6AADA" w14:textId="77777777" w:rsidR="00F613F1" w:rsidRDefault="00F613F1" w:rsidP="00F613F1">
      <w:pPr>
        <w:pStyle w:val="CommentText"/>
      </w:pPr>
      <w:r>
        <w:rPr>
          <w:rStyle w:val="CommentReference"/>
        </w:rPr>
        <w:annotationRef/>
      </w:r>
      <w:r>
        <w:t>The INTOXICATE model treats GCS as a discrete variable. It’s only binned the way it is (&lt;6, 6-9, etc.) for arithmetic convenience. I agree that comparing GCS is complicated, though, and I did not read much into the GCS results. I am not sure if there are any fair dichotomizations of GCS, except for GCS = 15 vs GCS &lt; 15, though I’m not sure if a significant result there will give us something worth talking about.</w:t>
      </w:r>
    </w:p>
  </w:comment>
  <w:comment w:id="10" w:author="Michael Chary" w:date="2024-06-26T07:04:00Z" w:initials="MC">
    <w:p w14:paraId="4B9B6D01" w14:textId="77777777" w:rsidR="00FC1467" w:rsidRDefault="00FC1467" w:rsidP="00FC1467">
      <w:r>
        <w:rPr>
          <w:rStyle w:val="CommentReference"/>
        </w:rPr>
        <w:annotationRef/>
      </w:r>
      <w:r>
        <w:rPr>
          <w:color w:val="000000"/>
          <w:sz w:val="20"/>
          <w:szCs w:val="20"/>
        </w:rPr>
        <w:t xml:space="preserve">Even GCS on its own is categorical. Someone with GCS 4 isn’t “half” as awake as someone with GCS 8. Nor is the interval between GCS 4-8 and GCS 8-12 comparable. Also, GCS is probably worse than AVPU for this, it’s ubiquitous because of the influence of Trauma Surgery on EM in prior generations. </w:t>
      </w:r>
    </w:p>
  </w:comment>
  <w:comment w:id="11" w:author=" " w:date="2024-06-26T20:39:00Z" w:initials="AP">
    <w:p w14:paraId="6A3DF6D4" w14:textId="77777777" w:rsidR="007F6232" w:rsidRDefault="007F6232" w:rsidP="007F6232">
      <w:pPr>
        <w:pStyle w:val="CommentText"/>
      </w:pPr>
      <w:r>
        <w:rPr>
          <w:rStyle w:val="CommentReference"/>
        </w:rPr>
        <w:annotationRef/>
      </w:r>
      <w:r>
        <w:t>I am with you there; I meant more that if we’re using INTOXICATE and including GCS in our analysis, I think our only option is to treat it as a discrete variable consistent with how Brandenburg treated it, since what we’re evaluating is how INTOXICATE “sees” and discriminates our patients. As to conclusions we can extract from it or it’s usefulness as a predictor for our purposes, I suspected the same as what you said. A GCS of 8 isn’t even necessarily comparable with another GCS of 8.</w:t>
      </w:r>
    </w:p>
  </w:comment>
  <w:comment w:id="12" w:author="Michael Chary" w:date="2024-07-08T18:18:00Z" w:initials="MC">
    <w:p w14:paraId="5266F968" w14:textId="77777777" w:rsidR="00B62118" w:rsidRDefault="00B62118" w:rsidP="00B62118">
      <w:r>
        <w:rPr>
          <w:rStyle w:val="CommentReference"/>
        </w:rPr>
        <w:annotationRef/>
      </w:r>
      <w:r>
        <w:rPr>
          <w:color w:val="000000"/>
          <w:sz w:val="20"/>
          <w:szCs w:val="20"/>
        </w:rPr>
        <w:t>Give the heart rates.</w:t>
      </w:r>
    </w:p>
  </w:comment>
  <w:comment w:id="13" w:author="Michael Chary" w:date="2024-06-26T07:20:00Z" w:initials="MC">
    <w:p w14:paraId="0090873E" w14:textId="3F341272" w:rsidR="00891FD8" w:rsidRDefault="00891FD8" w:rsidP="00891FD8">
      <w:r>
        <w:rPr>
          <w:rStyle w:val="CommentReference"/>
        </w:rPr>
        <w:annotationRef/>
      </w:r>
      <w:r>
        <w:rPr>
          <w:color w:val="000000"/>
          <w:sz w:val="20"/>
          <w:szCs w:val="20"/>
        </w:rPr>
        <w:t xml:space="preserve">It is unusual that INTOXICATE ignores unknowns. They can be very high risk. Something to mention in the discussion. </w:t>
      </w:r>
    </w:p>
  </w:comment>
  <w:comment w:id="14" w:author=" " w:date="2024-06-26T20:47:00Z" w:initials="AP">
    <w:p w14:paraId="3F728A47" w14:textId="77777777" w:rsidR="00AD77B2" w:rsidRDefault="00AD77B2" w:rsidP="00AD77B2">
      <w:pPr>
        <w:pStyle w:val="CommentText"/>
      </w:pPr>
      <w:r>
        <w:rPr>
          <w:rStyle w:val="CommentReference"/>
        </w:rPr>
        <w:annotationRef/>
      </w:r>
      <w:r>
        <w:t>INTOXICATE includes “Toxins NOS” as a covariate with an associated point value, but not polysubstance. There’s probably a lot of overlap. I wonder how the Dutch ICU docs classified polysubstance ingestions with one or more unknown intoxicants, or unknown intoxications where polysubstance was suspected, as they weren’t charting with INTOXICATE in mind. I have a section of the discussion dedicated to the problem of polysubstance intoxications but it’s a good idea to work in unknown intoxicants there as well.</w:t>
      </w:r>
    </w:p>
  </w:comment>
  <w:comment w:id="15" w:author="Michael Chary" w:date="2024-06-26T07:31:00Z" w:initials="MC">
    <w:p w14:paraId="64B26C5E" w14:textId="7F873B0D" w:rsidR="003B5E3B" w:rsidRDefault="003B5E3B" w:rsidP="003B5E3B">
      <w:r>
        <w:rPr>
          <w:rStyle w:val="CommentReference"/>
        </w:rPr>
        <w:annotationRef/>
      </w:r>
      <w:r>
        <w:rPr>
          <w:color w:val="000000"/>
          <w:sz w:val="20"/>
          <w:szCs w:val="20"/>
        </w:rPr>
        <w:t>Doesn’t a GCS of 10 get you 3 points and HR above 105 an additional 4 points?</w:t>
      </w:r>
    </w:p>
  </w:comment>
  <w:comment w:id="16" w:author="Michael Chary" w:date="2024-06-26T07:31:00Z" w:initials="MC">
    <w:p w14:paraId="781DDE44" w14:textId="77777777" w:rsidR="003B5E3B" w:rsidRDefault="003B5E3B" w:rsidP="003B5E3B">
      <w:r>
        <w:rPr>
          <w:rStyle w:val="CommentReference"/>
        </w:rPr>
        <w:annotationRef/>
      </w:r>
      <w:r>
        <w:rPr>
          <w:color w:val="000000"/>
          <w:sz w:val="20"/>
          <w:szCs w:val="20"/>
        </w:rPr>
        <w:t>How is IRS only 4?</w:t>
      </w:r>
    </w:p>
  </w:comment>
  <w:comment w:id="17" w:author=" " w:date="2024-06-26T18:46:00Z" w:initials="AP">
    <w:p w14:paraId="06A534EB" w14:textId="77777777" w:rsidR="00F55CE4" w:rsidRDefault="00F55CE4" w:rsidP="00F55CE4">
      <w:pPr>
        <w:pStyle w:val="CommentText"/>
      </w:pPr>
      <w:r>
        <w:rPr>
          <w:rStyle w:val="CommentReference"/>
        </w:rPr>
        <w:annotationRef/>
      </w:r>
      <w:r>
        <w:t>Alcohol intoxication gets -5 points and SBP &gt;140 gets -3 points. I was surprised too, though</w:t>
      </w:r>
    </w:p>
  </w:comment>
  <w:comment w:id="18" w:author="Michael Chary" w:date="2024-06-26T07:33:00Z" w:initials="MC">
    <w:p w14:paraId="4015C092" w14:textId="77DE4CAF" w:rsidR="003B5E3B" w:rsidRDefault="003B5E3B" w:rsidP="003B5E3B">
      <w:r>
        <w:rPr>
          <w:rStyle w:val="CommentReference"/>
        </w:rPr>
        <w:annotationRef/>
      </w:r>
      <w:r>
        <w:rPr>
          <w:color w:val="000000"/>
          <w:sz w:val="20"/>
          <w:szCs w:val="20"/>
        </w:rPr>
        <w:t xml:space="preserve">Recalculate with median. Use mean only if n&gt;30, and unimodal nonskewed distribution. </w:t>
      </w:r>
    </w:p>
  </w:comment>
  <w:comment w:id="19" w:author=" " w:date="2024-06-25T14:55:00Z" w:initials="AP">
    <w:p w14:paraId="149DE864" w14:textId="5FFFDE19" w:rsidR="00DB471D" w:rsidRDefault="00DB471D" w:rsidP="00DB471D">
      <w:pPr>
        <w:pStyle w:val="CommentText"/>
      </w:pPr>
      <w:r>
        <w:rPr>
          <w:rStyle w:val="CommentReference"/>
        </w:rPr>
        <w:annotationRef/>
      </w:r>
      <w:r>
        <w:t xml:space="preserve">The adolescent group is far too small (and INTOXICATE far too nonspecific) for this subgroup analysis to be meaningful. Not sure what about it would be worth reporting, other than the fact that very different patients can have very similar INTOXICATE scores. </w:t>
      </w:r>
    </w:p>
  </w:comment>
  <w:comment w:id="20" w:author=" " w:date="2024-06-25T14:59:00Z" w:initials="AP">
    <w:p w14:paraId="1E4CBBB7" w14:textId="77777777" w:rsidR="00DB471D" w:rsidRDefault="00DB471D" w:rsidP="00DB471D">
      <w:pPr>
        <w:pStyle w:val="CommentText"/>
      </w:pPr>
      <w:r>
        <w:rPr>
          <w:rStyle w:val="CommentReference"/>
        </w:rPr>
        <w:annotationRef/>
      </w:r>
      <w:r>
        <w:t>That said, the sensitivity of 50 [1-99]% does have some comic relief value</w:t>
      </w:r>
    </w:p>
  </w:comment>
  <w:comment w:id="21" w:author="Michael Chary" w:date="2024-07-08T18:45:00Z" w:initials="MC">
    <w:p w14:paraId="34B061C4" w14:textId="77777777" w:rsidR="005F0D70" w:rsidRDefault="005F0D70" w:rsidP="005F0D70">
      <w:r>
        <w:rPr>
          <w:rStyle w:val="CommentReference"/>
        </w:rPr>
        <w:annotationRef/>
      </w:r>
      <w:r>
        <w:rPr>
          <w:color w:val="000000"/>
          <w:sz w:val="20"/>
          <w:szCs w:val="20"/>
        </w:rPr>
        <w:t xml:space="preserve">ROC analysis. </w:t>
      </w:r>
    </w:p>
  </w:comment>
  <w:comment w:id="22" w:author="Michael Chary" w:date="2024-06-28T09:28:00Z" w:initials="MC">
    <w:p w14:paraId="048F43F8" w14:textId="77777777" w:rsidR="00D50386" w:rsidRDefault="00D50386" w:rsidP="00D50386">
      <w:r>
        <w:rPr>
          <w:rStyle w:val="CommentReference"/>
        </w:rPr>
        <w:annotationRef/>
      </w:r>
      <w:r>
        <w:rPr>
          <w:color w:val="000000"/>
          <w:sz w:val="20"/>
          <w:szCs w:val="20"/>
        </w:rPr>
        <w:t>Add numbers, Make two sentences.</w:t>
      </w:r>
    </w:p>
  </w:comment>
  <w:comment w:id="23" w:author=" " w:date="2024-06-25T17:11:00Z" w:initials="AP">
    <w:p w14:paraId="300ABB82" w14:textId="17F4B0C7" w:rsidR="008201B0" w:rsidRDefault="008201B0" w:rsidP="008201B0">
      <w:pPr>
        <w:pStyle w:val="CommentText"/>
      </w:pPr>
      <w:r>
        <w:rPr>
          <w:rStyle w:val="CommentReference"/>
        </w:rPr>
        <w:annotationRef/>
      </w:r>
      <w:r>
        <w:t>I note, a yet-to-be-justified tenet</w:t>
      </w:r>
    </w:p>
  </w:comment>
  <w:comment w:id="24" w:author=" " w:date="2024-06-25T17:29:00Z" w:initials="AP">
    <w:p w14:paraId="0F2D6007" w14:textId="77777777" w:rsidR="005A1CA6" w:rsidRDefault="005A1CA6" w:rsidP="005A1CA6">
      <w:pPr>
        <w:pStyle w:val="CommentText"/>
      </w:pPr>
      <w:r>
        <w:rPr>
          <w:rStyle w:val="CommentReference"/>
        </w:rPr>
        <w:annotationRef/>
      </w:r>
      <w:r>
        <w:t xml:space="preserve">I maintain that the sensitivity and specificity that we calculated are not comparable to those that Brandenburg reported, because they’re for very different outcomes. Using sensitivity as an example, we found that P(IRS &gt;6 | patient went to ICU) = 65 [44-86]%. Their sensitivity is the measure P(IRS &gt;6 | patient went to ICU </w:t>
      </w:r>
      <w:r>
        <w:rPr>
          <w:u w:val="single"/>
        </w:rPr>
        <w:t>and</w:t>
      </w:r>
      <w:r>
        <w:t xml:space="preserve"> required ICU care) = 93.4%. </w:t>
      </w:r>
    </w:p>
    <w:p w14:paraId="5AC9A4AA" w14:textId="77777777" w:rsidR="005A1CA6" w:rsidRDefault="005A1CA6" w:rsidP="005A1CA6">
      <w:pPr>
        <w:pStyle w:val="CommentText"/>
      </w:pPr>
    </w:p>
    <w:p w14:paraId="4084A223" w14:textId="77777777" w:rsidR="005A1CA6" w:rsidRDefault="005A1CA6" w:rsidP="005A1CA6">
      <w:pPr>
        <w:pStyle w:val="CommentText"/>
      </w:pPr>
      <w:r>
        <w:t xml:space="preserve">That there is a divide between INTOXICATE and toxicology’s predictions is an appropriate conclusion. However, without knowing the ICU outcomes of our patients, what we have is not an external validation of INTOXICATE. </w:t>
      </w:r>
    </w:p>
  </w:comment>
  <w:comment w:id="25" w:author=" " w:date="2024-06-25T17:35:00Z" w:initials="AP">
    <w:p w14:paraId="00B7CC55" w14:textId="77777777" w:rsidR="005A1CA6" w:rsidRDefault="005A1CA6" w:rsidP="005A1CA6">
      <w:pPr>
        <w:pStyle w:val="CommentText"/>
      </w:pPr>
      <w:r>
        <w:rPr>
          <w:rStyle w:val="CommentReference"/>
        </w:rPr>
        <w:annotationRef/>
      </w:r>
      <w:r>
        <w:t xml:space="preserve">Though I know that this is certainly the more marketable conclusion, and with the ultimate goal of keeping this project going may very well be what we should end the paper with (I leave this to your judgement), I also will continue to argue that a more interesting discussion entails why it may not be possible to improve INTOXICATE to a point of clinical usefulness.  </w:t>
      </w:r>
    </w:p>
    <w:p w14:paraId="26267AF9" w14:textId="77777777" w:rsidR="005A1CA6" w:rsidRDefault="005A1CA6" w:rsidP="005A1CA6">
      <w:pPr>
        <w:pStyle w:val="CommentText"/>
      </w:pPr>
    </w:p>
    <w:p w14:paraId="10985B91" w14:textId="77777777" w:rsidR="005A1CA6" w:rsidRDefault="005A1CA6" w:rsidP="005A1CA6">
      <w:pPr>
        <w:pStyle w:val="CommentText"/>
      </w:pPr>
      <w:r>
        <w:t xml:space="preserve">The latter point (focusing on specific ingestions lacking risk stratification tools) I think does have more worth in pursuing. </w:t>
      </w:r>
    </w:p>
  </w:comment>
  <w:comment w:id="26" w:author="Michael Chary" w:date="2024-06-28T07:33:00Z" w:initials="MC">
    <w:p w14:paraId="12F51346" w14:textId="77777777" w:rsidR="00B149C3" w:rsidRDefault="00B149C3" w:rsidP="00B149C3">
      <w:r>
        <w:rPr>
          <w:rStyle w:val="CommentReference"/>
        </w:rPr>
        <w:annotationRef/>
      </w:r>
      <w:r>
        <w:rPr>
          <w:color w:val="000000"/>
          <w:sz w:val="20"/>
          <w:szCs w:val="20"/>
        </w:rPr>
        <w:t xml:space="preserve">Perhaps another angle to take is that rules for single-substance ingestions do not apply in polysubstance overdoses when one ingests clinically relevant amounts of multiple substances. And how much of each is not known in the ED, usually. </w:t>
      </w:r>
    </w:p>
  </w:comment>
  <w:comment w:id="28" w:author="Michael Chary" w:date="2024-06-24T11:19:00Z" w:initials="MC">
    <w:p w14:paraId="0ABBD861" w14:textId="4217FFD8" w:rsidR="00A50F07" w:rsidRDefault="00A50F07" w:rsidP="00A50F07">
      <w:r>
        <w:rPr>
          <w:rStyle w:val="CommentReference"/>
        </w:rPr>
        <w:annotationRef/>
      </w:r>
      <w:r>
        <w:rPr>
          <w:color w:val="000000"/>
          <w:sz w:val="20"/>
          <w:szCs w:val="20"/>
        </w:rPr>
        <w:t xml:space="preserve">Minimum GCS score is 3. Please check. </w:t>
      </w:r>
    </w:p>
  </w:comment>
  <w:comment w:id="29" w:author=" " w:date="2024-06-25T15:38:00Z" w:initials="AP">
    <w:p w14:paraId="26AC50E8" w14:textId="77777777" w:rsidR="00A55A0C" w:rsidRDefault="00D771B2" w:rsidP="00A55A0C">
      <w:pPr>
        <w:pStyle w:val="CommentText"/>
      </w:pPr>
      <w:r>
        <w:rPr>
          <w:rStyle w:val="CommentReference"/>
        </w:rPr>
        <w:annotationRef/>
      </w:r>
      <w:r w:rsidR="00A55A0C">
        <w:t>I think it may have to do with how the table was generated; that 2 should be labelled 3 (I have 3 patients with GCS =3). The rest of the counts match up with what I have.</w:t>
      </w:r>
    </w:p>
  </w:comment>
  <w:comment w:id="31" w:author=" " w:date="2024-06-25T16:10:00Z" w:initials="AP">
    <w:p w14:paraId="005C9070" w14:textId="63BAFD1D" w:rsidR="00A55A0C" w:rsidRDefault="00A55A0C" w:rsidP="00A55A0C">
      <w:pPr>
        <w:pStyle w:val="CommentText"/>
      </w:pPr>
      <w:r>
        <w:rPr>
          <w:rStyle w:val="CommentReference"/>
        </w:rPr>
        <w:annotationRef/>
      </w:r>
      <w:r>
        <w:t>I got the same kappa values with p=0.89 for adolescents and p=0.69 for adults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2F8851" w15:done="1"/>
  <w15:commentEx w15:paraId="3E279727" w15:done="1"/>
  <w15:commentEx w15:paraId="702EEBE1" w15:done="1"/>
  <w15:commentEx w15:paraId="1B1D727B" w15:done="1"/>
  <w15:commentEx w15:paraId="4C09BD48" w15:done="0"/>
  <w15:commentEx w15:paraId="7AEAD984" w15:paraIdParent="4C09BD48" w15:done="0"/>
  <w15:commentEx w15:paraId="2FADA2DB" w15:paraIdParent="4C09BD48" w15:done="0"/>
  <w15:commentEx w15:paraId="636F9DBC" w15:paraIdParent="4C09BD48" w15:done="0"/>
  <w15:commentEx w15:paraId="39B73D6B" w15:done="0"/>
  <w15:commentEx w15:paraId="42C6AADA" w15:paraIdParent="39B73D6B" w15:done="0"/>
  <w15:commentEx w15:paraId="4B9B6D01" w15:paraIdParent="39B73D6B" w15:done="0"/>
  <w15:commentEx w15:paraId="6A3DF6D4" w15:paraIdParent="39B73D6B" w15:done="0"/>
  <w15:commentEx w15:paraId="5266F968" w15:done="0"/>
  <w15:commentEx w15:paraId="0090873E" w15:done="0"/>
  <w15:commentEx w15:paraId="3F728A47" w15:paraIdParent="0090873E" w15:done="0"/>
  <w15:commentEx w15:paraId="64B26C5E" w15:done="1"/>
  <w15:commentEx w15:paraId="781DDE44" w15:paraIdParent="64B26C5E" w15:done="1"/>
  <w15:commentEx w15:paraId="06A534EB" w15:paraIdParent="64B26C5E" w15:done="1"/>
  <w15:commentEx w15:paraId="4015C092" w15:done="1"/>
  <w15:commentEx w15:paraId="149DE864" w15:done="1"/>
  <w15:commentEx w15:paraId="1E4CBBB7" w15:paraIdParent="149DE864" w15:done="1"/>
  <w15:commentEx w15:paraId="34B061C4" w15:done="0"/>
  <w15:commentEx w15:paraId="048F43F8" w15:done="1"/>
  <w15:commentEx w15:paraId="300ABB82" w15:done="1"/>
  <w15:commentEx w15:paraId="4084A223" w15:done="0"/>
  <w15:commentEx w15:paraId="10985B91" w15:done="1"/>
  <w15:commentEx w15:paraId="12F51346" w15:paraIdParent="10985B91" w15:done="1"/>
  <w15:commentEx w15:paraId="0ABBD861" w15:done="1"/>
  <w15:commentEx w15:paraId="26AC50E8" w15:paraIdParent="0ABBD861" w15:done="1"/>
  <w15:commentEx w15:paraId="005C907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284572D" w16cex:dateUtc="2024-06-28T11:26:00Z"/>
  <w16cex:commentExtensible w16cex:durableId="0D99DCDF" w16cex:dateUtc="2024-06-28T12:03:00Z"/>
  <w16cex:commentExtensible w16cex:durableId="111F4539" w16cex:dateUtc="2024-06-21T11:17:00Z"/>
  <w16cex:commentExtensible w16cex:durableId="134CDE7C" w16cex:dateUtc="2024-06-25T17:07:00Z"/>
  <w16cex:commentExtensible w16cex:durableId="2D6EEC36" w16cex:dateUtc="2024-06-24T17:56:00Z"/>
  <w16cex:commentExtensible w16cex:durableId="66F74286" w16cex:dateUtc="2024-06-25T21:10:00Z"/>
  <w16cex:commentExtensible w16cex:durableId="33807E54" w16cex:dateUtc="2024-06-26T11:02:00Z"/>
  <w16cex:commentExtensible w16cex:durableId="6A81AEC7" w16cex:dateUtc="2024-06-26T23:34:00Z"/>
  <w16cex:commentExtensible w16cex:durableId="56DC393D" w16cex:dateUtc="2024-06-24T17:31:00Z"/>
  <w16cex:commentExtensible w16cex:durableId="0361414C" w16cex:dateUtc="2024-06-25T19:18:00Z"/>
  <w16cex:commentExtensible w16cex:durableId="54EA6972" w16cex:dateUtc="2024-06-26T11:04:00Z"/>
  <w16cex:commentExtensible w16cex:durableId="2EA6F364" w16cex:dateUtc="2024-06-27T00:39:00Z"/>
  <w16cex:commentExtensible w16cex:durableId="1A8D2896" w16cex:dateUtc="2024-07-08T22:18:00Z"/>
  <w16cex:commentExtensible w16cex:durableId="6582AFE3" w16cex:dateUtc="2024-06-26T11:20:00Z"/>
  <w16cex:commentExtensible w16cex:durableId="56D5FF33" w16cex:dateUtc="2024-06-27T00:47:00Z"/>
  <w16cex:commentExtensible w16cex:durableId="1B68CD56" w16cex:dateUtc="2024-06-26T11:31:00Z"/>
  <w16cex:commentExtensible w16cex:durableId="4E7862C0" w16cex:dateUtc="2024-06-26T11:31:00Z"/>
  <w16cex:commentExtensible w16cex:durableId="6B9EAC9E" w16cex:dateUtc="2024-06-26T22:46:00Z"/>
  <w16cex:commentExtensible w16cex:durableId="6E08B6AB" w16cex:dateUtc="2024-06-26T11:33:00Z"/>
  <w16cex:commentExtensible w16cex:durableId="16E436FB" w16cex:dateUtc="2024-06-25T18:55:00Z"/>
  <w16cex:commentExtensible w16cex:durableId="56DF145F" w16cex:dateUtc="2024-06-25T18:59:00Z"/>
  <w16cex:commentExtensible w16cex:durableId="74E02CA1" w16cex:dateUtc="2024-07-08T22:45:00Z"/>
  <w16cex:commentExtensible w16cex:durableId="66196B39" w16cex:dateUtc="2024-06-28T13:28:00Z"/>
  <w16cex:commentExtensible w16cex:durableId="0F3FE85E" w16cex:dateUtc="2024-06-25T21:11:00Z"/>
  <w16cex:commentExtensible w16cex:durableId="08EBA468" w16cex:dateUtc="2024-06-25T21:29:00Z"/>
  <w16cex:commentExtensible w16cex:durableId="6362D40F" w16cex:dateUtc="2024-06-25T21:35:00Z"/>
  <w16cex:commentExtensible w16cex:durableId="750BCA1B" w16cex:dateUtc="2024-06-28T11:33:00Z"/>
  <w16cex:commentExtensible w16cex:durableId="2F4BEEEF" w16cex:dateUtc="2024-06-24T15:19:00Z"/>
  <w16cex:commentExtensible w16cex:durableId="3B587A92" w16cex:dateUtc="2024-06-25T19:38:00Z"/>
  <w16cex:commentExtensible w16cex:durableId="6D41CD97" w16cex:dateUtc="2024-06-25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2F8851" w16cid:durableId="0284572D"/>
  <w16cid:commentId w16cid:paraId="3E279727" w16cid:durableId="0D99DCDF"/>
  <w16cid:commentId w16cid:paraId="702EEBE1" w16cid:durableId="111F4539"/>
  <w16cid:commentId w16cid:paraId="1B1D727B" w16cid:durableId="134CDE7C"/>
  <w16cid:commentId w16cid:paraId="4C09BD48" w16cid:durableId="2D6EEC36"/>
  <w16cid:commentId w16cid:paraId="7AEAD984" w16cid:durableId="66F74286"/>
  <w16cid:commentId w16cid:paraId="2FADA2DB" w16cid:durableId="33807E54"/>
  <w16cid:commentId w16cid:paraId="636F9DBC" w16cid:durableId="6A81AEC7"/>
  <w16cid:commentId w16cid:paraId="39B73D6B" w16cid:durableId="56DC393D"/>
  <w16cid:commentId w16cid:paraId="42C6AADA" w16cid:durableId="0361414C"/>
  <w16cid:commentId w16cid:paraId="4B9B6D01" w16cid:durableId="54EA6972"/>
  <w16cid:commentId w16cid:paraId="6A3DF6D4" w16cid:durableId="2EA6F364"/>
  <w16cid:commentId w16cid:paraId="5266F968" w16cid:durableId="1A8D2896"/>
  <w16cid:commentId w16cid:paraId="0090873E" w16cid:durableId="6582AFE3"/>
  <w16cid:commentId w16cid:paraId="3F728A47" w16cid:durableId="56D5FF33"/>
  <w16cid:commentId w16cid:paraId="64B26C5E" w16cid:durableId="1B68CD56"/>
  <w16cid:commentId w16cid:paraId="781DDE44" w16cid:durableId="4E7862C0"/>
  <w16cid:commentId w16cid:paraId="06A534EB" w16cid:durableId="6B9EAC9E"/>
  <w16cid:commentId w16cid:paraId="4015C092" w16cid:durableId="6E08B6AB"/>
  <w16cid:commentId w16cid:paraId="149DE864" w16cid:durableId="16E436FB"/>
  <w16cid:commentId w16cid:paraId="1E4CBBB7" w16cid:durableId="56DF145F"/>
  <w16cid:commentId w16cid:paraId="34B061C4" w16cid:durableId="74E02CA1"/>
  <w16cid:commentId w16cid:paraId="048F43F8" w16cid:durableId="66196B39"/>
  <w16cid:commentId w16cid:paraId="300ABB82" w16cid:durableId="0F3FE85E"/>
  <w16cid:commentId w16cid:paraId="4084A223" w16cid:durableId="08EBA468"/>
  <w16cid:commentId w16cid:paraId="10985B91" w16cid:durableId="6362D40F"/>
  <w16cid:commentId w16cid:paraId="12F51346" w16cid:durableId="750BCA1B"/>
  <w16cid:commentId w16cid:paraId="0ABBD861" w16cid:durableId="2F4BEEEF"/>
  <w16cid:commentId w16cid:paraId="26AC50E8" w16cid:durableId="3B587A92"/>
  <w16cid:commentId w16cid:paraId="005C9070" w16cid:durableId="6D41CD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182"/>
    <w:multiLevelType w:val="multilevel"/>
    <w:tmpl w:val="B6FA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A43B62"/>
    <w:multiLevelType w:val="multilevel"/>
    <w:tmpl w:val="BC742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E122BD"/>
    <w:multiLevelType w:val="multilevel"/>
    <w:tmpl w:val="C174F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62692">
    <w:abstractNumId w:val="0"/>
  </w:num>
  <w:num w:numId="2" w16cid:durableId="156192826">
    <w:abstractNumId w:val="1"/>
  </w:num>
  <w:num w:numId="3" w16cid:durableId="9090117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Chary">
    <w15:presenceInfo w15:providerId="AD" w15:userId="S::mic9189@med.cornell.edu::373eaa0a-6c4f-4330-8874-abadce0fd19f"/>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952"/>
    <w:rsid w:val="00010012"/>
    <w:rsid w:val="00097872"/>
    <w:rsid w:val="001028F8"/>
    <w:rsid w:val="00110FC5"/>
    <w:rsid w:val="00122A0B"/>
    <w:rsid w:val="0016324A"/>
    <w:rsid w:val="00181869"/>
    <w:rsid w:val="001953AF"/>
    <w:rsid w:val="001C0570"/>
    <w:rsid w:val="001E5763"/>
    <w:rsid w:val="001F3297"/>
    <w:rsid w:val="001F73F8"/>
    <w:rsid w:val="002734B5"/>
    <w:rsid w:val="0028017F"/>
    <w:rsid w:val="002825C8"/>
    <w:rsid w:val="00297977"/>
    <w:rsid w:val="002B48C8"/>
    <w:rsid w:val="002C62B1"/>
    <w:rsid w:val="002D62ED"/>
    <w:rsid w:val="002F2D67"/>
    <w:rsid w:val="0030063A"/>
    <w:rsid w:val="0034509D"/>
    <w:rsid w:val="00350F4C"/>
    <w:rsid w:val="00357879"/>
    <w:rsid w:val="00381F94"/>
    <w:rsid w:val="003869B9"/>
    <w:rsid w:val="003B4D1D"/>
    <w:rsid w:val="003B5E3B"/>
    <w:rsid w:val="003C56C3"/>
    <w:rsid w:val="003C6FD2"/>
    <w:rsid w:val="003F40B2"/>
    <w:rsid w:val="00404347"/>
    <w:rsid w:val="004078AF"/>
    <w:rsid w:val="00424DE6"/>
    <w:rsid w:val="00433C44"/>
    <w:rsid w:val="004540AA"/>
    <w:rsid w:val="004605B2"/>
    <w:rsid w:val="004B7C8C"/>
    <w:rsid w:val="004F40E0"/>
    <w:rsid w:val="004F60D9"/>
    <w:rsid w:val="00500D87"/>
    <w:rsid w:val="005166AB"/>
    <w:rsid w:val="00522A6A"/>
    <w:rsid w:val="00535718"/>
    <w:rsid w:val="00541179"/>
    <w:rsid w:val="0055165C"/>
    <w:rsid w:val="00570AC5"/>
    <w:rsid w:val="005977F9"/>
    <w:rsid w:val="00597A8B"/>
    <w:rsid w:val="005A1CA6"/>
    <w:rsid w:val="005B2091"/>
    <w:rsid w:val="005D2FE0"/>
    <w:rsid w:val="005F0D70"/>
    <w:rsid w:val="00614AF2"/>
    <w:rsid w:val="006225C7"/>
    <w:rsid w:val="0063223C"/>
    <w:rsid w:val="00633201"/>
    <w:rsid w:val="006407E3"/>
    <w:rsid w:val="006424E7"/>
    <w:rsid w:val="0068713F"/>
    <w:rsid w:val="00694F95"/>
    <w:rsid w:val="006C1F43"/>
    <w:rsid w:val="006C2EA3"/>
    <w:rsid w:val="006C5E6E"/>
    <w:rsid w:val="00706B10"/>
    <w:rsid w:val="0071067C"/>
    <w:rsid w:val="00711FE1"/>
    <w:rsid w:val="00725422"/>
    <w:rsid w:val="0072552F"/>
    <w:rsid w:val="0074440C"/>
    <w:rsid w:val="00750520"/>
    <w:rsid w:val="00766752"/>
    <w:rsid w:val="00770B8D"/>
    <w:rsid w:val="007B45BB"/>
    <w:rsid w:val="007C6408"/>
    <w:rsid w:val="007D6620"/>
    <w:rsid w:val="007F6232"/>
    <w:rsid w:val="008138CF"/>
    <w:rsid w:val="008201B0"/>
    <w:rsid w:val="00826F00"/>
    <w:rsid w:val="008467F1"/>
    <w:rsid w:val="00857310"/>
    <w:rsid w:val="00891FD8"/>
    <w:rsid w:val="0089758A"/>
    <w:rsid w:val="008A714B"/>
    <w:rsid w:val="008B1986"/>
    <w:rsid w:val="008D0D2E"/>
    <w:rsid w:val="008D172A"/>
    <w:rsid w:val="008D37CF"/>
    <w:rsid w:val="008E25D2"/>
    <w:rsid w:val="008F77DD"/>
    <w:rsid w:val="009130F2"/>
    <w:rsid w:val="00920577"/>
    <w:rsid w:val="00925055"/>
    <w:rsid w:val="009851CF"/>
    <w:rsid w:val="009A7AF8"/>
    <w:rsid w:val="009D32C7"/>
    <w:rsid w:val="00A1242D"/>
    <w:rsid w:val="00A16255"/>
    <w:rsid w:val="00A50F07"/>
    <w:rsid w:val="00A55A0C"/>
    <w:rsid w:val="00A7004B"/>
    <w:rsid w:val="00A70DF1"/>
    <w:rsid w:val="00A7181A"/>
    <w:rsid w:val="00AB4801"/>
    <w:rsid w:val="00AD1A94"/>
    <w:rsid w:val="00AD77B2"/>
    <w:rsid w:val="00AF0E7D"/>
    <w:rsid w:val="00B00952"/>
    <w:rsid w:val="00B04FFD"/>
    <w:rsid w:val="00B149C3"/>
    <w:rsid w:val="00B243F5"/>
    <w:rsid w:val="00B57542"/>
    <w:rsid w:val="00B62118"/>
    <w:rsid w:val="00BA07B2"/>
    <w:rsid w:val="00BD7B98"/>
    <w:rsid w:val="00BF24C3"/>
    <w:rsid w:val="00C301A4"/>
    <w:rsid w:val="00C36F42"/>
    <w:rsid w:val="00CB2AFE"/>
    <w:rsid w:val="00CD7645"/>
    <w:rsid w:val="00CE2A7B"/>
    <w:rsid w:val="00CE5623"/>
    <w:rsid w:val="00CF2A6C"/>
    <w:rsid w:val="00D33985"/>
    <w:rsid w:val="00D45354"/>
    <w:rsid w:val="00D50386"/>
    <w:rsid w:val="00D771B2"/>
    <w:rsid w:val="00DB471D"/>
    <w:rsid w:val="00DC30D6"/>
    <w:rsid w:val="00DD6BA0"/>
    <w:rsid w:val="00DD71E1"/>
    <w:rsid w:val="00DF18C8"/>
    <w:rsid w:val="00E02D84"/>
    <w:rsid w:val="00E06267"/>
    <w:rsid w:val="00E37D4A"/>
    <w:rsid w:val="00E44545"/>
    <w:rsid w:val="00E66B3E"/>
    <w:rsid w:val="00EB0471"/>
    <w:rsid w:val="00EB04E4"/>
    <w:rsid w:val="00EB7FC6"/>
    <w:rsid w:val="00EC4135"/>
    <w:rsid w:val="00F32A3A"/>
    <w:rsid w:val="00F52B5F"/>
    <w:rsid w:val="00F55CE4"/>
    <w:rsid w:val="00F613F1"/>
    <w:rsid w:val="00F84C19"/>
    <w:rsid w:val="00F8705F"/>
    <w:rsid w:val="00FC1467"/>
    <w:rsid w:val="00FC15AE"/>
    <w:rsid w:val="00FF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DBC9"/>
  <w15:docId w15:val="{616488FC-8749-DF48-A22C-155FBEA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360" w:after="60" w:line="360" w:lineRule="auto"/>
      <w:ind w:right="567"/>
      <w:outlineLvl w:val="0"/>
    </w:pPr>
    <w:rPr>
      <w:b/>
    </w:rPr>
  </w:style>
  <w:style w:type="paragraph" w:styleId="Heading2">
    <w:name w:val="heading 2"/>
    <w:basedOn w:val="Normal"/>
    <w:next w:val="Normal"/>
    <w:uiPriority w:val="9"/>
    <w:semiHidden/>
    <w:unhideWhenUsed/>
    <w:qFormat/>
    <w:pPr>
      <w:keepNext/>
      <w:spacing w:before="360" w:after="60" w:line="360" w:lineRule="auto"/>
      <w:ind w:right="567"/>
      <w:outlineLvl w:val="1"/>
    </w:pPr>
    <w:rPr>
      <w:b/>
      <w:i/>
    </w:rPr>
  </w:style>
  <w:style w:type="paragraph" w:styleId="Heading3">
    <w:name w:val="heading 3"/>
    <w:basedOn w:val="Normal"/>
    <w:next w:val="Normal"/>
    <w:uiPriority w:val="9"/>
    <w:semiHidden/>
    <w:unhideWhenUsed/>
    <w:qFormat/>
    <w:pPr>
      <w:keepNext/>
      <w:spacing w:before="360" w:after="60" w:line="360" w:lineRule="auto"/>
      <w:ind w:right="567"/>
      <w:outlineLvl w:val="2"/>
    </w:pPr>
    <w:rPr>
      <w:i/>
    </w:rPr>
  </w:style>
  <w:style w:type="paragraph" w:styleId="Heading4">
    <w:name w:val="heading 4"/>
    <w:basedOn w:val="Normal"/>
    <w:next w:val="Normal"/>
    <w:uiPriority w:val="9"/>
    <w:semiHidden/>
    <w:unhideWhenUsed/>
    <w:qFormat/>
    <w:pPr>
      <w:widowControl w:val="0"/>
      <w:spacing w:before="3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52B5F"/>
    <w:pPr>
      <w:spacing w:line="240" w:lineRule="auto"/>
    </w:pPr>
  </w:style>
  <w:style w:type="character" w:styleId="CommentReference">
    <w:name w:val="annotation reference"/>
    <w:basedOn w:val="DefaultParagraphFont"/>
    <w:uiPriority w:val="99"/>
    <w:semiHidden/>
    <w:unhideWhenUsed/>
    <w:rsid w:val="00CE5623"/>
    <w:rPr>
      <w:sz w:val="16"/>
      <w:szCs w:val="16"/>
    </w:rPr>
  </w:style>
  <w:style w:type="paragraph" w:styleId="CommentText">
    <w:name w:val="annotation text"/>
    <w:basedOn w:val="Normal"/>
    <w:link w:val="CommentTextChar"/>
    <w:uiPriority w:val="99"/>
    <w:unhideWhenUsed/>
    <w:rsid w:val="00CE5623"/>
    <w:pPr>
      <w:spacing w:line="240" w:lineRule="auto"/>
    </w:pPr>
    <w:rPr>
      <w:sz w:val="20"/>
      <w:szCs w:val="20"/>
    </w:rPr>
  </w:style>
  <w:style w:type="character" w:customStyle="1" w:styleId="CommentTextChar">
    <w:name w:val="Comment Text Char"/>
    <w:basedOn w:val="DefaultParagraphFont"/>
    <w:link w:val="CommentText"/>
    <w:uiPriority w:val="99"/>
    <w:rsid w:val="00CE5623"/>
    <w:rPr>
      <w:sz w:val="20"/>
      <w:szCs w:val="20"/>
    </w:rPr>
  </w:style>
  <w:style w:type="paragraph" w:styleId="CommentSubject">
    <w:name w:val="annotation subject"/>
    <w:basedOn w:val="CommentText"/>
    <w:next w:val="CommentText"/>
    <w:link w:val="CommentSubjectChar"/>
    <w:uiPriority w:val="99"/>
    <w:semiHidden/>
    <w:unhideWhenUsed/>
    <w:rsid w:val="00CE5623"/>
    <w:rPr>
      <w:b/>
      <w:bCs/>
    </w:rPr>
  </w:style>
  <w:style w:type="character" w:customStyle="1" w:styleId="CommentSubjectChar">
    <w:name w:val="Comment Subject Char"/>
    <w:basedOn w:val="CommentTextChar"/>
    <w:link w:val="CommentSubject"/>
    <w:uiPriority w:val="99"/>
    <w:semiHidden/>
    <w:rsid w:val="00CE5623"/>
    <w:rPr>
      <w:b/>
      <w:bCs/>
      <w:sz w:val="20"/>
      <w:szCs w:val="20"/>
    </w:rPr>
  </w:style>
  <w:style w:type="character" w:styleId="PlaceholderText">
    <w:name w:val="Placeholder Text"/>
    <w:basedOn w:val="DefaultParagraphFont"/>
    <w:uiPriority w:val="99"/>
    <w:semiHidden/>
    <w:rsid w:val="003B4D1D"/>
    <w:rPr>
      <w:color w:val="666666"/>
    </w:rPr>
  </w:style>
  <w:style w:type="paragraph" w:styleId="Caption">
    <w:name w:val="caption"/>
    <w:basedOn w:val="Normal"/>
    <w:next w:val="Normal"/>
    <w:uiPriority w:val="35"/>
    <w:unhideWhenUsed/>
    <w:qFormat/>
    <w:rsid w:val="006C2EA3"/>
    <w:pPr>
      <w:spacing w:after="200" w:line="240" w:lineRule="auto"/>
    </w:pPr>
    <w:rPr>
      <w:i/>
      <w:iCs/>
      <w:color w:val="1F497D" w:themeColor="text2"/>
      <w:sz w:val="18"/>
      <w:szCs w:val="18"/>
    </w:rPr>
  </w:style>
  <w:style w:type="character" w:styleId="Strong">
    <w:name w:val="Strong"/>
    <w:basedOn w:val="DefaultParagraphFont"/>
    <w:uiPriority w:val="22"/>
    <w:qFormat/>
    <w:rsid w:val="001C0570"/>
    <w:rPr>
      <w:b/>
      <w:bCs/>
    </w:rPr>
  </w:style>
  <w:style w:type="character" w:customStyle="1" w:styleId="gtfootnotemarks">
    <w:name w:val="gt_footnote_marks"/>
    <w:basedOn w:val="DefaultParagraphFont"/>
    <w:rsid w:val="001C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634">
      <w:bodyDiv w:val="1"/>
      <w:marLeft w:val="0"/>
      <w:marRight w:val="0"/>
      <w:marTop w:val="0"/>
      <w:marBottom w:val="0"/>
      <w:divBdr>
        <w:top w:val="none" w:sz="0" w:space="0" w:color="auto"/>
        <w:left w:val="none" w:sz="0" w:space="0" w:color="auto"/>
        <w:bottom w:val="none" w:sz="0" w:space="0" w:color="auto"/>
        <w:right w:val="none" w:sz="0" w:space="0" w:color="auto"/>
      </w:divBdr>
    </w:div>
    <w:div w:id="38625973">
      <w:bodyDiv w:val="1"/>
      <w:marLeft w:val="0"/>
      <w:marRight w:val="0"/>
      <w:marTop w:val="0"/>
      <w:marBottom w:val="0"/>
      <w:divBdr>
        <w:top w:val="none" w:sz="0" w:space="0" w:color="auto"/>
        <w:left w:val="none" w:sz="0" w:space="0" w:color="auto"/>
        <w:bottom w:val="none" w:sz="0" w:space="0" w:color="auto"/>
        <w:right w:val="none" w:sz="0" w:space="0" w:color="auto"/>
      </w:divBdr>
    </w:div>
    <w:div w:id="1151799066">
      <w:bodyDiv w:val="1"/>
      <w:marLeft w:val="0"/>
      <w:marRight w:val="0"/>
      <w:marTop w:val="0"/>
      <w:marBottom w:val="0"/>
      <w:divBdr>
        <w:top w:val="none" w:sz="0" w:space="0" w:color="auto"/>
        <w:left w:val="none" w:sz="0" w:space="0" w:color="auto"/>
        <w:bottom w:val="none" w:sz="0" w:space="0" w:color="auto"/>
        <w:right w:val="none" w:sz="0" w:space="0" w:color="auto"/>
      </w:divBdr>
    </w:div>
    <w:div w:id="1167475754">
      <w:bodyDiv w:val="1"/>
      <w:marLeft w:val="0"/>
      <w:marRight w:val="0"/>
      <w:marTop w:val="0"/>
      <w:marBottom w:val="0"/>
      <w:divBdr>
        <w:top w:val="none" w:sz="0" w:space="0" w:color="auto"/>
        <w:left w:val="none" w:sz="0" w:space="0" w:color="auto"/>
        <w:bottom w:val="none" w:sz="0" w:space="0" w:color="auto"/>
        <w:right w:val="none" w:sz="0" w:space="0" w:color="auto"/>
      </w:divBdr>
    </w:div>
    <w:div w:id="1183132390">
      <w:bodyDiv w:val="1"/>
      <w:marLeft w:val="0"/>
      <w:marRight w:val="0"/>
      <w:marTop w:val="0"/>
      <w:marBottom w:val="0"/>
      <w:divBdr>
        <w:top w:val="none" w:sz="0" w:space="0" w:color="auto"/>
        <w:left w:val="none" w:sz="0" w:space="0" w:color="auto"/>
        <w:bottom w:val="none" w:sz="0" w:space="0" w:color="auto"/>
        <w:right w:val="none" w:sz="0" w:space="0" w:color="auto"/>
      </w:divBdr>
    </w:div>
    <w:div w:id="1209798427">
      <w:bodyDiv w:val="1"/>
      <w:marLeft w:val="0"/>
      <w:marRight w:val="0"/>
      <w:marTop w:val="0"/>
      <w:marBottom w:val="0"/>
      <w:divBdr>
        <w:top w:val="none" w:sz="0" w:space="0" w:color="auto"/>
        <w:left w:val="none" w:sz="0" w:space="0" w:color="auto"/>
        <w:bottom w:val="none" w:sz="0" w:space="0" w:color="auto"/>
        <w:right w:val="none" w:sz="0" w:space="0" w:color="auto"/>
      </w:divBdr>
    </w:div>
    <w:div w:id="1238588654">
      <w:bodyDiv w:val="1"/>
      <w:marLeft w:val="0"/>
      <w:marRight w:val="0"/>
      <w:marTop w:val="0"/>
      <w:marBottom w:val="0"/>
      <w:divBdr>
        <w:top w:val="none" w:sz="0" w:space="0" w:color="auto"/>
        <w:left w:val="none" w:sz="0" w:space="0" w:color="auto"/>
        <w:bottom w:val="none" w:sz="0" w:space="0" w:color="auto"/>
        <w:right w:val="none" w:sz="0" w:space="0" w:color="auto"/>
      </w:divBdr>
    </w:div>
    <w:div w:id="1458378343">
      <w:bodyDiv w:val="1"/>
      <w:marLeft w:val="0"/>
      <w:marRight w:val="0"/>
      <w:marTop w:val="0"/>
      <w:marBottom w:val="0"/>
      <w:divBdr>
        <w:top w:val="none" w:sz="0" w:space="0" w:color="auto"/>
        <w:left w:val="none" w:sz="0" w:space="0" w:color="auto"/>
        <w:bottom w:val="none" w:sz="0" w:space="0" w:color="auto"/>
        <w:right w:val="none" w:sz="0" w:space="0" w:color="auto"/>
      </w:divBdr>
    </w:div>
    <w:div w:id="1930187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4303D62-9567-3641-8AB8-C58DEC479F6F}"/>
      </w:docPartPr>
      <w:docPartBody>
        <w:p w:rsidR="008651AE" w:rsidRDefault="00E70013">
          <w:r w:rsidRPr="00933EB0">
            <w:rPr>
              <w:rStyle w:val="PlaceholderText"/>
            </w:rPr>
            <w:t>Click or tap here to enter text.</w:t>
          </w:r>
        </w:p>
      </w:docPartBody>
    </w:docPart>
    <w:docPart>
      <w:docPartPr>
        <w:name w:val="E5C18E05185E0749AEB7814EA2C5232E"/>
        <w:category>
          <w:name w:val="General"/>
          <w:gallery w:val="placeholder"/>
        </w:category>
        <w:types>
          <w:type w:val="bbPlcHdr"/>
        </w:types>
        <w:behaviors>
          <w:behavior w:val="content"/>
        </w:behaviors>
        <w:guid w:val="{CF59BE13-CF3B-4D42-B7F1-99C5C8124CEC}"/>
      </w:docPartPr>
      <w:docPartBody>
        <w:p w:rsidR="00B5088B" w:rsidRDefault="008651AE" w:rsidP="008651AE">
          <w:pPr>
            <w:pStyle w:val="E5C18E05185E0749AEB7814EA2C5232E"/>
          </w:pPr>
          <w:r w:rsidRPr="00933E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13"/>
    <w:rsid w:val="000532DF"/>
    <w:rsid w:val="002B6E22"/>
    <w:rsid w:val="002C081E"/>
    <w:rsid w:val="002C0B9A"/>
    <w:rsid w:val="003F0918"/>
    <w:rsid w:val="004B3649"/>
    <w:rsid w:val="0068713F"/>
    <w:rsid w:val="00793C32"/>
    <w:rsid w:val="008651AE"/>
    <w:rsid w:val="0098531E"/>
    <w:rsid w:val="00B5088B"/>
    <w:rsid w:val="00BD7B98"/>
    <w:rsid w:val="00C32E1E"/>
    <w:rsid w:val="00CC0068"/>
    <w:rsid w:val="00DA6EC6"/>
    <w:rsid w:val="00E70013"/>
    <w:rsid w:val="00F51FA1"/>
    <w:rsid w:val="00F8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51AE"/>
    <w:rPr>
      <w:color w:val="666666"/>
    </w:rPr>
  </w:style>
  <w:style w:type="paragraph" w:customStyle="1" w:styleId="E5C18E05185E0749AEB7814EA2C5232E">
    <w:name w:val="E5C18E05185E0749AEB7814EA2C5232E"/>
    <w:rsid w:val="008651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6F5938-71A0-8B44-B94D-2C344A7878B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cfcd5748-4c93-4adb-8b3e-0c21e9c9b912&quot;,&quot;properties&quot;:{&quot;noteIndex&quot;:0},&quot;isEdited&quot;:false,&quot;manualOverride&quot;:{&quot;isManuallyOverridden&quot;:false,&quot;citeprocText&quot;:&quot;(1,2)&quot;,&quot;manualOverrideText&quot;:&quot;&quot;},&quot;citationTag&quot;:&quot;MENDELEY_CITATION_v3_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&quot;,&quot;citationItems&quot;:[{&quot;id&quot;:&quot;9ee87fea-7c5d-3447-818f-5b9ef84f30a5&quot;,&quot;itemData&quot;:{&quot;type&quot;:&quot;article-journal&quot;,&quot;id&quot;:&quot;9ee87fea-7c5d-3447-818f-5b9ef84f30a5&quot;,&quot;title&quot;:&quot;2022 Annual Report of the National Poison Data System &lt;sup&gt;®&lt;/sup&gt; (NPDS) from America’s Poison Centers &lt;sup&gt;®&lt;/sup&gt; :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container-title-short&quot;:&quot;Clin Toxicol&quot;,&quot;DOI&quot;:&quot;10.1080/15563650.2023.2268981&quot;,&quot;ISSN&quot;:&quot;1556-3650&quot;,&quot;issued&quot;:{&quot;date-parts&quot;:[[2023,10,3]]},&quot;page&quot;:&quot;717-939&quot;,&quot;issue&quot;:&quot;10&quot;,&quot;volume&quot;:&quot;61&quot;},&quot;isTemporary&quot;:false},{&quot;id&quot;:&quot;fa308bc6-58ee-3c94-b0b7-71e8d1e81925&quot;,&quot;itemData&quot;:{&quot;type&quot;:&quot;article-journal&quot;,&quot;id&quot;:&quot;fa308bc6-58ee-3c94-b0b7-71e8d1e81925&quot;,&quot;title&quot;:&quot;2020 annual report of the American association of poison control centers’ national poison data system (NPDS): 38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Bronstein&quot;,&quot;given&quot;:&quot;Alvin C&quot;,&quot;parse-names&quot;:false,&quot;dropping-particle&quot;:&quot;&quot;,&quot;non-dropping-particle&quot;:&quot;&quot;},{&quot;family&quot;:&quot;Rivers&quot;,&quot;given&quot;:&quot;Laura J&quot;,&quot;parse-names&quot;:false,&quot;dropping-particle&quot;:&quot;&quot;,&quot;non-dropping-particle&quot;:&quot;&quot;},{&quot;family&quot;:&quot;Pham&quot;,&quot;given&quot;:&quot;Nathaniel P T&quot;,&quot;parse-names&quot;:false,&quot;dropping-particle&quot;:&quot;&quot;,&quot;non-dropping-particle&quot;:&quot;&quot;},{&quot;family&quot;:&quot;Weber&quot;,&quot;given&quot;:&quot;Julie&quot;,&quot;parse-names&quot;:false,&quot;dropping-particle&quot;:&quot;&quot;,&quot;non-dropping-particle&quot;:&quot;&quot;}],&quot;container-title&quot;:&quot;Clinical toxicology&quot;,&quot;container-title-short&quot;:&quot;Clin Toxicol&quot;,&quot;issued&quot;:{&quot;date-parts&quot;:[[2021]]},&quot;page&quot;:&quot;1282-1501&quot;,&quot;publisher&quot;:&quot;Taylor \\&amp; Francis&quot;,&quot;issue&quot;:&quot;12&quot;,&quot;volume&quot;:&quot;59&quot;},&quot;isTemporary&quot;:false}]},{&quot;citationID&quot;:&quot;MENDELEY_CITATION_e2a5a02a-e8de-46e6-9df5-cf55454c10fe&quot;,&quot;properties&quot;:{&quot;noteIndex&quot;:0},&quot;isEdited&quot;:false,&quot;manualOverride&quot;:{&quot;isManuallyOverridden&quot;:false,&quot;citeprocText&quot;:&quot;(3)&quot;,&quot;manualOverrideText&quot;:&quot;&quot;},&quot;citationTag&quot;:&quot;MENDELEY_CITATION_v3_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4iLCJwYXJzZS1uYW1lcyI6ZmFsc2UsImRyb3BwaW5nLXBhcnRpY2xlIjoiIiwibm9uLWRyb3BwaW5nLXBhcnRpY2xlIjoiZGUifV0sImNvbnRhaW5lci10aXRsZSI6IkNsaW5pY2FsIFRveGljb2xvZ3kiLCJET0kiOiIxMC4xMDgwLzE1NTYzNjUwLjIwMTYuMTIyMjYxNiIsIklTU04iOiIxNTU2LTM2NTAiLCJpc3N1ZWQiOnsiZGF0ZS1wYXJ0cyI6W1syMDE3LDEsMl1dfSwicGFnZSI6IjQtMTEiLCJpc3N1ZSI6IjEiLCJ2b2x1bWUiOiI1NSIsImNvbnRhaW5lci10aXRsZS1zaG9ydCI6IkNsaW4gVG94aWNvbCJ9LCJpc1RlbXBvcmFyeSI6ZmFsc2V9XX0=&quot;,&quot;citationItems&quot;:[{&quot;id&quot;:&quot;5055609a-54b1-35a6-aa6b-3b6e50a64b30&quot;,&quot;itemData&quot;:{&quot;type&quot;:&quot;article-journal&quot;,&quot;id&quot;:&quot;5055609a-54b1-35a6-aa6b-3b6e50a64b30&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DOI&quot;:&quot;10.1080/15563650.2016.1222616&quot;,&quot;ISSN&quot;:&quot;1556-3650&quot;,&quot;issued&quot;:{&quot;date-parts&quot;:[[2017,1,2]]},&quot;page&quot;:&quot;4-11&quot;,&quot;issue&quot;:&quot;1&quot;,&quot;volume&quot;:&quot;55&quot;,&quot;container-title-short&quot;:&quot;Clin Toxicol&quot;},&quot;isTemporary&quot;:false}]},{&quot;citationID&quot;:&quot;MENDELEY_CITATION_d686ba8c-fcef-4622-80d3-64b7b4b5e319&quot;,&quot;properties&quot;:{&quot;noteIndex&quot;:0},&quot;isEdited&quot;:false,&quot;manualOverride&quot;:{&quot;isManuallyOverridden&quot;:false,&quot;citeprocText&quot;:&quot;(4)&quot;,&quot;manualOverrideText&quot;:&quot;&quot;},&quot;citationTag&quot;:&quot;MENDELEY_CITATION_v3_eyJjaXRhdGlvbklEIjoiTUVOREVMRVlfQ0lUQVRJT05fZDY4NmJhOGMtZmNlZi00NjIyLTgwZDMtNjRiN2I0YjVlMzE5IiwicHJvcGVydGllcyI6eyJub3RlSW5kZXgiOjB9LCJpc0VkaXRlZCI6ZmFsc2UsIm1hbnVhbE92ZXJyaWRlIjp7ImlzTWFudWFsbHlPdmVycmlkZGVuIjpmYWxzZSwiY2l0ZXByb2NUZXh0IjoiKDQ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container-title-short&quot;:&quot;Clin Toxicol&quot;,&quot;DOI&quot;:&quot;10.1080/15563650.2023.2227997&quot;,&quot;ISSN&quot;:&quot;1556-3650&quot;,&quot;issued&quot;:{&quot;date-parts&quot;:[[2023,7,3]]},&quot;page&quot;:&quot;529-535&quot;,&quot;issue&quot;:&quot;7&quot;,&quot;volume&quot;:&quot;61&quot;},&quot;isTemporary&quot;:false}]}]"/>
    <we:property name="MENDELEY_CITATIONS_LOCALE_CODE" value="&quot;en-US&quot;"/>
    <we:property name="MENDELEY_CITATIONS_STYLE" value="{&quot;id&quot;:&quot;https://www.zotero.org/styles/taylor-and-francis-vancouver-national-library-of-medicine&quot;,&quot;title&quot;:&quot;Taylor &amp; Francis - Vancouver/National Library of Medici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4386-78FA-F94E-960F-00945C00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15</Pages>
  <Words>2923</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Chary</cp:lastModifiedBy>
  <cp:revision>121</cp:revision>
  <dcterms:created xsi:type="dcterms:W3CDTF">2024-06-21T10:06:00Z</dcterms:created>
  <dcterms:modified xsi:type="dcterms:W3CDTF">2025-02-08T12:31:00Z</dcterms:modified>
</cp:coreProperties>
</file>