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commentRangeStart w:id="0"/>
      <w:r w:rsidRPr="00B149C3">
        <w:rPr>
          <w:b/>
          <w:i/>
          <w:lang w:val="en-US"/>
        </w:rPr>
        <w:lastRenderedPageBreak/>
        <w:t xml:space="preserve">Introduction: </w:t>
      </w:r>
      <w:commentRangeEnd w:id="0"/>
      <w:r w:rsidR="00970E9C">
        <w:rPr>
          <w:rStyle w:val="CommentReference"/>
        </w:rPr>
        <w:commentReference w:id="0"/>
      </w:r>
    </w:p>
    <w:p w14:paraId="4C92E510" w14:textId="2C176CFD"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2,483,183 calls to Poison Control in the United States</w:t>
      </w:r>
      <w:r w:rsidR="00EC029F">
        <w:rPr>
          <w:lang w:val="en-US"/>
        </w:rPr>
        <w:t xml:space="preserve"> in 2022</w:t>
      </w:r>
      <w:r w:rsidR="00FF06F8">
        <w:rPr>
          <w:lang w:val="en-US"/>
        </w:rPr>
        <w:t xml:space="preserve">, 2,622 (0.1%) involved a fatality and 38, 739 (1.88%) had a major clinical effect </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
          <w:id w:val="1390840746"/>
          <w:placeholder>
            <w:docPart w:val="DefaultPlaceholder_-1854013440"/>
          </w:placeholder>
        </w:sdtPr>
        <w:sdtContent>
          <w:r w:rsidR="00E16064" w:rsidRPr="00E16064">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NvbnRhaW5lci10aXRsZS1zaG9ydCI6IkNsaW4gVG94aWNvbC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n0sImlzVGVtcG9yYXJ5IjpmYWxzZX1dfQ=="/>
          <w:id w:val="350918561"/>
          <w:placeholder>
            <w:docPart w:val="DefaultPlaceholder_-1854013440"/>
          </w:placeholder>
        </w:sdtPr>
        <w:sdtContent>
          <w:r w:rsidR="00E16064" w:rsidRPr="00E16064">
            <w:rPr>
              <w:color w:val="000000"/>
              <w:lang w:val="en-US"/>
            </w:rPr>
            <w:t>(2)</w:t>
          </w:r>
        </w:sdtContent>
      </w:sdt>
      <w:r w:rsidR="00F51600">
        <w:rPr>
          <w:lang w:val="en-US"/>
        </w:rPr>
        <w:t>.</w:t>
      </w:r>
      <w:r w:rsidR="001A190F">
        <w:rPr>
          <w:lang w:val="en-US"/>
        </w:rPr>
        <w:t xml:space="preserve"> Approximately 25%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
          <w:id w:val="370730654"/>
          <w:placeholder>
            <w:docPart w:val="DefaultPlaceholder_-1854013440"/>
          </w:placeholder>
        </w:sdtPr>
        <w:sdtContent>
          <w:r w:rsidR="00E16064" w:rsidRPr="00E16064">
            <w:rPr>
              <w:color w:val="000000"/>
              <w:lang w:val="en-US"/>
            </w:rPr>
            <w:t>(3)</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Q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E16064" w:rsidRPr="00E16064">
            <w:rPr>
              <w:bCs/>
              <w:color w:val="000000"/>
              <w:lang w:val="en-US"/>
            </w:rPr>
            <w:t>(4)</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 pointlessly consuming resources.</w:t>
      </w:r>
    </w:p>
    <w:p w14:paraId="2CE5FF12" w14:textId="43D61664" w:rsidR="00DB2EAD" w:rsidRDefault="00CC3C99">
      <w:pPr>
        <w:spacing w:before="240" w:line="360" w:lineRule="auto"/>
        <w:rPr>
          <w:lang w:val="en-US"/>
        </w:rPr>
      </w:pPr>
      <w:r>
        <w:rPr>
          <w:lang w:val="en-US"/>
        </w:rPr>
        <w:t>C</w:t>
      </w:r>
      <w:r w:rsidR="00453736">
        <w:rPr>
          <w:lang w:val="en-US"/>
        </w:rPr>
        <w:t xml:space="preserve">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
          <w:id w:val="797575358"/>
          <w:placeholder>
            <w:docPart w:val="6C90DA15371748448AF5B1E67FBB0F88"/>
          </w:placeholder>
        </w:sdtPr>
        <w:sdtContent>
          <w:r w:rsidR="00E16064" w:rsidRPr="00E16064">
            <w:rPr>
              <w:color w:val="000000"/>
              <w:lang w:val="en-US"/>
            </w:rPr>
            <w:t>(5)</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E16064" w:rsidRPr="00E16064">
            <w:rPr>
              <w:color w:val="000000"/>
              <w:lang w:val="en-US"/>
            </w:rPr>
            <w:t>(6)</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E16064" w:rsidRPr="00E16064">
            <w:rPr>
              <w:color w:val="000000"/>
              <w:lang w:val="en-US"/>
            </w:rPr>
            <w:t>(7,8)</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ksMTA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"/>
          <w:id w:val="-1612661734"/>
          <w:placeholder>
            <w:docPart w:val="6C90DA15371748448AF5B1E67FBB0F88"/>
          </w:placeholder>
        </w:sdtPr>
        <w:sdtContent>
          <w:r w:rsidR="00E16064" w:rsidRPr="00E16064">
            <w:rPr>
              <w:color w:val="000000"/>
              <w:lang w:val="en-US"/>
            </w:rPr>
            <w:t>(9,10)</w:t>
          </w:r>
        </w:sdtContent>
      </w:sdt>
      <w:r>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EC029F">
        <w:rPr>
          <w:lang w:val="en-US"/>
        </w:rPr>
        <w:t xml:space="preserve"> and improve resource utilization</w:t>
      </w:r>
      <w:r w:rsidR="00453736">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k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3D6BAF4CA32D64EAF09A537B9E1700E"/>
          </w:placeholder>
        </w:sdtPr>
        <w:sdtContent>
          <w:r w:rsidR="00E16064" w:rsidRPr="00E16064">
            <w:rPr>
              <w:color w:val="000000"/>
              <w:lang w:val="en-US"/>
            </w:rPr>
            <w:t>(9)</w:t>
          </w:r>
        </w:sdtContent>
      </w:sdt>
      <w:r w:rsidR="009269C3">
        <w:rPr>
          <w:lang w:val="en-US"/>
        </w:rPr>
        <w:t xml:space="preserve">. </w:t>
      </w:r>
    </w:p>
    <w:p w14:paraId="031BADF0" w14:textId="1D915CFE"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xLDEy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E16064" w:rsidRPr="00E16064">
            <w:rPr>
              <w:color w:val="000000"/>
              <w:lang w:val="en-US"/>
            </w:rPr>
            <w:t>(11,12)</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w:t>
      </w:r>
      <w:r w:rsidR="005C602F">
        <w:rPr>
          <w:lang w:val="en-US"/>
        </w:rPr>
        <w:t>hich patients admitted to the ICU for suspected poisoning</w:t>
      </w:r>
      <w:r w:rsidRPr="00B149C3">
        <w:rPr>
          <w:lang w:val="en-US"/>
        </w:rPr>
        <w:t xml:space="preserve">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z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E16064" w:rsidRPr="00E16064">
            <w:rPr>
              <w:color w:val="000000"/>
              <w:lang w:val="en-US"/>
            </w:rPr>
            <w:t>(13)</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02964521" w14:textId="1A3F4C79" w:rsidR="001F2A7F" w:rsidRPr="00F9593A" w:rsidRDefault="001C1218" w:rsidP="0063602E">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Pr="00B149C3">
        <w:rPr>
          <w:lang w:val="en-US"/>
        </w:rPr>
        <w:t xml:space="preserve">. </w:t>
      </w:r>
      <w:r w:rsidR="00EF7BB9" w:rsidRPr="00B149C3">
        <w:rPr>
          <w:lang w:val="en-US"/>
        </w:rPr>
        <w:t xml:space="preserve">If INTOXICATE </w:t>
      </w:r>
      <w:r w:rsidR="00EF7BB9">
        <w:rPr>
          <w:lang w:val="en-US"/>
        </w:rPr>
        <w:t xml:space="preserve">generalizes to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A62ABE">
        <w:rPr>
          <w:lang w:val="en-US"/>
        </w:rPr>
        <w:t xml:space="preserve">INTOXICATE was derived from patients already admitted to the ICU. </w:t>
      </w:r>
      <w:r w:rsidR="00EF7BB9">
        <w:rPr>
          <w:lang w:val="en-US"/>
        </w:rPr>
        <w:t>In the US healthcare system, the Emergency Physician provides a large part of the first 24 hours of care of a poisoned patient, in consultation with Poison Control or a bedside toxicologist, which</w:t>
      </w:r>
      <w:r w:rsidR="005517D4">
        <w:rPr>
          <w:lang w:val="en-US"/>
        </w:rPr>
        <w:t xml:space="preserve"> raises the question</w:t>
      </w:r>
      <w:r w:rsidR="00CF3074">
        <w:rPr>
          <w:lang w:val="en-US"/>
        </w:rPr>
        <w:t>s</w:t>
      </w:r>
      <w:r w:rsidR="005517D4">
        <w:rPr>
          <w:lang w:val="en-US"/>
        </w:rPr>
        <w:t xml:space="preserve"> of </w:t>
      </w:r>
      <w:r w:rsidR="005517D4">
        <w:rPr>
          <w:lang w:val="en-US"/>
        </w:rPr>
        <w:lastRenderedPageBreak/>
        <w:t xml:space="preserve">whether INTOXICATE </w:t>
      </w:r>
      <w:r w:rsidR="00CF3074">
        <w:rPr>
          <w:lang w:val="en-US"/>
        </w:rPr>
        <w:t>performs similarly in</w:t>
      </w:r>
      <w:r w:rsidR="005517D4">
        <w:rPr>
          <w:lang w:val="en-US"/>
        </w:rPr>
        <w:t xml:space="preserve"> patients </w:t>
      </w:r>
      <w:r w:rsidR="00CF3074">
        <w:rPr>
          <w:lang w:val="en-US"/>
        </w:rPr>
        <w:t xml:space="preserve">under evaluation </w:t>
      </w:r>
      <w:r w:rsidR="005517D4">
        <w:rPr>
          <w:lang w:val="en-US"/>
        </w:rPr>
        <w:t>in the Emergency Department</w:t>
      </w:r>
      <w:r w:rsidR="00CF3074">
        <w:rPr>
          <w:lang w:val="en-US"/>
        </w:rPr>
        <w:t xml:space="preserve"> and to what degree INTOXICATE’s recommendations agree with those of the bedside toxicologist</w:t>
      </w:r>
      <w:r w:rsidR="005517D4">
        <w:rPr>
          <w:lang w:val="en-US"/>
        </w:rPr>
        <w:t>.</w:t>
      </w:r>
    </w:p>
    <w:p w14:paraId="7ABC7D50" w14:textId="55D2F684" w:rsidR="00B00952" w:rsidRDefault="002734B5">
      <w:pPr>
        <w:spacing w:before="240" w:line="360" w:lineRule="auto"/>
        <w:rPr>
          <w:lang w:val="en-US"/>
        </w:rPr>
      </w:pPr>
      <w:r>
        <w:rPr>
          <w:lang w:val="en-US"/>
        </w:rPr>
        <w:t>The goal</w:t>
      </w:r>
      <w:r w:rsidR="00F7681F">
        <w:rPr>
          <w:lang w:val="en-US"/>
        </w:rPr>
        <w:t>s</w:t>
      </w:r>
      <w:r>
        <w:rPr>
          <w:lang w:val="en-US"/>
        </w:rPr>
        <w:t xml:space="preserve"> of </w:t>
      </w:r>
      <w:r w:rsidR="00401520">
        <w:rPr>
          <w:lang w:val="en-US"/>
        </w:rPr>
        <w:t>our</w:t>
      </w:r>
      <w:r>
        <w:rPr>
          <w:lang w:val="en-US"/>
        </w:rPr>
        <w:t xml:space="preserve"> study </w:t>
      </w:r>
      <w:r w:rsidR="00401520">
        <w:rPr>
          <w:lang w:val="en-US"/>
        </w:rPr>
        <w:t>were</w:t>
      </w:r>
      <w:r>
        <w:rPr>
          <w:lang w:val="en-US"/>
        </w:rPr>
        <w:t xml:space="preserve"> to </w:t>
      </w:r>
      <w:r w:rsidR="00F7681F">
        <w:rPr>
          <w:lang w:val="en-US"/>
        </w:rPr>
        <w:t>determine INTOXICATE</w:t>
      </w:r>
      <w:r w:rsidR="00DE65D6">
        <w:rPr>
          <w:lang w:val="en-US"/>
        </w:rPr>
        <w:t>’s</w:t>
      </w:r>
      <w:r w:rsidR="00F7681F">
        <w:rPr>
          <w:lang w:val="en-US"/>
        </w:rPr>
        <w:t xml:space="preserve"> performance in the American healthcare system and to </w:t>
      </w:r>
      <w:r w:rsidR="001F2A7F">
        <w:rPr>
          <w:lang w:val="en-US"/>
        </w:rPr>
        <w:t>evaluate the agreement between</w:t>
      </w:r>
      <w:r>
        <w:rPr>
          <w:lang w:val="en-US"/>
        </w:rPr>
        <w:t xml:space="preserve"> INTOXICATE</w:t>
      </w:r>
      <w:r w:rsidR="001F2A7F">
        <w:rPr>
          <w:lang w:val="en-US"/>
        </w:rPr>
        <w:t>’s assessment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44A18FD6"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E16064" w:rsidRPr="00E16064">
            <w:rPr>
              <w:color w:val="000000"/>
              <w:lang w:val="en-US"/>
            </w:rPr>
            <w:t>(14)</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1LDE2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E16064" w:rsidRPr="00E16064">
            <w:rPr>
              <w:color w:val="000000"/>
              <w:lang w:val="en-US"/>
            </w:rPr>
            <w:t>(15,16)</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35536268"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E16064" w:rsidRPr="00E16064">
            <w:rPr>
              <w:color w:val="000000"/>
              <w:lang w:val="en-US"/>
            </w:rPr>
            <w:t>(14)</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E16064" w:rsidRPr="00E16064">
            <w:rPr>
              <w:color w:val="000000"/>
              <w:lang w:val="en-US"/>
            </w:rPr>
            <w:t>(14)</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E16064" w:rsidRPr="00E16064">
            <w:rPr>
              <w:color w:val="000000"/>
              <w:lang w:val="en-US"/>
            </w:rPr>
            <w:t>(14)</w:t>
          </w:r>
        </w:sdtContent>
      </w:sdt>
      <w:r w:rsidR="000A5139">
        <w:rPr>
          <w:color w:val="000000"/>
          <w:lang w:val="en-US"/>
        </w:rPr>
        <w:t xml:space="preserve"> </w:t>
      </w:r>
      <w:r w:rsidR="00AD6D3C">
        <w:rPr>
          <w:color w:val="000000"/>
          <w:lang w:val="en-US"/>
        </w:rPr>
        <w:t>and derived from patients in the INTOXICATE cohort.</w:t>
      </w:r>
    </w:p>
    <w:p w14:paraId="172D42DA" w14:textId="6983C486" w:rsidR="003C56C3" w:rsidRPr="003C56C3" w:rsidRDefault="0028017F">
      <w:pPr>
        <w:spacing w:before="240" w:line="360" w:lineRule="auto"/>
        <w:rPr>
          <w:color w:val="000000"/>
          <w:lang w:val="en-US"/>
        </w:rPr>
      </w:pPr>
      <w:r>
        <w:rPr>
          <w:color w:val="000000"/>
          <w:lang w:val="en-US"/>
        </w:rPr>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lastRenderedPageBreak/>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need for supplemental oxygen.</w:t>
      </w:r>
    </w:p>
    <w:p w14:paraId="70A9254D" w14:textId="32F2EA10" w:rsidR="00B00952" w:rsidRPr="00F42DBD" w:rsidRDefault="00320148">
      <w:pPr>
        <w:spacing w:before="240" w:line="360" w:lineRule="auto"/>
        <w:rPr>
          <w:b/>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0C310A2F" w14:textId="4018669E" w:rsidR="00DA513A"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w:t>
      </w:r>
      <w:r w:rsidR="000F7D9B">
        <w:rPr>
          <w:lang w:val="en-US"/>
        </w:rPr>
        <w:t>or</w:t>
      </w:r>
      <w:r>
        <w:rPr>
          <w:lang w:val="en-US"/>
        </w:rPr>
        <w:t xml:space="preserve"> die during admission. </w:t>
      </w:r>
    </w:p>
    <w:p w14:paraId="6C9AF790" w14:textId="3E232EBA"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w:t>
      </w:r>
      <w:r w:rsidR="002830F6">
        <w:rPr>
          <w:lang w:val="en-US"/>
        </w:rPr>
        <w:t>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5D4E5D41"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with no protected health information is available at the GitHub repository: </w:t>
      </w:r>
      <w:r w:rsidR="00CE18D7" w:rsidRPr="00CE18D7">
        <w:rPr>
          <w:lang w:val="en-US"/>
        </w:rPr>
        <w:t>https://github.com/mac389/INTOXICATE</w:t>
      </w:r>
      <w:r w:rsidR="00CE18D7">
        <w:rPr>
          <w:lang w:val="en-US"/>
        </w:rPr>
        <w:t>.</w:t>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3D3FB230"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112 patients</w:t>
      </w:r>
      <w:r w:rsidR="00DA513A">
        <w:rPr>
          <w:iCs/>
          <w:lang w:val="en-US"/>
        </w:rPr>
        <w:t>. We</w:t>
      </w:r>
      <w:r w:rsidR="007D6620">
        <w:rPr>
          <w:iCs/>
          <w:lang w:val="en-US"/>
        </w:rPr>
        <w:t xml:space="preserve">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adults </w:t>
      </w:r>
      <w:r w:rsidR="00A50F07">
        <w:rPr>
          <w:iCs/>
          <w:lang w:val="en-US"/>
        </w:rPr>
        <w:t>35 [28-50]</w:t>
      </w:r>
      <w:r w:rsidR="005D2FE0">
        <w:rPr>
          <w:iCs/>
          <w:lang w:val="en-US"/>
        </w:rPr>
        <w:t>.</w:t>
      </w:r>
      <w:r w:rsidR="00DE38C1">
        <w:rPr>
          <w:iCs/>
          <w:lang w:val="en-US"/>
        </w:rPr>
        <w:t xml:space="preserve"> </w:t>
      </w:r>
      <w:r w:rsidR="00250A5B">
        <w:rPr>
          <w:iCs/>
          <w:lang w:val="en-US"/>
        </w:rPr>
        <w:t xml:space="preserve">Adults were more </w:t>
      </w:r>
      <w:r w:rsidR="002374AA">
        <w:rPr>
          <w:iCs/>
          <w:lang w:val="en-US"/>
        </w:rPr>
        <w:t>commonly</w:t>
      </w:r>
      <w:r w:rsidR="00250A5B">
        <w:rPr>
          <w:iCs/>
          <w:lang w:val="en-US"/>
        </w:rPr>
        <w:t xml:space="preserv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2374AA">
        <w:rPr>
          <w:iCs/>
          <w:lang w:val="en-US"/>
        </w:rPr>
        <w:t xml:space="preserve"> and</w:t>
      </w:r>
      <w:r w:rsidR="00250A5B">
        <w:rPr>
          <w:iCs/>
          <w:lang w:val="en-US"/>
        </w:rPr>
        <w:t xml:space="preserve"> </w:t>
      </w:r>
      <w:r w:rsidR="002374AA">
        <w:rPr>
          <w:iCs/>
          <w:lang w:val="en-US"/>
        </w:rPr>
        <w:t>a</w:t>
      </w:r>
      <w:r w:rsidR="00250A5B">
        <w:rPr>
          <w:iCs/>
          <w:lang w:val="en-US"/>
        </w:rPr>
        <w:t>dolescents</w:t>
      </w:r>
      <w:r w:rsidR="002374AA">
        <w:rPr>
          <w:iCs/>
          <w:lang w:val="en-US"/>
        </w:rPr>
        <w:t xml:space="preserve"> </w:t>
      </w:r>
      <w:r w:rsidR="00250A5B">
        <w:rPr>
          <w:iCs/>
          <w:lang w:val="en-US"/>
        </w:rPr>
        <w:t>more</w:t>
      </w:r>
      <w:r w:rsidR="002374AA">
        <w:rPr>
          <w:iCs/>
          <w:lang w:val="en-US"/>
        </w:rPr>
        <w:t xml:space="preserve"> commonly</w:t>
      </w:r>
      <w:r w:rsidR="00250A5B">
        <w:rPr>
          <w:iCs/>
          <w:lang w:val="en-US"/>
        </w:rPr>
        <w:t xml:space="preserve"> discharged</w:t>
      </w:r>
      <w:r w:rsidR="002374AA">
        <w:rPr>
          <w:iCs/>
          <w:lang w:val="en-US"/>
        </w:rPr>
        <w:t>, but this trend did not reach statistical significance</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w:t>
      </w:r>
      <w:r w:rsidR="00B62118">
        <w:rPr>
          <w:lang w:val="en-US"/>
        </w:rPr>
        <w:lastRenderedPageBreak/>
        <w:t xml:space="preserve">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050317AF" w14:textId="20072C32" w:rsidR="00E11127" w:rsidRDefault="00000000">
      <w:pPr>
        <w:spacing w:before="240" w:line="360" w:lineRule="auto"/>
        <w:rPr>
          <w:lang w:val="en-US"/>
        </w:rPr>
      </w:pPr>
      <w:r w:rsidRPr="00B149C3">
        <w:rPr>
          <w:lang w:val="en-US"/>
        </w:rPr>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[COMMENT: Since this is much higher than the toxicologist-recommended 21 ICU admissions, discuss whether the threshold score should be adjusted to reduce over-triage.]</w:t>
      </w:r>
    </w:p>
    <w:p w14:paraId="61FA2F26" w14:textId="7FC2EF5E" w:rsidR="00F8705F" w:rsidRDefault="00DB60AD">
      <w:pPr>
        <w:spacing w:before="240" w:line="360" w:lineRule="auto"/>
        <w:rPr>
          <w:lang w:val="en-US"/>
        </w:rPr>
      </w:pPr>
      <w:r>
        <w:rPr>
          <w:lang w:val="en-US"/>
        </w:rPr>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r w:rsidR="00A7004B">
        <w:rPr>
          <w:lang w:val="en-US"/>
        </w:rPr>
        <w:t xml:space="preserve"> </w:t>
      </w:r>
      <w:r>
        <w:rPr>
          <w:b/>
          <w:i/>
          <w:color w:val="FF0000"/>
        </w:rPr>
        <w:t xml:space="preserve"> [COMMENT: Highlight potential reasons for this poor agreement and whether modifications to INTOXICATE’s scoring might improve alignment.]</w:t>
      </w:r>
    </w:p>
    <w:p w14:paraId="779ECD93" w14:textId="3892A07A" w:rsidR="00920577" w:rsidRDefault="003B5E3B">
      <w:pPr>
        <w:spacing w:before="240" w:line="360" w:lineRule="auto"/>
        <w:rPr>
          <w:lang w:val="en-US"/>
        </w:rPr>
      </w:pPr>
      <w:r w:rsidRPr="00B149C3">
        <w:rPr>
          <w:b/>
          <w:bCs/>
          <w:lang w:val="en-US"/>
        </w:rPr>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CA7668">
        <w:rPr>
          <w:lang w:val="en-US"/>
        </w:rPr>
        <w:t>considered</w:t>
      </w:r>
      <w:r w:rsidR="00920577">
        <w:rPr>
          <w:lang w:val="en-US"/>
        </w:rPr>
        <w:t xml:space="preserve"> them lower risk</w:t>
      </w:r>
      <w:r w:rsidR="00771F0A">
        <w:rPr>
          <w:lang w:val="en-US"/>
        </w:rPr>
        <w:t xml:space="preserve"> than the toxicologist did</w:t>
      </w:r>
      <w:r w:rsidR="00920577">
        <w:rPr>
          <w:lang w:val="en-US"/>
        </w:rPr>
        <w:t xml:space="preserve"> because </w:t>
      </w:r>
      <w:r w:rsidR="00AB4801">
        <w:rPr>
          <w:lang w:val="en-US"/>
        </w:rPr>
        <w:t>it considered</w:t>
      </w:r>
      <w:r w:rsidR="00C301A4">
        <w:rPr>
          <w:lang w:val="en-US"/>
        </w:rPr>
        <w:t xml:space="preserve"> </w:t>
      </w:r>
      <w:r w:rsidR="00AB4801">
        <w:rPr>
          <w:lang w:val="en-US"/>
        </w:rPr>
        <w:t>the</w:t>
      </w:r>
      <w:r w:rsidR="001672E9">
        <w:rPr>
          <w:lang w:val="en-US"/>
        </w:rPr>
        <w:t xml:space="preserve"> </w:t>
      </w:r>
      <w:commentRangeStart w:id="1"/>
      <w:r w:rsidR="00771F0A">
        <w:rPr>
          <w:lang w:val="en-US"/>
        </w:rPr>
        <w:t xml:space="preserve">reported </w:t>
      </w:r>
      <w:proofErr w:type="spellStart"/>
      <w:r w:rsidR="00771F0A">
        <w:rPr>
          <w:lang w:val="en-US"/>
        </w:rPr>
        <w:t>ingestants</w:t>
      </w:r>
      <w:proofErr w:type="spellEnd"/>
      <w:r w:rsidR="00771F0A">
        <w:rPr>
          <w:lang w:val="en-US"/>
        </w:rPr>
        <w:t xml:space="preserve"> </w:t>
      </w:r>
      <w:r w:rsidR="00C301A4">
        <w:rPr>
          <w:lang w:val="en-US"/>
        </w:rPr>
        <w:t>low</w:t>
      </w:r>
      <w:r w:rsidR="00771F0A">
        <w:rPr>
          <w:lang w:val="en-US"/>
        </w:rPr>
        <w:t>er</w:t>
      </w:r>
      <w:r w:rsidR="00C301A4">
        <w:rPr>
          <w:lang w:val="en-US"/>
        </w:rPr>
        <w:t xml:space="preserve"> risk</w:t>
      </w:r>
      <w:commentRangeEnd w:id="1"/>
      <w:r w:rsidR="00771F0A">
        <w:rPr>
          <w:rStyle w:val="CommentReference"/>
        </w:rPr>
        <w:commentReference w:id="1"/>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t>
      </w:r>
      <w:r w:rsidR="00A355EA">
        <w:rPr>
          <w:lang w:val="en-US"/>
        </w:rPr>
        <w:t xml:space="preserve">in age and heart rate </w:t>
      </w:r>
      <w:r w:rsidR="00920577">
        <w:rPr>
          <w:lang w:val="en-US"/>
        </w:rPr>
        <w:t xml:space="preserve">were </w:t>
      </w:r>
      <w:r w:rsidR="00C87DDD">
        <w:rPr>
          <w:lang w:val="en-US"/>
        </w:rPr>
        <w:t xml:space="preserve">not </w:t>
      </w:r>
      <w:r w:rsidR="00920577">
        <w:rPr>
          <w:lang w:val="en-US"/>
        </w:rPr>
        <w:t xml:space="preserve">statistically significant. </w:t>
      </w:r>
      <w:r w:rsidR="006C5E6E">
        <w:rPr>
          <w:lang w:val="en-US"/>
        </w:rPr>
        <w:t xml:space="preserve"> Taking the toxicologist’s recommendation as the gold </w:t>
      </w:r>
      <w:r w:rsidR="006C5E6E">
        <w:rPr>
          <w:lang w:val="en-US"/>
        </w:rPr>
        <w:lastRenderedPageBreak/>
        <w:t xml:space="preserve">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3B6BBDEE" w:rsidR="00C301A4"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w:t>
      </w:r>
      <w:r w:rsidR="00CA7668">
        <w:rPr>
          <w:lang w:val="en-US"/>
        </w:rPr>
        <w:t>. INTOXICATE considered them higher risk</w:t>
      </w:r>
      <w:r w:rsidR="00DC5955">
        <w:rPr>
          <w:lang w:val="en-US"/>
        </w:rPr>
        <w:t xml:space="preserve"> </w:t>
      </w:r>
      <w:r w:rsidR="00F93924">
        <w:rPr>
          <w:lang w:val="en-US"/>
        </w:rPr>
        <w:t xml:space="preserve">than the toxicologist did </w:t>
      </w:r>
      <w:r w:rsidR="00DC5955">
        <w:rPr>
          <w:lang w:val="en-US"/>
        </w:rPr>
        <w:t>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4F4D02BF"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6A795D">
        <w:rPr>
          <w:lang w:val="en-US"/>
        </w:rPr>
        <w:t>and</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xml:space="preserve">. This subgroup analysis is too underpowered </w:t>
      </w:r>
      <w:proofErr w:type="gramStart"/>
      <w:r w:rsidR="008829EF">
        <w:rPr>
          <w:lang w:val="en-US"/>
        </w:rPr>
        <w:t>too</w:t>
      </w:r>
      <w:proofErr w:type="gramEnd"/>
      <w:r w:rsidR="008829EF">
        <w:rPr>
          <w:lang w:val="en-US"/>
        </w:rPr>
        <w:t xml:space="preserve"> make statistically valid conclusions.</w:t>
      </w:r>
      <w:r w:rsidR="00857310">
        <w:rPr>
          <w:lang w:val="en-US"/>
        </w:rPr>
        <w:t xml:space="preserve"> </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lastRenderedPageBreak/>
        <w:t xml:space="preserve">The goals of our study were to determine INTOXICATE’s performance in the American healthcare system and to evaluate the agreement between INTOXICATE’s assessment and that of the bedside toxicologist. </w:t>
      </w:r>
    </w:p>
    <w:p w14:paraId="02CF2E4E" w14:textId="24498E20" w:rsidR="00DC246C"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 xml:space="preserve">to patients </w:t>
      </w:r>
      <w:r w:rsidR="00B34364">
        <w:rPr>
          <w:lang w:val="en-US"/>
        </w:rPr>
        <w:t xml:space="preserve">in our study </w:t>
      </w:r>
      <w:r w:rsidRPr="00B149C3">
        <w:rPr>
          <w:lang w:val="en-US"/>
        </w:rPr>
        <w:t xml:space="preserve">for whom toxicology recommended ICU admission, </w:t>
      </w:r>
      <w:commentRangeStart w:id="2"/>
      <w:r w:rsidRPr="00B149C3">
        <w:rPr>
          <w:lang w:val="en-US"/>
        </w:rPr>
        <w:t xml:space="preserve">INTOXICATE would have reduced ICU admissions by 33% (7/21), </w:t>
      </w:r>
      <w:commentRangeEnd w:id="2"/>
      <w:r w:rsidR="00800E75">
        <w:rPr>
          <w:rStyle w:val="CommentReference"/>
        </w:rPr>
        <w:commentReference w:id="2"/>
      </w:r>
      <w:r w:rsidRPr="00B149C3">
        <w:rPr>
          <w:lang w:val="en-US"/>
        </w:rPr>
        <w:t>consistent with the</w:t>
      </w:r>
      <w:r w:rsidR="004605B2">
        <w:rPr>
          <w:lang w:val="en-US"/>
        </w:rPr>
        <w:t xml:space="preserve"> initial derivation study.</w:t>
      </w:r>
      <w:r w:rsidR="003F3BA6">
        <w:rPr>
          <w:lang w:val="en-US"/>
        </w:rPr>
        <w:t xml:space="preserve"> </w:t>
      </w:r>
      <w:r w:rsidR="00597A8B">
        <w:rPr>
          <w:lang w:val="en-US"/>
        </w:rPr>
        <w:t>If applied to all Emergency Department patients who received a toxicology consult</w:t>
      </w:r>
      <w:r w:rsidR="0072552F">
        <w:rPr>
          <w:lang w:val="en-US"/>
        </w:rPr>
        <w:t xml:space="preserve">, </w:t>
      </w:r>
      <w:r w:rsidR="0072552F" w:rsidRPr="00B149C3">
        <w:rPr>
          <w:lang w:val="en-US"/>
        </w:rPr>
        <w:t>INTOXICATE</w:t>
      </w:r>
      <w:r w:rsidRPr="00B149C3">
        <w:rPr>
          <w:lang w:val="en-US"/>
        </w:rPr>
        <w:t xml:space="preserve"> </w:t>
      </w:r>
      <w:r w:rsidR="00181869">
        <w:rPr>
          <w:lang w:val="en-US"/>
        </w:rPr>
        <w:t xml:space="preserve">nearly tripled </w:t>
      </w:r>
      <w:r w:rsidRPr="00B149C3">
        <w:rPr>
          <w:lang w:val="en-US"/>
        </w:rPr>
        <w:t>ICU utilization</w:t>
      </w:r>
      <w:r w:rsidR="00805F8D">
        <w:rPr>
          <w:lang w:val="en-US"/>
        </w:rPr>
        <w:t xml:space="preserve">, </w:t>
      </w:r>
      <w:r w:rsidRPr="00B149C3">
        <w:rPr>
          <w:lang w:val="en-US"/>
        </w:rPr>
        <w:t>from 2</w:t>
      </w:r>
      <w:r w:rsidR="009472D9">
        <w:rPr>
          <w:lang w:val="en-US"/>
        </w:rPr>
        <w:t>1</w:t>
      </w:r>
      <w:r w:rsidRPr="00B149C3">
        <w:rPr>
          <w:lang w:val="en-US"/>
        </w:rPr>
        <w:t xml:space="preserve"> </w:t>
      </w:r>
      <w:r w:rsidR="00805F8D">
        <w:rPr>
          <w:lang w:val="en-US"/>
        </w:rPr>
        <w:t xml:space="preserve">ICU admissions </w:t>
      </w:r>
      <w:r w:rsidRPr="00B149C3">
        <w:rPr>
          <w:lang w:val="en-US"/>
        </w:rPr>
        <w:t xml:space="preserve">to </w:t>
      </w:r>
      <w:r w:rsidR="00181869">
        <w:rPr>
          <w:lang w:val="en-US"/>
        </w:rPr>
        <w:t>61</w:t>
      </w:r>
      <w:r w:rsidRPr="00B149C3">
        <w:rPr>
          <w:lang w:val="en-US"/>
        </w:rPr>
        <w:t xml:space="preserve">. </w:t>
      </w:r>
      <w:r w:rsidR="005F0D70">
        <w:rPr>
          <w:lang w:val="en-US"/>
        </w:rPr>
        <w:t xml:space="preserve"> </w:t>
      </w:r>
      <w:r w:rsidR="009472D9">
        <w:rPr>
          <w:lang w:val="en-US"/>
        </w:rPr>
        <w:t>INTOXICATE had no statistically significant agreement with</w:t>
      </w:r>
      <w:r w:rsidR="004821E6">
        <w:rPr>
          <w:lang w:val="en-US"/>
        </w:rPr>
        <w:t xml:space="preserve"> the recommendations of</w:t>
      </w:r>
      <w:r w:rsidR="009472D9">
        <w:rPr>
          <w:lang w:val="en-US"/>
        </w:rPr>
        <w:t xml:space="preserve"> bedside toxicologists.</w:t>
      </w:r>
    </w:p>
    <w:p w14:paraId="75B8E0FD" w14:textId="7C78EDF3"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w:t>
      </w:r>
      <w:r w:rsidR="00DC246C">
        <w:rPr>
          <w:lang w:val="en-US"/>
        </w:rPr>
        <w:t xml:space="preserve"> </w:t>
      </w:r>
      <w:r w:rsidR="00E83EAE">
        <w:rPr>
          <w:lang w:val="en-US"/>
        </w:rPr>
        <w:t xml:space="preserve">Some Emergency Departments may be able to observe patients for long enough to discharge what would be an admission in other locales.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 xml:space="preserve">clonus, EKG intervals, </w:t>
      </w:r>
      <w:r w:rsidR="00E83EAE">
        <w:rPr>
          <w:lang w:val="en-US"/>
        </w:rPr>
        <w:t>findings from the physical exam and patient interview</w:t>
      </w:r>
      <w:r w:rsidR="00C133E8">
        <w:rPr>
          <w:lang w:val="en-US"/>
        </w:rPr>
        <w:t>.</w:t>
      </w:r>
      <w:r w:rsidR="00C133E8" w:rsidRPr="00B149C3">
        <w:rPr>
          <w:lang w:val="en-US"/>
        </w:rPr>
        <w:t xml:space="preserve"> </w:t>
      </w:r>
      <w:r w:rsidR="00C133E8">
        <w:rPr>
          <w:lang w:val="en-US"/>
        </w:rPr>
        <w:t>INTOXICATE does not consider trends in vital signs.</w:t>
      </w:r>
      <w:r w:rsidR="005408B1">
        <w:rPr>
          <w:lang w:val="en-US"/>
        </w:rPr>
        <w:t xml:space="preserve"> </w:t>
      </w:r>
      <w:r w:rsidR="00DC246C" w:rsidRPr="00B149C3">
        <w:rPr>
          <w:lang w:val="en-US"/>
        </w:rPr>
        <w:t xml:space="preserve">The IRS threshold of 6 points </w:t>
      </w:r>
      <w:r w:rsidR="00DC246C">
        <w:rPr>
          <w:lang w:val="en-US"/>
        </w:rPr>
        <w:t xml:space="preserve">that </w:t>
      </w:r>
      <w:r w:rsidR="00DC246C" w:rsidRPr="00B149C3">
        <w:rPr>
          <w:lang w:val="en-US"/>
        </w:rPr>
        <w:t>was chosen by Brandenburg et. al. to minimize false negatives</w:t>
      </w:r>
      <w:r w:rsidR="00DC246C">
        <w:rPr>
          <w:lang w:val="en-US"/>
        </w:rPr>
        <w:t xml:space="preserve"> and may need adjustment for different healthcare systems.</w:t>
      </w:r>
      <w:r>
        <w:rPr>
          <w:b/>
          <w:i/>
          <w:color w:val="FF0000"/>
        </w:rPr>
        <w:t xml:space="preserve"> [COMMENT: Would adjusting this threshold (e.g., IRS &gt; 7) improve specificity without compromising sensitivity? Consider exploring this in the discussion.]</w:t>
      </w:r>
    </w:p>
    <w:p w14:paraId="5A2AD463" w14:textId="38610259" w:rsidR="0034509D" w:rsidRPr="00B149C3" w:rsidRDefault="006225C7">
      <w:pPr>
        <w:spacing w:before="240" w:line="360" w:lineRule="auto"/>
        <w:rPr>
          <w:lang w:val="en-US"/>
        </w:rPr>
      </w:pPr>
      <w:r>
        <w:rPr>
          <w:lang w:val="en-US"/>
        </w:rPr>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w:t>
      </w:r>
      <w:r w:rsidR="00682D1E">
        <w:rPr>
          <w:lang w:val="en-US"/>
        </w:rPr>
        <w:t>adults</w:t>
      </w:r>
      <w:r w:rsidR="00BF24C3">
        <w:rPr>
          <w:lang w:val="en-US"/>
        </w:rPr>
        <w:t xml:space="preserve">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co</w:t>
      </w:r>
      <w:r w:rsidR="00035DC7">
        <w:rPr>
          <w:lang w:val="en-US"/>
        </w:rPr>
        <w:t>nditions</w:t>
      </w:r>
      <w:r w:rsidR="007C6408">
        <w:rPr>
          <w:lang w:val="en-US"/>
        </w:rPr>
        <w:t>.</w:t>
      </w:r>
      <w:r w:rsidRPr="00B149C3">
        <w:rPr>
          <w:lang w:val="en-US"/>
        </w:rPr>
        <w:t xml:space="preserve"> INTOXICATE recommen</w:t>
      </w:r>
      <w:r w:rsidR="00527F5E">
        <w:rPr>
          <w:lang w:val="en-US"/>
        </w:rPr>
        <w:t>ds</w:t>
      </w:r>
      <w:r w:rsidRPr="00B149C3">
        <w:rPr>
          <w:lang w:val="en-US"/>
        </w:rPr>
        <w:t xml:space="preserve"> </w:t>
      </w:r>
      <w:r w:rsidR="008B1629">
        <w:rPr>
          <w:lang w:val="en-US"/>
        </w:rPr>
        <w:t xml:space="preserve">the </w:t>
      </w:r>
      <w:r w:rsidRPr="00B149C3">
        <w:rPr>
          <w:lang w:val="en-US"/>
        </w:rPr>
        <w:t xml:space="preserve">ICU for all patients with </w:t>
      </w:r>
      <w:r w:rsidR="00527F5E" w:rsidRPr="00B149C3">
        <w:rPr>
          <w:lang w:val="en-US"/>
        </w:rPr>
        <w:t>respiratory insufficiency</w:t>
      </w:r>
      <w:r w:rsidR="00527F5E">
        <w:rPr>
          <w:lang w:val="en-US"/>
        </w:rPr>
        <w:t xml:space="preserve"> or a</w:t>
      </w:r>
      <w:r w:rsidR="00527F5E" w:rsidRPr="00B149C3">
        <w:rPr>
          <w:lang w:val="en-US"/>
        </w:rPr>
        <w:t xml:space="preserve"> dysrhythmia</w:t>
      </w:r>
      <w:r w:rsidRPr="00B149C3">
        <w:rPr>
          <w:lang w:val="en-US"/>
        </w:rPr>
        <w:t xml:space="preserve">,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00527F5E">
        <w:rPr>
          <w:lang w:val="en-US"/>
        </w:rPr>
        <w:t xml:space="preserve"> or persistence of tachydysrhythmias</w:t>
      </w:r>
      <w:r w:rsidRPr="00B149C3">
        <w:rPr>
          <w:lang w:val="en-US"/>
        </w:rPr>
        <w:t>.</w:t>
      </w:r>
      <w:r w:rsidR="008C2F43">
        <w:rPr>
          <w:lang w:val="en-US"/>
        </w:rPr>
        <w:t xml:space="preserve"> </w:t>
      </w:r>
    </w:p>
    <w:p w14:paraId="4DC591EA" w14:textId="34A77151" w:rsidR="007C6408" w:rsidRDefault="00000000">
      <w:pPr>
        <w:spacing w:before="240" w:line="360" w:lineRule="auto"/>
        <w:rPr>
          <w:b/>
          <w:i/>
          <w:color w:val="FF0000"/>
        </w:rPr>
      </w:pPr>
      <w:r w:rsidRPr="00B149C3">
        <w:rPr>
          <w:lang w:val="en-US"/>
        </w:rPr>
        <w:lastRenderedPageBreak/>
        <w:t>INTOXICATE us</w:t>
      </w:r>
      <w:r w:rsidR="007C6408">
        <w:rPr>
          <w:lang w:val="en-US"/>
        </w:rPr>
        <w:t>es</w:t>
      </w:r>
      <w:r w:rsidRPr="00B149C3">
        <w:rPr>
          <w:lang w:val="en-US"/>
        </w:rPr>
        <w:t xml:space="preserve"> APACHE IV </w:t>
      </w:r>
      <w:r w:rsidR="00E87528">
        <w:rPr>
          <w:lang w:val="en-US"/>
        </w:rPr>
        <w:t>categories for</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w:t>
      </w:r>
      <w:r w:rsidR="00E22DF5">
        <w:rPr>
          <w:lang w:val="en-US"/>
        </w:rPr>
        <w:t>, but it is not clear how to classify diverted opioids used to self-medicate for pain</w:t>
      </w:r>
      <w:r w:rsidR="00471A61">
        <w:rPr>
          <w:lang w:val="en-US"/>
        </w:rPr>
        <w:t>.</w:t>
      </w:r>
      <w:r w:rsidR="00F477CF">
        <w:rPr>
          <w:lang w:val="en-US"/>
        </w:rPr>
        <w:t xml:space="preserve"> </w:t>
      </w:r>
      <w:sdt>
        <w:sdtPr>
          <w:rPr>
            <w:color w:val="000000"/>
            <w:lang w:val="en-US"/>
          </w:rPr>
          <w:tag w:val="MENDELEY_CITATION_v3_eyJjaXRhdGlvbklEIjoiTUVOREVMRVlfQ0lUQVRJT05fMzJkM2JhMTYtZjRkZC00NmMxLTg2MzktYzA2NDI4ZDc5Mzg3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789008905"/>
          <w:placeholder>
            <w:docPart w:val="DefaultPlaceholder_-1854013440"/>
          </w:placeholder>
        </w:sdtPr>
        <w:sdtContent>
          <w:r w:rsidR="00F477CF" w:rsidRPr="00F477CF">
            <w:rPr>
              <w:color w:val="000000"/>
              <w:lang w:val="en-US"/>
            </w:rPr>
            <w:t>(14)</w:t>
          </w:r>
        </w:sdtContent>
      </w:sdt>
      <w:r w:rsidRPr="00B149C3">
        <w:rPr>
          <w:lang w:val="en-US"/>
        </w:rPr>
        <w:t xml:space="preserve"> did not assign </w:t>
      </w:r>
      <w:r w:rsidR="00F477CF" w:rsidRPr="00B149C3">
        <w:rPr>
          <w:lang w:val="en-US"/>
        </w:rPr>
        <w:t>polysubstance intoxication</w:t>
      </w:r>
      <w:r w:rsidRPr="00B149C3">
        <w:rPr>
          <w:lang w:val="en-US"/>
        </w:rPr>
        <w:t xml:space="preserve">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E16064" w:rsidRPr="00E16064">
            <w:rPr>
              <w:color w:val="000000"/>
              <w:lang w:val="en-US"/>
            </w:rPr>
            <w:t>(17,18)</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r w:rsidR="00953D1D">
        <w:rPr>
          <w:lang w:val="en-US"/>
        </w:rPr>
        <w:t xml:space="preserve">, highlighting the difficulty of identifying the substances involved in the initial evaluation and raising the question of the </w:t>
      </w:r>
      <w:r w:rsidR="00F477CF">
        <w:rPr>
          <w:lang w:val="en-US"/>
        </w:rPr>
        <w:t>utility</w:t>
      </w:r>
      <w:r w:rsidR="00953D1D">
        <w:rPr>
          <w:lang w:val="en-US"/>
        </w:rPr>
        <w:t xml:space="preserve"> of prognosticating from this variable. </w:t>
      </w:r>
      <w:r w:rsidR="00AF0E7D">
        <w:rPr>
          <w:lang w:val="en-US"/>
        </w:rPr>
        <w:t xml:space="preserve"> </w:t>
      </w:r>
      <w:r>
        <w:rPr>
          <w:b/>
          <w:i/>
          <w:color w:val="FF0000"/>
        </w:rPr>
        <w:t xml:space="preserve"> </w:t>
      </w:r>
    </w:p>
    <w:p w14:paraId="6E35FD85" w14:textId="77777777" w:rsidR="00F477CF" w:rsidRPr="007C6408" w:rsidRDefault="00F477CF">
      <w:pPr>
        <w:spacing w:before="240" w:line="360" w:lineRule="auto"/>
        <w:rPr>
          <w:b/>
          <w:lang w:val="en-US"/>
        </w:rPr>
      </w:pPr>
    </w:p>
    <w:p w14:paraId="1E2D2C7A" w14:textId="77777777" w:rsidR="00F477CF" w:rsidRDefault="00000000" w:rsidP="00F477CF">
      <w:pPr>
        <w:spacing w:before="240" w:line="360" w:lineRule="auto"/>
        <w:rPr>
          <w:lang w:val="en-US"/>
        </w:rPr>
      </w:pPr>
      <w:r w:rsidRPr="00B149C3">
        <w:rPr>
          <w:b/>
          <w:i/>
          <w:lang w:val="en-US"/>
        </w:rPr>
        <w:t xml:space="preserve">Conclusions: </w:t>
      </w:r>
    </w:p>
    <w:p w14:paraId="7C8A29AC" w14:textId="236AC85B" w:rsidR="00F477CF"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p>
    <w:p w14:paraId="125D3A41" w14:textId="77777777" w:rsidR="00FE0D8A" w:rsidRDefault="00FE0D8A" w:rsidP="00F477CF">
      <w:pPr>
        <w:spacing w:before="240" w:line="360" w:lineRule="auto"/>
        <w:rPr>
          <w:bCs/>
          <w:lang w:val="en-US"/>
        </w:rPr>
      </w:pP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sdt>
      <w:sdtPr>
        <w:rPr>
          <w:bCs/>
          <w:color w:val="000000"/>
          <w:lang w:val="en-US"/>
        </w:rPr>
        <w:tag w:val="MENDELEY_BIBLIOGRAPHY"/>
        <w:id w:val="-1758668832"/>
        <w:placeholder>
          <w:docPart w:val="DefaultPlaceholder_-1854013440"/>
        </w:placeholder>
      </w:sdtPr>
      <w:sdtContent>
        <w:p w14:paraId="3994BD13" w14:textId="77777777" w:rsidR="00FE0D8A" w:rsidRPr="00FE0D8A" w:rsidRDefault="00FE0D8A">
          <w:pPr>
            <w:autoSpaceDE w:val="0"/>
            <w:autoSpaceDN w:val="0"/>
            <w:ind w:hanging="640"/>
            <w:divId w:val="1092436658"/>
            <w:rPr>
              <w:color w:val="000000"/>
            </w:rPr>
          </w:pPr>
          <w:r w:rsidRPr="00FE0D8A">
            <w:rPr>
              <w:color w:val="000000"/>
            </w:rPr>
            <w:t xml:space="preserve">1. </w:t>
          </w:r>
          <w:r w:rsidRPr="00FE0D8A">
            <w:rPr>
              <w:color w:val="000000"/>
            </w:rPr>
            <w:tab/>
          </w:r>
          <w:proofErr w:type="spellStart"/>
          <w:r w:rsidRPr="00FE0D8A">
            <w:rPr>
              <w:color w:val="000000"/>
            </w:rPr>
            <w:t>Gummin</w:t>
          </w:r>
          <w:proofErr w:type="spellEnd"/>
          <w:r w:rsidRPr="00FE0D8A">
            <w:rPr>
              <w:color w:val="000000"/>
            </w:rPr>
            <w:t xml:space="preserve"> DD, Mowry JB, </w:t>
          </w:r>
          <w:proofErr w:type="spellStart"/>
          <w:r w:rsidRPr="00FE0D8A">
            <w:rPr>
              <w:color w:val="000000"/>
            </w:rPr>
            <w:t>Beuhler</w:t>
          </w:r>
          <w:proofErr w:type="spellEnd"/>
          <w:r w:rsidRPr="00FE0D8A">
            <w:rPr>
              <w:color w:val="000000"/>
            </w:rPr>
            <w:t xml:space="preserve"> MC, </w:t>
          </w:r>
          <w:proofErr w:type="spellStart"/>
          <w:r w:rsidRPr="00FE0D8A">
            <w:rPr>
              <w:color w:val="000000"/>
            </w:rPr>
            <w:t>Spyker</w:t>
          </w:r>
          <w:proofErr w:type="spellEnd"/>
          <w:r w:rsidRPr="00FE0D8A">
            <w:rPr>
              <w:color w:val="000000"/>
            </w:rPr>
            <w:t xml:space="preserve"> DA, Rivers LJ, Feldman R, Brown K, Pham NPT, Bronstein AC, </w:t>
          </w:r>
          <w:proofErr w:type="spellStart"/>
          <w:r w:rsidRPr="00FE0D8A">
            <w:rPr>
              <w:color w:val="000000"/>
            </w:rPr>
            <w:t>DesLauriers</w:t>
          </w:r>
          <w:proofErr w:type="spellEnd"/>
          <w:r w:rsidRPr="00FE0D8A">
            <w:rPr>
              <w:color w:val="000000"/>
            </w:rPr>
            <w:t xml:space="preserve"> C. 2022 Annual Report of the National Poison Data System® (NPDS) from America’s Poison </w:t>
          </w:r>
          <w:proofErr w:type="spellStart"/>
          <w:r w:rsidRPr="00FE0D8A">
            <w:rPr>
              <w:color w:val="000000"/>
            </w:rPr>
            <w:t>Centers</w:t>
          </w:r>
          <w:proofErr w:type="spellEnd"/>
          <w:r w:rsidRPr="00FE0D8A">
            <w:rPr>
              <w:color w:val="000000"/>
            </w:rPr>
            <w:t xml:space="preserve">®: 40th Annual Report. Clin </w:t>
          </w:r>
          <w:proofErr w:type="spellStart"/>
          <w:r w:rsidRPr="00FE0D8A">
            <w:rPr>
              <w:color w:val="000000"/>
            </w:rPr>
            <w:t>Toxicol</w:t>
          </w:r>
          <w:proofErr w:type="spellEnd"/>
          <w:r w:rsidRPr="00FE0D8A">
            <w:rPr>
              <w:color w:val="000000"/>
            </w:rPr>
            <w:t xml:space="preserve"> [Internet]. 2023 [cited 2024 Jul 12</w:t>
          </w:r>
          <w:proofErr w:type="gramStart"/>
          <w:r w:rsidRPr="00FE0D8A">
            <w:rPr>
              <w:color w:val="000000"/>
            </w:rPr>
            <w:t>];61:717</w:t>
          </w:r>
          <w:proofErr w:type="gramEnd"/>
          <w:r w:rsidRPr="00FE0D8A">
            <w:rPr>
              <w:color w:val="000000"/>
            </w:rPr>
            <w:t xml:space="preserve">–939. </w:t>
          </w:r>
          <w:proofErr w:type="spellStart"/>
          <w:r w:rsidRPr="00FE0D8A">
            <w:rPr>
              <w:color w:val="000000"/>
            </w:rPr>
            <w:t>doi</w:t>
          </w:r>
          <w:proofErr w:type="spellEnd"/>
          <w:r w:rsidRPr="00FE0D8A">
            <w:rPr>
              <w:color w:val="000000"/>
            </w:rPr>
            <w:t>: 10.1080/15563650.2023.2268981. Cited: in</w:t>
          </w:r>
          <w:proofErr w:type="gramStart"/>
          <w:r w:rsidRPr="00FE0D8A">
            <w:rPr>
              <w:color w:val="000000"/>
            </w:rPr>
            <w:t>: :</w:t>
          </w:r>
          <w:proofErr w:type="gramEnd"/>
          <w:r w:rsidRPr="00FE0D8A">
            <w:rPr>
              <w:color w:val="000000"/>
            </w:rPr>
            <w:t xml:space="preserve"> PMID: 38084513.</w:t>
          </w:r>
        </w:p>
        <w:p w14:paraId="1A265693" w14:textId="77777777" w:rsidR="00FE0D8A" w:rsidRPr="00FE0D8A" w:rsidRDefault="00FE0D8A">
          <w:pPr>
            <w:autoSpaceDE w:val="0"/>
            <w:autoSpaceDN w:val="0"/>
            <w:ind w:hanging="640"/>
            <w:divId w:val="1094789154"/>
            <w:rPr>
              <w:color w:val="000000"/>
            </w:rPr>
          </w:pPr>
          <w:r w:rsidRPr="00FE0D8A">
            <w:rPr>
              <w:color w:val="000000"/>
            </w:rPr>
            <w:lastRenderedPageBreak/>
            <w:t xml:space="preserve">2. </w:t>
          </w:r>
          <w:r w:rsidRPr="00FE0D8A">
            <w:rPr>
              <w:color w:val="000000"/>
            </w:rPr>
            <w:tab/>
            <w:t xml:space="preserve">Forsberg S, </w:t>
          </w:r>
          <w:proofErr w:type="spellStart"/>
          <w:r w:rsidRPr="00FE0D8A">
            <w:rPr>
              <w:color w:val="000000"/>
            </w:rPr>
            <w:t>Höjer</w:t>
          </w:r>
          <w:proofErr w:type="spellEnd"/>
          <w:r w:rsidRPr="00FE0D8A">
            <w:rPr>
              <w:color w:val="000000"/>
            </w:rPr>
            <w:t xml:space="preserve"> J, </w:t>
          </w:r>
          <w:proofErr w:type="spellStart"/>
          <w:r w:rsidRPr="00FE0D8A">
            <w:rPr>
              <w:color w:val="000000"/>
            </w:rPr>
            <w:t>Ludwigs</w:t>
          </w:r>
          <w:proofErr w:type="spellEnd"/>
          <w:r w:rsidRPr="00FE0D8A">
            <w:rPr>
              <w:color w:val="000000"/>
            </w:rPr>
            <w:t xml:space="preserve"> U. Hospital mortality among poisoned patients presenting unconscious. Clin </w:t>
          </w:r>
          <w:proofErr w:type="spellStart"/>
          <w:r w:rsidRPr="00FE0D8A">
            <w:rPr>
              <w:color w:val="000000"/>
            </w:rPr>
            <w:t>Toxicol</w:t>
          </w:r>
          <w:proofErr w:type="spellEnd"/>
          <w:r w:rsidRPr="00FE0D8A">
            <w:rPr>
              <w:color w:val="000000"/>
            </w:rPr>
            <w:t xml:space="preserve"> [Internet]. 2012 [cited 2025 Feb 19</w:t>
          </w:r>
          <w:proofErr w:type="gramStart"/>
          <w:r w:rsidRPr="00FE0D8A">
            <w:rPr>
              <w:color w:val="000000"/>
            </w:rPr>
            <w:t>];50:254</w:t>
          </w:r>
          <w:proofErr w:type="gramEnd"/>
          <w:r w:rsidRPr="00FE0D8A">
            <w:rPr>
              <w:color w:val="000000"/>
            </w:rPr>
            <w:t xml:space="preserve">–257. </w:t>
          </w:r>
          <w:proofErr w:type="spellStart"/>
          <w:r w:rsidRPr="00FE0D8A">
            <w:rPr>
              <w:color w:val="000000"/>
            </w:rPr>
            <w:t>doi</w:t>
          </w:r>
          <w:proofErr w:type="spellEnd"/>
          <w:r w:rsidRPr="00FE0D8A">
            <w:rPr>
              <w:color w:val="000000"/>
            </w:rPr>
            <w:t>: 10.3109/15563650.2012.670245. Cited: in</w:t>
          </w:r>
          <w:proofErr w:type="gramStart"/>
          <w:r w:rsidRPr="00FE0D8A">
            <w:rPr>
              <w:color w:val="000000"/>
            </w:rPr>
            <w:t>: :</w:t>
          </w:r>
          <w:proofErr w:type="gramEnd"/>
          <w:r w:rsidRPr="00FE0D8A">
            <w:rPr>
              <w:color w:val="000000"/>
            </w:rPr>
            <w:t xml:space="preserve"> PMID: 22455357.</w:t>
          </w:r>
        </w:p>
        <w:p w14:paraId="4BD4029E" w14:textId="77777777" w:rsidR="00FE0D8A" w:rsidRPr="00FE0D8A" w:rsidRDefault="00FE0D8A">
          <w:pPr>
            <w:autoSpaceDE w:val="0"/>
            <w:autoSpaceDN w:val="0"/>
            <w:ind w:hanging="640"/>
            <w:divId w:val="600643230"/>
            <w:rPr>
              <w:color w:val="000000"/>
            </w:rPr>
          </w:pPr>
          <w:r w:rsidRPr="00FE0D8A">
            <w:rPr>
              <w:color w:val="000000"/>
            </w:rPr>
            <w:t xml:space="preserve">3. </w:t>
          </w:r>
          <w:r w:rsidRPr="00FE0D8A">
            <w:rPr>
              <w:color w:val="000000"/>
            </w:rPr>
            <w:tab/>
          </w:r>
          <w:proofErr w:type="spellStart"/>
          <w:r w:rsidRPr="00FE0D8A">
            <w:rPr>
              <w:color w:val="000000"/>
            </w:rPr>
            <w:t>Hondebrink</w:t>
          </w:r>
          <w:proofErr w:type="spellEnd"/>
          <w:r w:rsidRPr="00FE0D8A">
            <w:rPr>
              <w:color w:val="000000"/>
            </w:rPr>
            <w:t xml:space="preserve"> L, </w:t>
          </w:r>
          <w:proofErr w:type="spellStart"/>
          <w:r w:rsidRPr="00FE0D8A">
            <w:rPr>
              <w:color w:val="000000"/>
            </w:rPr>
            <w:t>Rietjens</w:t>
          </w:r>
          <w:proofErr w:type="spellEnd"/>
          <w:r w:rsidRPr="00FE0D8A">
            <w:rPr>
              <w:color w:val="000000"/>
            </w:rPr>
            <w:t xml:space="preserve"> SJ, </w:t>
          </w:r>
          <w:proofErr w:type="spellStart"/>
          <w:r w:rsidRPr="00FE0D8A">
            <w:rPr>
              <w:color w:val="000000"/>
            </w:rPr>
            <w:t>Donker</w:t>
          </w:r>
          <w:proofErr w:type="spellEnd"/>
          <w:r w:rsidRPr="00FE0D8A">
            <w:rPr>
              <w:color w:val="000000"/>
            </w:rPr>
            <w:t xml:space="preserve"> DW, </w:t>
          </w:r>
          <w:proofErr w:type="spellStart"/>
          <w:r w:rsidRPr="00FE0D8A">
            <w:rPr>
              <w:color w:val="000000"/>
            </w:rPr>
            <w:t>Hunault</w:t>
          </w:r>
          <w:proofErr w:type="spellEnd"/>
          <w:r w:rsidRPr="00FE0D8A">
            <w:rPr>
              <w:color w:val="000000"/>
            </w:rPr>
            <w:t xml:space="preserve"> CC, van den </w:t>
          </w:r>
          <w:proofErr w:type="spellStart"/>
          <w:r w:rsidRPr="00FE0D8A">
            <w:rPr>
              <w:color w:val="000000"/>
            </w:rPr>
            <w:t>Hengel-Koot</w:t>
          </w:r>
          <w:proofErr w:type="spellEnd"/>
          <w:r w:rsidRPr="00FE0D8A">
            <w:rPr>
              <w:color w:val="000000"/>
            </w:rPr>
            <w:t xml:space="preserve"> I, </w:t>
          </w:r>
          <w:proofErr w:type="spellStart"/>
          <w:r w:rsidRPr="00FE0D8A">
            <w:rPr>
              <w:color w:val="000000"/>
            </w:rPr>
            <w:t>Verputten</w:t>
          </w:r>
          <w:proofErr w:type="spellEnd"/>
          <w:r w:rsidRPr="00FE0D8A">
            <w:rPr>
              <w:color w:val="000000"/>
            </w:rPr>
            <w:t xml:space="preserve"> PM, de Vries I, </w:t>
          </w:r>
          <w:proofErr w:type="spellStart"/>
          <w:r w:rsidRPr="00FE0D8A">
            <w:rPr>
              <w:color w:val="000000"/>
            </w:rPr>
            <w:t>Kaasjager</w:t>
          </w:r>
          <w:proofErr w:type="spellEnd"/>
          <w:r w:rsidRPr="00FE0D8A">
            <w:rPr>
              <w:color w:val="000000"/>
            </w:rPr>
            <w:t xml:space="preserve"> KAH, Dekker D, de Lange DW. A quarter of admitted poisoned patients have a mild poisoning and require no treatment: An observational study. </w:t>
          </w:r>
          <w:proofErr w:type="spellStart"/>
          <w:r w:rsidRPr="00FE0D8A">
            <w:rPr>
              <w:color w:val="000000"/>
            </w:rPr>
            <w:t>Eur</w:t>
          </w:r>
          <w:proofErr w:type="spellEnd"/>
          <w:r w:rsidRPr="00FE0D8A">
            <w:rPr>
              <w:color w:val="000000"/>
            </w:rPr>
            <w:t xml:space="preserve"> J Intern Med. </w:t>
          </w:r>
          <w:proofErr w:type="gramStart"/>
          <w:r w:rsidRPr="00FE0D8A">
            <w:rPr>
              <w:color w:val="000000"/>
            </w:rPr>
            <w:t>2019;66:41</w:t>
          </w:r>
          <w:proofErr w:type="gramEnd"/>
          <w:r w:rsidRPr="00FE0D8A">
            <w:rPr>
              <w:color w:val="000000"/>
            </w:rPr>
            <w:t xml:space="preserve">–47. </w:t>
          </w:r>
          <w:proofErr w:type="spellStart"/>
          <w:r w:rsidRPr="00FE0D8A">
            <w:rPr>
              <w:color w:val="000000"/>
            </w:rPr>
            <w:t>doi</w:t>
          </w:r>
          <w:proofErr w:type="spellEnd"/>
          <w:r w:rsidRPr="00FE0D8A">
            <w:rPr>
              <w:color w:val="000000"/>
            </w:rPr>
            <w:t>: 10.1016/J.EJIM.2019.05.012. Cited: in</w:t>
          </w:r>
          <w:proofErr w:type="gramStart"/>
          <w:r w:rsidRPr="00FE0D8A">
            <w:rPr>
              <w:color w:val="000000"/>
            </w:rPr>
            <w:t>: :</w:t>
          </w:r>
          <w:proofErr w:type="gramEnd"/>
          <w:r w:rsidRPr="00FE0D8A">
            <w:rPr>
              <w:color w:val="000000"/>
            </w:rPr>
            <w:t xml:space="preserve"> PMID: 31113710.</w:t>
          </w:r>
        </w:p>
        <w:p w14:paraId="1F75509A" w14:textId="77777777" w:rsidR="00FE0D8A" w:rsidRPr="00FE0D8A" w:rsidRDefault="00FE0D8A">
          <w:pPr>
            <w:autoSpaceDE w:val="0"/>
            <w:autoSpaceDN w:val="0"/>
            <w:ind w:hanging="640"/>
            <w:divId w:val="961496162"/>
            <w:rPr>
              <w:color w:val="000000"/>
            </w:rPr>
          </w:pPr>
          <w:r w:rsidRPr="00FE0D8A">
            <w:rPr>
              <w:color w:val="000000"/>
            </w:rPr>
            <w:t xml:space="preserve">4. </w:t>
          </w:r>
          <w:r w:rsidRPr="00FE0D8A">
            <w:rPr>
              <w:color w:val="000000"/>
            </w:rPr>
            <w:tab/>
            <w:t xml:space="preserve">Brandenburg R, Brinkman S, … NDK-C care, 2014 undefined. In-hospital mortality and long-term survival of patients with acute intoxication admitted to the ICU. </w:t>
          </w:r>
          <w:proofErr w:type="spellStart"/>
          <w:proofErr w:type="gramStart"/>
          <w:r w:rsidRPr="00FE0D8A">
            <w:rPr>
              <w:color w:val="000000"/>
            </w:rPr>
            <w:t>journals.lww.comR</w:t>
          </w:r>
          <w:proofErr w:type="spellEnd"/>
          <w:proofErr w:type="gramEnd"/>
          <w:r w:rsidRPr="00FE0D8A">
            <w:rPr>
              <w:color w:val="000000"/>
            </w:rPr>
            <w:t xml:space="preserve"> Brandenburg, S Brinkman, NF De Keizer, J </w:t>
          </w:r>
          <w:proofErr w:type="spellStart"/>
          <w:r w:rsidRPr="00FE0D8A">
            <w:rPr>
              <w:color w:val="000000"/>
            </w:rPr>
            <w:t>Meulenbelt</w:t>
          </w:r>
          <w:proofErr w:type="spellEnd"/>
          <w:r w:rsidRPr="00FE0D8A">
            <w:rPr>
              <w:color w:val="000000"/>
            </w:rPr>
            <w:t xml:space="preserve">, DW De </w:t>
          </w:r>
          <w:proofErr w:type="spellStart"/>
          <w:r w:rsidRPr="00FE0D8A">
            <w:rPr>
              <w:color w:val="000000"/>
            </w:rPr>
            <w:t>LangeCritical</w:t>
          </w:r>
          <w:proofErr w:type="spellEnd"/>
          <w:r w:rsidRPr="00FE0D8A">
            <w:rPr>
              <w:color w:val="000000"/>
            </w:rPr>
            <w:t xml:space="preserve"> care medicine, 2014•journals.lww.com [Internet]. [cited 2025 Feb 14</w:t>
          </w:r>
          <w:proofErr w:type="gramStart"/>
          <w:r w:rsidRPr="00FE0D8A">
            <w:rPr>
              <w:color w:val="000000"/>
            </w:rPr>
            <w:t>];</w:t>
          </w:r>
          <w:proofErr w:type="gramEnd"/>
        </w:p>
        <w:p w14:paraId="72A1D851" w14:textId="77777777" w:rsidR="00FE0D8A" w:rsidRPr="00FE0D8A" w:rsidRDefault="00FE0D8A">
          <w:pPr>
            <w:autoSpaceDE w:val="0"/>
            <w:autoSpaceDN w:val="0"/>
            <w:ind w:hanging="640"/>
            <w:divId w:val="236671154"/>
            <w:rPr>
              <w:color w:val="000000"/>
            </w:rPr>
          </w:pPr>
          <w:r w:rsidRPr="00FE0D8A">
            <w:rPr>
              <w:color w:val="000000"/>
            </w:rPr>
            <w:t xml:space="preserve">5. </w:t>
          </w:r>
          <w:r w:rsidRPr="00FE0D8A">
            <w:rPr>
              <w:color w:val="000000"/>
            </w:rPr>
            <w:tab/>
          </w:r>
          <w:proofErr w:type="spellStart"/>
          <w:r w:rsidRPr="00FE0D8A">
            <w:rPr>
              <w:color w:val="000000"/>
            </w:rPr>
            <w:t>Rumack</w:t>
          </w:r>
          <w:proofErr w:type="spellEnd"/>
          <w:r w:rsidRPr="00FE0D8A">
            <w:rPr>
              <w:color w:val="000000"/>
            </w:rPr>
            <w:t xml:space="preserve"> BH, Peterson RC, Koch GG, Amara IA. Acetaminophen Overdose: 662 Cases </w:t>
          </w:r>
          <w:proofErr w:type="gramStart"/>
          <w:r w:rsidRPr="00FE0D8A">
            <w:rPr>
              <w:color w:val="000000"/>
            </w:rPr>
            <w:t>With</w:t>
          </w:r>
          <w:proofErr w:type="gramEnd"/>
          <w:r w:rsidRPr="00FE0D8A">
            <w:rPr>
              <w:color w:val="000000"/>
            </w:rPr>
            <w:t xml:space="preserve"> Evaluation of Oral Acetylcysteine Treatment. Arch Intern Med [Internet]. 1981 [cited 2025 Feb 16</w:t>
          </w:r>
          <w:proofErr w:type="gramStart"/>
          <w:r w:rsidRPr="00FE0D8A">
            <w:rPr>
              <w:color w:val="000000"/>
            </w:rPr>
            <w:t>];141:380</w:t>
          </w:r>
          <w:proofErr w:type="gramEnd"/>
          <w:r w:rsidRPr="00FE0D8A">
            <w:rPr>
              <w:color w:val="000000"/>
            </w:rPr>
            <w:t xml:space="preserve">–385. </w:t>
          </w:r>
          <w:proofErr w:type="spellStart"/>
          <w:r w:rsidRPr="00FE0D8A">
            <w:rPr>
              <w:color w:val="000000"/>
            </w:rPr>
            <w:t>doi</w:t>
          </w:r>
          <w:proofErr w:type="spellEnd"/>
          <w:r w:rsidRPr="00FE0D8A">
            <w:rPr>
              <w:color w:val="000000"/>
            </w:rPr>
            <w:t>: 10.1001/ARCHINTE.1981.00340030112020. Cited: in</w:t>
          </w:r>
          <w:proofErr w:type="gramStart"/>
          <w:r w:rsidRPr="00FE0D8A">
            <w:rPr>
              <w:color w:val="000000"/>
            </w:rPr>
            <w:t>: :</w:t>
          </w:r>
          <w:proofErr w:type="gramEnd"/>
          <w:r w:rsidRPr="00FE0D8A">
            <w:rPr>
              <w:color w:val="000000"/>
            </w:rPr>
            <w:t xml:space="preserve"> PMID: 7469629.</w:t>
          </w:r>
        </w:p>
        <w:p w14:paraId="45F49A5B" w14:textId="77777777" w:rsidR="00FE0D8A" w:rsidRPr="00FE0D8A" w:rsidRDefault="00FE0D8A">
          <w:pPr>
            <w:autoSpaceDE w:val="0"/>
            <w:autoSpaceDN w:val="0"/>
            <w:ind w:hanging="640"/>
            <w:divId w:val="1669748175"/>
            <w:rPr>
              <w:color w:val="000000"/>
            </w:rPr>
          </w:pPr>
          <w:r w:rsidRPr="00FE0D8A">
            <w:rPr>
              <w:color w:val="000000"/>
            </w:rPr>
            <w:t xml:space="preserve">6. </w:t>
          </w:r>
          <w:r w:rsidRPr="00FE0D8A">
            <w:rPr>
              <w:color w:val="000000"/>
            </w:rPr>
            <w:tab/>
          </w:r>
          <w:proofErr w:type="spellStart"/>
          <w:r w:rsidRPr="00FE0D8A">
            <w:rPr>
              <w:color w:val="000000"/>
            </w:rPr>
            <w:t>Boehnert</w:t>
          </w:r>
          <w:proofErr w:type="spellEnd"/>
          <w:r w:rsidRPr="00FE0D8A">
            <w:rPr>
              <w:color w:val="000000"/>
            </w:rPr>
            <w:t xml:space="preserve"> MT, Lovejoy Jr FH. Value of the QRS duration versus the serum drug level in predicting seizures and ventricular arrhythmias after an acute overdose of tricyclic antidepressants. New England Journal of Medicine. </w:t>
          </w:r>
          <w:proofErr w:type="gramStart"/>
          <w:r w:rsidRPr="00FE0D8A">
            <w:rPr>
              <w:color w:val="000000"/>
            </w:rPr>
            <w:t>1985;313:474</w:t>
          </w:r>
          <w:proofErr w:type="gramEnd"/>
          <w:r w:rsidRPr="00FE0D8A">
            <w:rPr>
              <w:color w:val="000000"/>
            </w:rPr>
            <w:t>–479.</w:t>
          </w:r>
        </w:p>
        <w:p w14:paraId="53D2635C" w14:textId="77777777" w:rsidR="00FE0D8A" w:rsidRPr="00FE0D8A" w:rsidRDefault="00FE0D8A">
          <w:pPr>
            <w:autoSpaceDE w:val="0"/>
            <w:autoSpaceDN w:val="0"/>
            <w:ind w:hanging="640"/>
            <w:divId w:val="140654170"/>
            <w:rPr>
              <w:color w:val="000000"/>
            </w:rPr>
          </w:pPr>
          <w:r w:rsidRPr="00FE0D8A">
            <w:rPr>
              <w:color w:val="000000"/>
            </w:rPr>
            <w:t xml:space="preserve">7. </w:t>
          </w:r>
          <w:r w:rsidRPr="00FE0D8A">
            <w:rPr>
              <w:color w:val="000000"/>
            </w:rPr>
            <w:tab/>
          </w:r>
          <w:proofErr w:type="spellStart"/>
          <w:r w:rsidRPr="00FE0D8A">
            <w:rPr>
              <w:color w:val="000000"/>
            </w:rPr>
            <w:t>Scherrmann</w:t>
          </w:r>
          <w:proofErr w:type="spellEnd"/>
          <w:r w:rsidRPr="00FE0D8A">
            <w:rPr>
              <w:color w:val="000000"/>
            </w:rPr>
            <w:t xml:space="preserve"> JM, </w:t>
          </w:r>
          <w:proofErr w:type="spellStart"/>
          <w:r w:rsidRPr="00FE0D8A">
            <w:rPr>
              <w:color w:val="000000"/>
            </w:rPr>
            <w:t>Houze</w:t>
          </w:r>
          <w:proofErr w:type="spellEnd"/>
          <w:r w:rsidRPr="00FE0D8A">
            <w:rPr>
              <w:color w:val="000000"/>
            </w:rPr>
            <w:t xml:space="preserve"> P, Bismuth C, Bourdon R. Prognostic Value of Plasma and Urine Paraquat Concentration. Hum Exp </w:t>
          </w:r>
          <w:proofErr w:type="spellStart"/>
          <w:r w:rsidRPr="00FE0D8A">
            <w:rPr>
              <w:color w:val="000000"/>
            </w:rPr>
            <w:t>Toxicol</w:t>
          </w:r>
          <w:proofErr w:type="spellEnd"/>
          <w:r w:rsidRPr="00FE0D8A">
            <w:rPr>
              <w:color w:val="000000"/>
            </w:rPr>
            <w:t xml:space="preserve">. </w:t>
          </w:r>
          <w:proofErr w:type="gramStart"/>
          <w:r w:rsidRPr="00FE0D8A">
            <w:rPr>
              <w:color w:val="000000"/>
            </w:rPr>
            <w:t>1987;6:91</w:t>
          </w:r>
          <w:proofErr w:type="gramEnd"/>
          <w:r w:rsidRPr="00FE0D8A">
            <w:rPr>
              <w:color w:val="000000"/>
            </w:rPr>
            <w:t xml:space="preserve">–93. </w:t>
          </w:r>
          <w:proofErr w:type="spellStart"/>
          <w:r w:rsidRPr="00FE0D8A">
            <w:rPr>
              <w:color w:val="000000"/>
            </w:rPr>
            <w:t>doi</w:t>
          </w:r>
          <w:proofErr w:type="spellEnd"/>
          <w:r w:rsidRPr="00FE0D8A">
            <w:rPr>
              <w:color w:val="000000"/>
            </w:rPr>
            <w:t>: 10.1177/096032718700600116. Cited: in</w:t>
          </w:r>
          <w:proofErr w:type="gramStart"/>
          <w:r w:rsidRPr="00FE0D8A">
            <w:rPr>
              <w:color w:val="000000"/>
            </w:rPr>
            <w:t>: :</w:t>
          </w:r>
          <w:proofErr w:type="gramEnd"/>
          <w:r w:rsidRPr="00FE0D8A">
            <w:rPr>
              <w:color w:val="000000"/>
            </w:rPr>
            <w:t xml:space="preserve"> PMID: 3817835.</w:t>
          </w:r>
        </w:p>
        <w:p w14:paraId="493A9324" w14:textId="77777777" w:rsidR="00FE0D8A" w:rsidRPr="00FE0D8A" w:rsidRDefault="00FE0D8A">
          <w:pPr>
            <w:autoSpaceDE w:val="0"/>
            <w:autoSpaceDN w:val="0"/>
            <w:ind w:hanging="640"/>
            <w:divId w:val="839925367"/>
            <w:rPr>
              <w:color w:val="000000"/>
            </w:rPr>
          </w:pPr>
          <w:r w:rsidRPr="00FE0D8A">
            <w:rPr>
              <w:color w:val="000000"/>
            </w:rPr>
            <w:lastRenderedPageBreak/>
            <w:t xml:space="preserve">8. </w:t>
          </w:r>
          <w:r w:rsidRPr="00FE0D8A">
            <w:rPr>
              <w:color w:val="000000"/>
            </w:rPr>
            <w:tab/>
            <w:t xml:space="preserve">Proudfoot AT, Stewart MS, Levitt T, </w:t>
          </w:r>
          <w:proofErr w:type="spellStart"/>
          <w:r w:rsidRPr="00FE0D8A">
            <w:rPr>
              <w:color w:val="000000"/>
            </w:rPr>
            <w:t>Widdop</w:t>
          </w:r>
          <w:proofErr w:type="spellEnd"/>
          <w:r w:rsidRPr="00FE0D8A">
            <w:rPr>
              <w:color w:val="000000"/>
            </w:rPr>
            <w:t xml:space="preserve"> B. PARAQUAT POISONING: SIGNIFICANCE OF PLASMA-PARAQUAT CONCENTRATIONS. The Lancet. </w:t>
          </w:r>
          <w:proofErr w:type="gramStart"/>
          <w:r w:rsidRPr="00FE0D8A">
            <w:rPr>
              <w:color w:val="000000"/>
            </w:rPr>
            <w:t>1979;314:330</w:t>
          </w:r>
          <w:proofErr w:type="gramEnd"/>
          <w:r w:rsidRPr="00FE0D8A">
            <w:rPr>
              <w:color w:val="000000"/>
            </w:rPr>
            <w:t xml:space="preserve">–332. </w:t>
          </w:r>
          <w:proofErr w:type="spellStart"/>
          <w:r w:rsidRPr="00FE0D8A">
            <w:rPr>
              <w:color w:val="000000"/>
            </w:rPr>
            <w:t>doi</w:t>
          </w:r>
          <w:proofErr w:type="spellEnd"/>
          <w:r w:rsidRPr="00FE0D8A">
            <w:rPr>
              <w:color w:val="000000"/>
            </w:rPr>
            <w:t>: 10.1016/S0140-6736(79)90345-3. Cited: in</w:t>
          </w:r>
          <w:proofErr w:type="gramStart"/>
          <w:r w:rsidRPr="00FE0D8A">
            <w:rPr>
              <w:color w:val="000000"/>
            </w:rPr>
            <w:t>: :</w:t>
          </w:r>
          <w:proofErr w:type="gramEnd"/>
          <w:r w:rsidRPr="00FE0D8A">
            <w:rPr>
              <w:color w:val="000000"/>
            </w:rPr>
            <w:t xml:space="preserve"> PMID: 89392.</w:t>
          </w:r>
        </w:p>
        <w:p w14:paraId="672BBA4C" w14:textId="77777777" w:rsidR="00FE0D8A" w:rsidRPr="00FE0D8A" w:rsidRDefault="00FE0D8A">
          <w:pPr>
            <w:autoSpaceDE w:val="0"/>
            <w:autoSpaceDN w:val="0"/>
            <w:ind w:hanging="640"/>
            <w:divId w:val="2125685173"/>
            <w:rPr>
              <w:color w:val="000000"/>
            </w:rPr>
          </w:pPr>
          <w:r w:rsidRPr="00FE0D8A">
            <w:rPr>
              <w:color w:val="000000"/>
            </w:rPr>
            <w:t xml:space="preserve">9. </w:t>
          </w:r>
          <w:r w:rsidRPr="00FE0D8A">
            <w:rPr>
              <w:color w:val="000000"/>
            </w:rPr>
            <w:tab/>
            <w:t xml:space="preserve">Simpson M, </w:t>
          </w:r>
          <w:proofErr w:type="spellStart"/>
          <w:r w:rsidRPr="00FE0D8A">
            <w:rPr>
              <w:color w:val="000000"/>
            </w:rPr>
            <w:t>Troger</w:t>
          </w:r>
          <w:proofErr w:type="spellEnd"/>
          <w:r w:rsidRPr="00FE0D8A">
            <w:rPr>
              <w:color w:val="000000"/>
            </w:rPr>
            <w:t xml:space="preserve"> A, Feng C, </w:t>
          </w:r>
          <w:proofErr w:type="spellStart"/>
          <w:r w:rsidRPr="00FE0D8A">
            <w:rPr>
              <w:color w:val="000000"/>
            </w:rPr>
            <w:t>Whitledge</w:t>
          </w:r>
          <w:proofErr w:type="spellEnd"/>
          <w:r w:rsidRPr="00FE0D8A">
            <w:rPr>
              <w:color w:val="000000"/>
            </w:rPr>
            <w:t xml:space="preserve"> JD, </w:t>
          </w:r>
          <w:proofErr w:type="spellStart"/>
          <w:r w:rsidRPr="00FE0D8A">
            <w:rPr>
              <w:color w:val="000000"/>
            </w:rPr>
            <w:t>Monuteaux</w:t>
          </w:r>
          <w:proofErr w:type="spellEnd"/>
          <w:r w:rsidRPr="00FE0D8A">
            <w:rPr>
              <w:color w:val="000000"/>
            </w:rPr>
            <w:t xml:space="preserve"> M, Burns MM. Clinical and electrocardiographic factors associated with adverse cardiovascular events in bupropion exposures. Clin </w:t>
          </w:r>
          <w:proofErr w:type="spellStart"/>
          <w:r w:rsidRPr="00FE0D8A">
            <w:rPr>
              <w:color w:val="000000"/>
            </w:rPr>
            <w:t>Toxicol</w:t>
          </w:r>
          <w:proofErr w:type="spellEnd"/>
          <w:r w:rsidRPr="00FE0D8A">
            <w:rPr>
              <w:color w:val="000000"/>
            </w:rPr>
            <w:t xml:space="preserve">. </w:t>
          </w:r>
          <w:proofErr w:type="gramStart"/>
          <w:r w:rsidRPr="00FE0D8A">
            <w:rPr>
              <w:color w:val="000000"/>
            </w:rPr>
            <w:t>2023;61:529</w:t>
          </w:r>
          <w:proofErr w:type="gramEnd"/>
          <w:r w:rsidRPr="00FE0D8A">
            <w:rPr>
              <w:color w:val="000000"/>
            </w:rPr>
            <w:t xml:space="preserve">–535. </w:t>
          </w:r>
          <w:proofErr w:type="spellStart"/>
          <w:r w:rsidRPr="00FE0D8A">
            <w:rPr>
              <w:color w:val="000000"/>
            </w:rPr>
            <w:t>doi</w:t>
          </w:r>
          <w:proofErr w:type="spellEnd"/>
          <w:r w:rsidRPr="00FE0D8A">
            <w:rPr>
              <w:color w:val="000000"/>
            </w:rPr>
            <w:t>: 10.1080/15563650.2023.2227997.</w:t>
          </w:r>
        </w:p>
        <w:p w14:paraId="1396D6DF" w14:textId="77777777" w:rsidR="00FE0D8A" w:rsidRPr="00FE0D8A" w:rsidRDefault="00FE0D8A">
          <w:pPr>
            <w:autoSpaceDE w:val="0"/>
            <w:autoSpaceDN w:val="0"/>
            <w:ind w:hanging="640"/>
            <w:divId w:val="290481731"/>
            <w:rPr>
              <w:color w:val="000000"/>
            </w:rPr>
          </w:pPr>
          <w:r w:rsidRPr="00FE0D8A">
            <w:rPr>
              <w:color w:val="000000"/>
            </w:rPr>
            <w:t xml:space="preserve">10. </w:t>
          </w:r>
          <w:r w:rsidRPr="00FE0D8A">
            <w:rPr>
              <w:color w:val="000000"/>
            </w:rPr>
            <w:tab/>
            <w:t xml:space="preserve">Idowu D, </w:t>
          </w:r>
          <w:proofErr w:type="spellStart"/>
          <w:r w:rsidRPr="00FE0D8A">
            <w:rPr>
              <w:color w:val="000000"/>
            </w:rPr>
            <w:t>Ezema</w:t>
          </w:r>
          <w:proofErr w:type="spellEnd"/>
          <w:r w:rsidRPr="00FE0D8A">
            <w:rPr>
              <w:color w:val="000000"/>
            </w:rPr>
            <w:t xml:space="preserve"> K, Corcoran J, Farkas A. The predictive value of heart rate in determining clinical course after a bupropion overdose. Clin </w:t>
          </w:r>
          <w:proofErr w:type="spellStart"/>
          <w:r w:rsidRPr="00FE0D8A">
            <w:rPr>
              <w:color w:val="000000"/>
            </w:rPr>
            <w:t>Toxicol</w:t>
          </w:r>
          <w:proofErr w:type="spellEnd"/>
          <w:r w:rsidRPr="00FE0D8A">
            <w:rPr>
              <w:color w:val="000000"/>
            </w:rPr>
            <w:t xml:space="preserve">. </w:t>
          </w:r>
          <w:proofErr w:type="gramStart"/>
          <w:r w:rsidRPr="00FE0D8A">
            <w:rPr>
              <w:color w:val="000000"/>
            </w:rPr>
            <w:t>2024;62:296</w:t>
          </w:r>
          <w:proofErr w:type="gramEnd"/>
          <w:r w:rsidRPr="00FE0D8A">
            <w:rPr>
              <w:color w:val="000000"/>
            </w:rPr>
            <w:t xml:space="preserve">–302. </w:t>
          </w:r>
          <w:proofErr w:type="spellStart"/>
          <w:r w:rsidRPr="00FE0D8A">
            <w:rPr>
              <w:color w:val="000000"/>
            </w:rPr>
            <w:t>doi</w:t>
          </w:r>
          <w:proofErr w:type="spellEnd"/>
          <w:r w:rsidRPr="00FE0D8A">
            <w:rPr>
              <w:color w:val="000000"/>
            </w:rPr>
            <w:t>: 10.1080/15563650.2024.2347514. Cited: in</w:t>
          </w:r>
          <w:proofErr w:type="gramStart"/>
          <w:r w:rsidRPr="00FE0D8A">
            <w:rPr>
              <w:color w:val="000000"/>
            </w:rPr>
            <w:t>: :</w:t>
          </w:r>
          <w:proofErr w:type="gramEnd"/>
          <w:r w:rsidRPr="00FE0D8A">
            <w:rPr>
              <w:color w:val="000000"/>
            </w:rPr>
            <w:t xml:space="preserve"> PMID: 38780445.</w:t>
          </w:r>
        </w:p>
        <w:p w14:paraId="1CBDD3A6" w14:textId="77777777" w:rsidR="00FE0D8A" w:rsidRPr="00FE0D8A" w:rsidRDefault="00FE0D8A">
          <w:pPr>
            <w:autoSpaceDE w:val="0"/>
            <w:autoSpaceDN w:val="0"/>
            <w:ind w:hanging="640"/>
            <w:divId w:val="1262487812"/>
            <w:rPr>
              <w:color w:val="000000"/>
            </w:rPr>
          </w:pPr>
          <w:r w:rsidRPr="00FE0D8A">
            <w:rPr>
              <w:color w:val="000000"/>
            </w:rPr>
            <w:t xml:space="preserve">11. </w:t>
          </w:r>
          <w:r w:rsidRPr="00FE0D8A">
            <w:rPr>
              <w:color w:val="000000"/>
            </w:rPr>
            <w:tab/>
            <w:t xml:space="preserve">Persson HE, </w:t>
          </w:r>
          <w:proofErr w:type="spellStart"/>
          <w:r w:rsidRPr="00FE0D8A">
            <w:rPr>
              <w:color w:val="000000"/>
            </w:rPr>
            <w:t>Sjöberg</w:t>
          </w:r>
          <w:proofErr w:type="spellEnd"/>
          <w:r w:rsidRPr="00FE0D8A">
            <w:rPr>
              <w:color w:val="000000"/>
            </w:rPr>
            <w:t xml:space="preserve"> GK, Haines JA, de </w:t>
          </w:r>
          <w:proofErr w:type="spellStart"/>
          <w:r w:rsidRPr="00FE0D8A">
            <w:rPr>
              <w:color w:val="000000"/>
            </w:rPr>
            <w:t>Garbino</w:t>
          </w:r>
          <w:proofErr w:type="spellEnd"/>
          <w:r w:rsidRPr="00FE0D8A">
            <w:rPr>
              <w:color w:val="000000"/>
            </w:rPr>
            <w:t xml:space="preserve"> JP. Poisoning Severity Score. Grading of Acute Poisoning. J </w:t>
          </w:r>
          <w:proofErr w:type="spellStart"/>
          <w:r w:rsidRPr="00FE0D8A">
            <w:rPr>
              <w:color w:val="000000"/>
            </w:rPr>
            <w:t>Toxicol</w:t>
          </w:r>
          <w:proofErr w:type="spellEnd"/>
          <w:r w:rsidRPr="00FE0D8A">
            <w:rPr>
              <w:color w:val="000000"/>
            </w:rPr>
            <w:t xml:space="preserve"> Clin </w:t>
          </w:r>
          <w:proofErr w:type="spellStart"/>
          <w:r w:rsidRPr="00FE0D8A">
            <w:rPr>
              <w:color w:val="000000"/>
            </w:rPr>
            <w:t>Toxicol</w:t>
          </w:r>
          <w:proofErr w:type="spellEnd"/>
          <w:r w:rsidRPr="00FE0D8A">
            <w:rPr>
              <w:color w:val="000000"/>
            </w:rPr>
            <w:t xml:space="preserve">. </w:t>
          </w:r>
          <w:proofErr w:type="gramStart"/>
          <w:r w:rsidRPr="00FE0D8A">
            <w:rPr>
              <w:color w:val="000000"/>
            </w:rPr>
            <w:t>1998;36:205</w:t>
          </w:r>
          <w:proofErr w:type="gramEnd"/>
          <w:r w:rsidRPr="00FE0D8A">
            <w:rPr>
              <w:color w:val="000000"/>
            </w:rPr>
            <w:t xml:space="preserve">–213. </w:t>
          </w:r>
          <w:proofErr w:type="spellStart"/>
          <w:r w:rsidRPr="00FE0D8A">
            <w:rPr>
              <w:color w:val="000000"/>
            </w:rPr>
            <w:t>doi</w:t>
          </w:r>
          <w:proofErr w:type="spellEnd"/>
          <w:r w:rsidRPr="00FE0D8A">
            <w:rPr>
              <w:color w:val="000000"/>
            </w:rPr>
            <w:t>: 10.3109/15563659809028940.</w:t>
          </w:r>
        </w:p>
        <w:p w14:paraId="396D4858" w14:textId="77777777" w:rsidR="00FE0D8A" w:rsidRPr="00FE0D8A" w:rsidRDefault="00FE0D8A">
          <w:pPr>
            <w:autoSpaceDE w:val="0"/>
            <w:autoSpaceDN w:val="0"/>
            <w:ind w:hanging="640"/>
            <w:divId w:val="1502117351"/>
            <w:rPr>
              <w:color w:val="000000"/>
            </w:rPr>
          </w:pPr>
          <w:r w:rsidRPr="00FE0D8A">
            <w:rPr>
              <w:color w:val="000000"/>
            </w:rPr>
            <w:t xml:space="preserve">12. </w:t>
          </w:r>
          <w:r w:rsidRPr="00FE0D8A">
            <w:rPr>
              <w:color w:val="000000"/>
            </w:rPr>
            <w:tab/>
            <w:t xml:space="preserve">Han K, Kim S, Lee E, Shin J, Lee J, Care SL-C, 2021 undefined. Development and validation of new poisoning mortality score system for patients with acute poisoning at the emergency department. </w:t>
          </w:r>
          <w:proofErr w:type="spellStart"/>
          <w:r w:rsidRPr="00FE0D8A">
            <w:rPr>
              <w:color w:val="000000"/>
            </w:rPr>
            <w:t>SpringerKS</w:t>
          </w:r>
          <w:proofErr w:type="spellEnd"/>
          <w:r w:rsidRPr="00FE0D8A">
            <w:rPr>
              <w:color w:val="000000"/>
            </w:rPr>
            <w:t xml:space="preserve"> Han, SJ Kim, EJ Lee, JH Shin, JS Lee, SW </w:t>
          </w:r>
          <w:proofErr w:type="spellStart"/>
          <w:r w:rsidRPr="00FE0D8A">
            <w:rPr>
              <w:color w:val="000000"/>
            </w:rPr>
            <w:t>LeeCritical</w:t>
          </w:r>
          <w:proofErr w:type="spellEnd"/>
          <w:r w:rsidRPr="00FE0D8A">
            <w:rPr>
              <w:color w:val="000000"/>
            </w:rPr>
            <w:t xml:space="preserve"> Care, 2021•Springer [Internet]. 2020 [cited 2025 Feb 16];25. </w:t>
          </w:r>
          <w:proofErr w:type="spellStart"/>
          <w:r w:rsidRPr="00FE0D8A">
            <w:rPr>
              <w:color w:val="000000"/>
            </w:rPr>
            <w:t>doi</w:t>
          </w:r>
          <w:proofErr w:type="spellEnd"/>
          <w:r w:rsidRPr="00FE0D8A">
            <w:rPr>
              <w:color w:val="000000"/>
            </w:rPr>
            <w:t>: 10.1186/s13054-020-03408-1.</w:t>
          </w:r>
        </w:p>
        <w:p w14:paraId="307D24EC" w14:textId="77777777" w:rsidR="00FE0D8A" w:rsidRPr="00FE0D8A" w:rsidRDefault="00FE0D8A">
          <w:pPr>
            <w:autoSpaceDE w:val="0"/>
            <w:autoSpaceDN w:val="0"/>
            <w:ind w:hanging="640"/>
            <w:divId w:val="978455218"/>
            <w:rPr>
              <w:color w:val="000000"/>
            </w:rPr>
          </w:pPr>
          <w:r w:rsidRPr="00FE0D8A">
            <w:rPr>
              <w:color w:val="000000"/>
            </w:rPr>
            <w:t xml:space="preserve">13. </w:t>
          </w:r>
          <w:r w:rsidRPr="00FE0D8A">
            <w:rPr>
              <w:color w:val="000000"/>
            </w:rPr>
            <w:tab/>
            <w:t xml:space="preserve">Brandenburg R, Brinkman S, de Keizer NF, </w:t>
          </w:r>
          <w:proofErr w:type="spellStart"/>
          <w:r w:rsidRPr="00FE0D8A">
            <w:rPr>
              <w:color w:val="000000"/>
            </w:rPr>
            <w:t>Kesecioglu</w:t>
          </w:r>
          <w:proofErr w:type="spellEnd"/>
          <w:r w:rsidRPr="00FE0D8A">
            <w:rPr>
              <w:color w:val="000000"/>
            </w:rPr>
            <w:t xml:space="preserve"> J, </w:t>
          </w:r>
          <w:proofErr w:type="spellStart"/>
          <w:r w:rsidRPr="00FE0D8A">
            <w:rPr>
              <w:color w:val="000000"/>
            </w:rPr>
            <w:t>Meulenbelt</w:t>
          </w:r>
          <w:proofErr w:type="spellEnd"/>
          <w:r w:rsidRPr="00FE0D8A">
            <w:rPr>
              <w:color w:val="000000"/>
            </w:rPr>
            <w:t xml:space="preserve"> J, de Lange DW. The need for ICU admission in intoxicated patients: a prediction model. Clin </w:t>
          </w:r>
          <w:proofErr w:type="spellStart"/>
          <w:r w:rsidRPr="00FE0D8A">
            <w:rPr>
              <w:color w:val="000000"/>
            </w:rPr>
            <w:t>Toxicol</w:t>
          </w:r>
          <w:proofErr w:type="spellEnd"/>
          <w:r w:rsidRPr="00FE0D8A">
            <w:rPr>
              <w:color w:val="000000"/>
            </w:rPr>
            <w:t xml:space="preserve">. </w:t>
          </w:r>
          <w:proofErr w:type="gramStart"/>
          <w:r w:rsidRPr="00FE0D8A">
            <w:rPr>
              <w:color w:val="000000"/>
            </w:rPr>
            <w:t>2017;55:4</w:t>
          </w:r>
          <w:proofErr w:type="gramEnd"/>
          <w:r w:rsidRPr="00FE0D8A">
            <w:rPr>
              <w:color w:val="000000"/>
            </w:rPr>
            <w:t xml:space="preserve">–11. </w:t>
          </w:r>
          <w:proofErr w:type="spellStart"/>
          <w:r w:rsidRPr="00FE0D8A">
            <w:rPr>
              <w:color w:val="000000"/>
            </w:rPr>
            <w:t>doi</w:t>
          </w:r>
          <w:proofErr w:type="spellEnd"/>
          <w:r w:rsidRPr="00FE0D8A">
            <w:rPr>
              <w:color w:val="000000"/>
            </w:rPr>
            <w:t>: 10.1080/15563650.2016.1222616.</w:t>
          </w:r>
        </w:p>
        <w:p w14:paraId="4BFE3A1D" w14:textId="77777777" w:rsidR="00FE0D8A" w:rsidRPr="00FE0D8A" w:rsidRDefault="00FE0D8A">
          <w:pPr>
            <w:autoSpaceDE w:val="0"/>
            <w:autoSpaceDN w:val="0"/>
            <w:ind w:hanging="640"/>
            <w:divId w:val="1364943788"/>
            <w:rPr>
              <w:color w:val="000000"/>
            </w:rPr>
          </w:pPr>
          <w:r w:rsidRPr="00FE0D8A">
            <w:rPr>
              <w:color w:val="000000"/>
            </w:rPr>
            <w:t xml:space="preserve">14. </w:t>
          </w:r>
          <w:r w:rsidRPr="00FE0D8A">
            <w:rPr>
              <w:color w:val="000000"/>
            </w:rPr>
            <w:tab/>
            <w:t xml:space="preserve">Brandenburg R, Brinkman S, De Keizer NF, </w:t>
          </w:r>
          <w:proofErr w:type="spellStart"/>
          <w:r w:rsidRPr="00FE0D8A">
            <w:rPr>
              <w:color w:val="000000"/>
            </w:rPr>
            <w:t>Kesecioglu</w:t>
          </w:r>
          <w:proofErr w:type="spellEnd"/>
          <w:r w:rsidRPr="00FE0D8A">
            <w:rPr>
              <w:color w:val="000000"/>
            </w:rPr>
            <w:t xml:space="preserve"> J, </w:t>
          </w:r>
          <w:proofErr w:type="spellStart"/>
          <w:r w:rsidRPr="00FE0D8A">
            <w:rPr>
              <w:color w:val="000000"/>
            </w:rPr>
            <w:t>Meulenbelt</w:t>
          </w:r>
          <w:proofErr w:type="spellEnd"/>
          <w:r w:rsidRPr="00FE0D8A">
            <w:rPr>
              <w:color w:val="000000"/>
            </w:rPr>
            <w:t xml:space="preserve"> J, De Lange DW. The need for ICU admission in intoxicated patients: a prediction </w:t>
          </w:r>
          <w:r w:rsidRPr="00FE0D8A">
            <w:rPr>
              <w:color w:val="000000"/>
            </w:rPr>
            <w:lastRenderedPageBreak/>
            <w:t xml:space="preserve">model. Taylor &amp; </w:t>
          </w:r>
          <w:proofErr w:type="spellStart"/>
          <w:r w:rsidRPr="00FE0D8A">
            <w:rPr>
              <w:color w:val="000000"/>
            </w:rPr>
            <w:t>FrancisR</w:t>
          </w:r>
          <w:proofErr w:type="spellEnd"/>
          <w:r w:rsidRPr="00FE0D8A">
            <w:rPr>
              <w:color w:val="000000"/>
            </w:rPr>
            <w:t xml:space="preserve"> Brandenburg, S Brinkman, NF De Keizer, J </w:t>
          </w:r>
          <w:proofErr w:type="spellStart"/>
          <w:r w:rsidRPr="00FE0D8A">
            <w:rPr>
              <w:color w:val="000000"/>
            </w:rPr>
            <w:t>Kesecioglu</w:t>
          </w:r>
          <w:proofErr w:type="spellEnd"/>
          <w:r w:rsidRPr="00FE0D8A">
            <w:rPr>
              <w:color w:val="000000"/>
            </w:rPr>
            <w:t xml:space="preserve">, J </w:t>
          </w:r>
          <w:proofErr w:type="spellStart"/>
          <w:r w:rsidRPr="00FE0D8A">
            <w:rPr>
              <w:color w:val="000000"/>
            </w:rPr>
            <w:t>Meulenbelt</w:t>
          </w:r>
          <w:proofErr w:type="spellEnd"/>
          <w:r w:rsidRPr="00FE0D8A">
            <w:rPr>
              <w:color w:val="000000"/>
            </w:rPr>
            <w:t xml:space="preserve">, DW de </w:t>
          </w:r>
          <w:proofErr w:type="spellStart"/>
          <w:r w:rsidRPr="00FE0D8A">
            <w:rPr>
              <w:color w:val="000000"/>
            </w:rPr>
            <w:t>LangeClinical</w:t>
          </w:r>
          <w:proofErr w:type="spellEnd"/>
          <w:r w:rsidRPr="00FE0D8A">
            <w:rPr>
              <w:color w:val="000000"/>
            </w:rPr>
            <w:t xml:space="preserve"> toxicology, 2017•Taylor &amp; Francis [Internet]. 2017 [cited 2025 Feb 14</w:t>
          </w:r>
          <w:proofErr w:type="gramStart"/>
          <w:r w:rsidRPr="00FE0D8A">
            <w:rPr>
              <w:color w:val="000000"/>
            </w:rPr>
            <w:t>];55:4</w:t>
          </w:r>
          <w:proofErr w:type="gramEnd"/>
          <w:r w:rsidRPr="00FE0D8A">
            <w:rPr>
              <w:color w:val="000000"/>
            </w:rPr>
            <w:t xml:space="preserve">–11. </w:t>
          </w:r>
          <w:proofErr w:type="spellStart"/>
          <w:r w:rsidRPr="00FE0D8A">
            <w:rPr>
              <w:color w:val="000000"/>
            </w:rPr>
            <w:t>doi</w:t>
          </w:r>
          <w:proofErr w:type="spellEnd"/>
          <w:r w:rsidRPr="00FE0D8A">
            <w:rPr>
              <w:color w:val="000000"/>
            </w:rPr>
            <w:t>: 10.1080/15563650.2016.1222616.</w:t>
          </w:r>
        </w:p>
        <w:p w14:paraId="73085634" w14:textId="77777777" w:rsidR="00FE0D8A" w:rsidRPr="00FE0D8A" w:rsidRDefault="00FE0D8A">
          <w:pPr>
            <w:autoSpaceDE w:val="0"/>
            <w:autoSpaceDN w:val="0"/>
            <w:ind w:hanging="640"/>
            <w:divId w:val="1485271698"/>
            <w:rPr>
              <w:color w:val="000000"/>
            </w:rPr>
          </w:pPr>
          <w:r w:rsidRPr="00FE0D8A">
            <w:rPr>
              <w:color w:val="000000"/>
            </w:rPr>
            <w:t xml:space="preserve">15. </w:t>
          </w:r>
          <w:r w:rsidRPr="00FE0D8A">
            <w:rPr>
              <w:color w:val="000000"/>
            </w:rPr>
            <w:tab/>
          </w:r>
          <w:proofErr w:type="spellStart"/>
          <w:r w:rsidRPr="00FE0D8A">
            <w:rPr>
              <w:color w:val="000000"/>
            </w:rPr>
            <w:t>Gummin</w:t>
          </w:r>
          <w:proofErr w:type="spellEnd"/>
          <w:r w:rsidRPr="00FE0D8A">
            <w:rPr>
              <w:color w:val="000000"/>
            </w:rPr>
            <w:t xml:space="preserve"> DD, Mowry JB, </w:t>
          </w:r>
          <w:proofErr w:type="spellStart"/>
          <w:r w:rsidRPr="00FE0D8A">
            <w:rPr>
              <w:color w:val="000000"/>
            </w:rPr>
            <w:t>Beuhler</w:t>
          </w:r>
          <w:proofErr w:type="spellEnd"/>
          <w:r w:rsidRPr="00FE0D8A">
            <w:rPr>
              <w:color w:val="000000"/>
            </w:rPr>
            <w:t xml:space="preserve"> MC, </w:t>
          </w:r>
          <w:proofErr w:type="spellStart"/>
          <w:r w:rsidRPr="00FE0D8A">
            <w:rPr>
              <w:color w:val="000000"/>
            </w:rPr>
            <w:t>Spyker</w:t>
          </w:r>
          <w:proofErr w:type="spellEnd"/>
          <w:r w:rsidRPr="00FE0D8A">
            <w:rPr>
              <w:color w:val="000000"/>
            </w:rPr>
            <w:t xml:space="preserve"> DA, Rivers LJ, Feldman R, Brown K, Pham NPT, Bronstein AC, </w:t>
          </w:r>
          <w:proofErr w:type="spellStart"/>
          <w:r w:rsidRPr="00FE0D8A">
            <w:rPr>
              <w:color w:val="000000"/>
            </w:rPr>
            <w:t>DesLauriers</w:t>
          </w:r>
          <w:proofErr w:type="spellEnd"/>
          <w:r w:rsidRPr="00FE0D8A">
            <w:rPr>
              <w:color w:val="000000"/>
            </w:rPr>
            <w:t xml:space="preserve"> C. 2022 Annual Report of the National Poison Data System ® (NPDS) from America’s Poison </w:t>
          </w:r>
          <w:proofErr w:type="spellStart"/>
          <w:r w:rsidRPr="00FE0D8A">
            <w:rPr>
              <w:color w:val="000000"/>
            </w:rPr>
            <w:t>Centers</w:t>
          </w:r>
          <w:proofErr w:type="spellEnd"/>
          <w:r w:rsidRPr="00FE0D8A">
            <w:rPr>
              <w:color w:val="000000"/>
            </w:rPr>
            <w:t xml:space="preserve"> </w:t>
          </w:r>
          <w:proofErr w:type="gramStart"/>
          <w:r w:rsidRPr="00FE0D8A">
            <w:rPr>
              <w:color w:val="000000"/>
            </w:rPr>
            <w:t>® :</w:t>
          </w:r>
          <w:proofErr w:type="gramEnd"/>
          <w:r w:rsidRPr="00FE0D8A">
            <w:rPr>
              <w:color w:val="000000"/>
            </w:rPr>
            <w:t xml:space="preserve"> 40th Annual Report. Clin </w:t>
          </w:r>
          <w:proofErr w:type="spellStart"/>
          <w:r w:rsidRPr="00FE0D8A">
            <w:rPr>
              <w:color w:val="000000"/>
            </w:rPr>
            <w:t>Toxicol</w:t>
          </w:r>
          <w:proofErr w:type="spellEnd"/>
          <w:r w:rsidRPr="00FE0D8A">
            <w:rPr>
              <w:color w:val="000000"/>
            </w:rPr>
            <w:t xml:space="preserve">. </w:t>
          </w:r>
          <w:proofErr w:type="gramStart"/>
          <w:r w:rsidRPr="00FE0D8A">
            <w:rPr>
              <w:color w:val="000000"/>
            </w:rPr>
            <w:t>2023;61:717</w:t>
          </w:r>
          <w:proofErr w:type="gramEnd"/>
          <w:r w:rsidRPr="00FE0D8A">
            <w:rPr>
              <w:color w:val="000000"/>
            </w:rPr>
            <w:t xml:space="preserve">–939. </w:t>
          </w:r>
          <w:proofErr w:type="spellStart"/>
          <w:r w:rsidRPr="00FE0D8A">
            <w:rPr>
              <w:color w:val="000000"/>
            </w:rPr>
            <w:t>doi</w:t>
          </w:r>
          <w:proofErr w:type="spellEnd"/>
          <w:r w:rsidRPr="00FE0D8A">
            <w:rPr>
              <w:color w:val="000000"/>
            </w:rPr>
            <w:t>: 10.1080/15563650.2023.2268981.</w:t>
          </w:r>
        </w:p>
        <w:p w14:paraId="21E009C5" w14:textId="77777777" w:rsidR="00FE0D8A" w:rsidRPr="00FE0D8A" w:rsidRDefault="00FE0D8A">
          <w:pPr>
            <w:autoSpaceDE w:val="0"/>
            <w:autoSpaceDN w:val="0"/>
            <w:ind w:hanging="640"/>
            <w:divId w:val="79330711"/>
            <w:rPr>
              <w:color w:val="000000"/>
            </w:rPr>
          </w:pPr>
          <w:r w:rsidRPr="00FE0D8A">
            <w:rPr>
              <w:color w:val="000000"/>
            </w:rPr>
            <w:t xml:space="preserve">16. </w:t>
          </w:r>
          <w:r w:rsidRPr="00FE0D8A">
            <w:rPr>
              <w:color w:val="000000"/>
            </w:rPr>
            <w:tab/>
          </w:r>
          <w:proofErr w:type="spellStart"/>
          <w:r w:rsidRPr="00FE0D8A">
            <w:rPr>
              <w:color w:val="000000"/>
            </w:rPr>
            <w:t>Gummin</w:t>
          </w:r>
          <w:proofErr w:type="spellEnd"/>
          <w:r w:rsidRPr="00FE0D8A">
            <w:rPr>
              <w:color w:val="000000"/>
            </w:rPr>
            <w:t xml:space="preserve"> DD, Mowry JB, </w:t>
          </w:r>
          <w:proofErr w:type="spellStart"/>
          <w:r w:rsidRPr="00FE0D8A">
            <w:rPr>
              <w:color w:val="000000"/>
            </w:rPr>
            <w:t>Beuhler</w:t>
          </w:r>
          <w:proofErr w:type="spellEnd"/>
          <w:r w:rsidRPr="00FE0D8A">
            <w:rPr>
              <w:color w:val="000000"/>
            </w:rPr>
            <w:t xml:space="preserve"> MC, </w:t>
          </w:r>
          <w:proofErr w:type="spellStart"/>
          <w:r w:rsidRPr="00FE0D8A">
            <w:rPr>
              <w:color w:val="000000"/>
            </w:rPr>
            <w:t>Spyker</w:t>
          </w:r>
          <w:proofErr w:type="spellEnd"/>
          <w:r w:rsidRPr="00FE0D8A">
            <w:rPr>
              <w:color w:val="000000"/>
            </w:rPr>
            <w:t xml:space="preserve"> DA, Bronstein AC, Rivers LJ, Pham NPT, Weber J. 2020 annual report of the American association of poison control </w:t>
          </w:r>
          <w:proofErr w:type="spellStart"/>
          <w:r w:rsidRPr="00FE0D8A">
            <w:rPr>
              <w:color w:val="000000"/>
            </w:rPr>
            <w:t>centers’</w:t>
          </w:r>
          <w:proofErr w:type="spellEnd"/>
          <w:r w:rsidRPr="00FE0D8A">
            <w:rPr>
              <w:color w:val="000000"/>
            </w:rPr>
            <w:t xml:space="preserve"> national poison data system (NPDS): 38th annual report. Clin </w:t>
          </w:r>
          <w:proofErr w:type="spellStart"/>
          <w:r w:rsidRPr="00FE0D8A">
            <w:rPr>
              <w:color w:val="000000"/>
            </w:rPr>
            <w:t>Toxicol</w:t>
          </w:r>
          <w:proofErr w:type="spellEnd"/>
          <w:r w:rsidRPr="00FE0D8A">
            <w:rPr>
              <w:color w:val="000000"/>
            </w:rPr>
            <w:t xml:space="preserve">. </w:t>
          </w:r>
          <w:proofErr w:type="gramStart"/>
          <w:r w:rsidRPr="00FE0D8A">
            <w:rPr>
              <w:color w:val="000000"/>
            </w:rPr>
            <w:t>2021;59:1282</w:t>
          </w:r>
          <w:proofErr w:type="gramEnd"/>
          <w:r w:rsidRPr="00FE0D8A">
            <w:rPr>
              <w:color w:val="000000"/>
            </w:rPr>
            <w:t>–1501.</w:t>
          </w:r>
        </w:p>
        <w:p w14:paraId="2AE38E3A" w14:textId="77777777" w:rsidR="00FE0D8A" w:rsidRPr="00FE0D8A" w:rsidRDefault="00FE0D8A">
          <w:pPr>
            <w:autoSpaceDE w:val="0"/>
            <w:autoSpaceDN w:val="0"/>
            <w:ind w:hanging="640"/>
            <w:divId w:val="672683732"/>
            <w:rPr>
              <w:color w:val="000000"/>
            </w:rPr>
          </w:pPr>
          <w:r w:rsidRPr="00FE0D8A">
            <w:rPr>
              <w:color w:val="000000"/>
            </w:rPr>
            <w:t xml:space="preserve">17. </w:t>
          </w:r>
          <w:r w:rsidRPr="00FE0D8A">
            <w:rPr>
              <w:color w:val="000000"/>
            </w:rPr>
            <w:tab/>
            <w:t xml:space="preserve">Jones AA, Shearer RD, </w:t>
          </w:r>
          <w:proofErr w:type="spellStart"/>
          <w:r w:rsidRPr="00FE0D8A">
            <w:rPr>
              <w:color w:val="000000"/>
            </w:rPr>
            <w:t>Segel</w:t>
          </w:r>
          <w:proofErr w:type="spellEnd"/>
          <w:r w:rsidRPr="00FE0D8A">
            <w:rPr>
              <w:color w:val="000000"/>
            </w:rP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rsidRPr="00FE0D8A">
            <w:rPr>
              <w:color w:val="000000"/>
            </w:rPr>
            <w:t>2023;249:109946</w:t>
          </w:r>
          <w:proofErr w:type="gramEnd"/>
          <w:r w:rsidRPr="00FE0D8A">
            <w:rPr>
              <w:color w:val="000000"/>
            </w:rPr>
            <w:t xml:space="preserve">. </w:t>
          </w:r>
          <w:proofErr w:type="spellStart"/>
          <w:r w:rsidRPr="00FE0D8A">
            <w:rPr>
              <w:color w:val="000000"/>
            </w:rPr>
            <w:t>doi</w:t>
          </w:r>
          <w:proofErr w:type="spellEnd"/>
          <w:r w:rsidRPr="00FE0D8A">
            <w:rPr>
              <w:color w:val="000000"/>
            </w:rPr>
            <w:t>: 10.1016/j.drugalcdep.2023.109946.</w:t>
          </w:r>
        </w:p>
        <w:p w14:paraId="76D421BB" w14:textId="77777777" w:rsidR="00FE0D8A" w:rsidRPr="00FE0D8A" w:rsidRDefault="00FE0D8A">
          <w:pPr>
            <w:autoSpaceDE w:val="0"/>
            <w:autoSpaceDN w:val="0"/>
            <w:ind w:hanging="640"/>
            <w:divId w:val="413210010"/>
            <w:rPr>
              <w:color w:val="000000"/>
            </w:rPr>
          </w:pPr>
          <w:r w:rsidRPr="00FE0D8A">
            <w:rPr>
              <w:color w:val="000000"/>
            </w:rPr>
            <w:t xml:space="preserve">18. </w:t>
          </w:r>
          <w:r w:rsidRPr="00FE0D8A">
            <w:rPr>
              <w:color w:val="000000"/>
            </w:rPr>
            <w:tab/>
          </w:r>
          <w:proofErr w:type="spellStart"/>
          <w:r w:rsidRPr="00FE0D8A">
            <w:rPr>
              <w:color w:val="000000"/>
            </w:rPr>
            <w:t>Peppin</w:t>
          </w:r>
          <w:proofErr w:type="spellEnd"/>
          <w:r w:rsidRPr="00FE0D8A">
            <w:rPr>
              <w:color w:val="000000"/>
            </w:rPr>
            <w:t xml:space="preserve"> JF, Raffa RB, </w:t>
          </w:r>
          <w:proofErr w:type="spellStart"/>
          <w:r w:rsidRPr="00FE0D8A">
            <w:rPr>
              <w:color w:val="000000"/>
            </w:rPr>
            <w:t>Schatman</w:t>
          </w:r>
          <w:proofErr w:type="spellEnd"/>
          <w:r w:rsidRPr="00FE0D8A">
            <w:rPr>
              <w:color w:val="000000"/>
            </w:rPr>
            <w:t xml:space="preserve"> ME. The Polysubstance Overdose-Death Crisis. J Pain Res [Internet]. 2020 [cited 2025 Feb 7</w:t>
          </w:r>
          <w:proofErr w:type="gramStart"/>
          <w:r w:rsidRPr="00FE0D8A">
            <w:rPr>
              <w:color w:val="000000"/>
            </w:rPr>
            <w:t>];13:3405</w:t>
          </w:r>
          <w:proofErr w:type="gramEnd"/>
          <w:r w:rsidRPr="00FE0D8A">
            <w:rPr>
              <w:color w:val="000000"/>
            </w:rPr>
            <w:t xml:space="preserve">. </w:t>
          </w:r>
          <w:proofErr w:type="spellStart"/>
          <w:r w:rsidRPr="00FE0D8A">
            <w:rPr>
              <w:color w:val="000000"/>
            </w:rPr>
            <w:t>doi</w:t>
          </w:r>
          <w:proofErr w:type="spellEnd"/>
          <w:r w:rsidRPr="00FE0D8A">
            <w:rPr>
              <w:color w:val="000000"/>
            </w:rPr>
            <w:t>: 10.2147/JPR.S295715. Cited: in</w:t>
          </w:r>
          <w:proofErr w:type="gramStart"/>
          <w:r w:rsidRPr="00FE0D8A">
            <w:rPr>
              <w:color w:val="000000"/>
            </w:rPr>
            <w:t>: :</w:t>
          </w:r>
          <w:proofErr w:type="gramEnd"/>
          <w:r w:rsidRPr="00FE0D8A">
            <w:rPr>
              <w:color w:val="000000"/>
            </w:rPr>
            <w:t xml:space="preserve"> PMID: 33364823.</w:t>
          </w:r>
        </w:p>
        <w:p w14:paraId="10895DC3" w14:textId="431EFAE5" w:rsidR="00364278" w:rsidRDefault="00FE0D8A" w:rsidP="00F477CF">
          <w:pPr>
            <w:spacing w:before="240" w:line="360" w:lineRule="auto"/>
            <w:rPr>
              <w:bCs/>
              <w:lang w:val="en-US"/>
            </w:rPr>
          </w:pPr>
          <w:r w:rsidRPr="00FE0D8A">
            <w:rPr>
              <w:color w:val="000000"/>
            </w:rPr>
            <w:t> </w:t>
          </w:r>
        </w:p>
      </w:sdtContent>
    </w:sdt>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3" w:name="_Ref170118666"/>
      <w:r w:rsidRPr="00B149C3">
        <w:rPr>
          <w:i w:val="0"/>
          <w:iCs w:val="0"/>
          <w:color w:val="000000" w:themeColor="text1"/>
        </w:rPr>
        <w:t>Figure 1</w:t>
      </w:r>
      <w:bookmarkEnd w:id="3"/>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4"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4"/>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5" w:name="_Ref170123244"/>
      <w:r w:rsidRPr="00B149C3">
        <w:rPr>
          <w:i w:val="0"/>
          <w:iCs w:val="0"/>
        </w:rPr>
        <w:t xml:space="preserve">Table </w:t>
      </w:r>
      <w:r w:rsidRPr="00B149C3">
        <w:rPr>
          <w:i w:val="0"/>
          <w:iCs w:val="0"/>
          <w:noProof/>
        </w:rPr>
        <w:t>2</w:t>
      </w:r>
      <w:bookmarkEnd w:id="5"/>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5-02-20T09:17:00Z" w:initials="MC">
    <w:p w14:paraId="28266E01" w14:textId="77777777" w:rsidR="00970E9C" w:rsidRDefault="00970E9C" w:rsidP="00970E9C">
      <w:r>
        <w:rPr>
          <w:rStyle w:val="CommentReference"/>
        </w:rPr>
        <w:annotationRef/>
      </w:r>
      <w:r>
        <w:rPr>
          <w:color w:val="000000"/>
          <w:sz w:val="20"/>
          <w:szCs w:val="20"/>
        </w:rPr>
        <w:t xml:space="preserve">Bring out comparing performance is not enough, need to further look at MDM. </w:t>
      </w:r>
    </w:p>
  </w:comment>
  <w:comment w:id="1" w:author="Michael Chary" w:date="2025-02-20T08:56:00Z" w:initials="MC">
    <w:p w14:paraId="4DF6D645" w14:textId="78942741" w:rsidR="00771F0A" w:rsidRDefault="00771F0A" w:rsidP="00771F0A">
      <w:r>
        <w:rPr>
          <w:rStyle w:val="CommentReference"/>
        </w:rPr>
        <w:annotationRef/>
      </w:r>
      <w:r>
        <w:rPr>
          <w:color w:val="000000"/>
          <w:sz w:val="20"/>
          <w:szCs w:val="20"/>
        </w:rPr>
        <w:t>What were the ingestants?</w:t>
      </w:r>
    </w:p>
  </w:comment>
  <w:comment w:id="2" w:author="Michael Chary" w:date="2025-02-20T09:05:00Z" w:initials="MC">
    <w:p w14:paraId="5BD8F467" w14:textId="77777777" w:rsidR="00800E75" w:rsidRDefault="00800E75" w:rsidP="00800E75">
      <w:r>
        <w:rPr>
          <w:rStyle w:val="CommentReference"/>
        </w:rPr>
        <w:annotationRef/>
      </w:r>
      <w:r>
        <w:rPr>
          <w:color w:val="000000"/>
          <w:sz w:val="20"/>
          <w:szCs w:val="20"/>
        </w:rPr>
        <w:t>This sneaks in,  but was a primary outcome measure. Add a paragraph on it in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66E01" w15:done="0"/>
  <w15:commentEx w15:paraId="4DF6D645" w15:done="0"/>
  <w15:commentEx w15:paraId="5BD8F4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0D87C3" w16cex:dateUtc="2025-02-20T14:17:00Z"/>
  <w16cex:commentExtensible w16cex:durableId="03C61829" w16cex:dateUtc="2025-02-20T13:56:00Z"/>
  <w16cex:commentExtensible w16cex:durableId="35331E49" w16cex:dateUtc="2025-02-2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66E01" w16cid:durableId="170D87C3"/>
  <w16cid:commentId w16cid:paraId="4DF6D645" w16cid:durableId="03C61829"/>
  <w16cid:commentId w16cid:paraId="5BD8F467" w16cid:durableId="35331E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A46"/>
    <w:rsid w:val="00010012"/>
    <w:rsid w:val="00012A62"/>
    <w:rsid w:val="000155D3"/>
    <w:rsid w:val="00017A01"/>
    <w:rsid w:val="00020F41"/>
    <w:rsid w:val="00033001"/>
    <w:rsid w:val="00035DC7"/>
    <w:rsid w:val="00040CAE"/>
    <w:rsid w:val="00050D48"/>
    <w:rsid w:val="00064EA5"/>
    <w:rsid w:val="0007336A"/>
    <w:rsid w:val="00084F80"/>
    <w:rsid w:val="000850A5"/>
    <w:rsid w:val="00090339"/>
    <w:rsid w:val="000976B6"/>
    <w:rsid w:val="00097872"/>
    <w:rsid w:val="000A5139"/>
    <w:rsid w:val="000D2DA7"/>
    <w:rsid w:val="000D45CC"/>
    <w:rsid w:val="000E13AD"/>
    <w:rsid w:val="000E773A"/>
    <w:rsid w:val="000F1AB5"/>
    <w:rsid w:val="000F7D9B"/>
    <w:rsid w:val="001028F8"/>
    <w:rsid w:val="001037F5"/>
    <w:rsid w:val="001075B1"/>
    <w:rsid w:val="00110FC5"/>
    <w:rsid w:val="00122A0B"/>
    <w:rsid w:val="00133C17"/>
    <w:rsid w:val="00144F82"/>
    <w:rsid w:val="001617D0"/>
    <w:rsid w:val="0016291B"/>
    <w:rsid w:val="0016324A"/>
    <w:rsid w:val="001632B0"/>
    <w:rsid w:val="001672E9"/>
    <w:rsid w:val="00181869"/>
    <w:rsid w:val="001953AF"/>
    <w:rsid w:val="001A190F"/>
    <w:rsid w:val="001C0570"/>
    <w:rsid w:val="001C1218"/>
    <w:rsid w:val="001D01BB"/>
    <w:rsid w:val="001D190B"/>
    <w:rsid w:val="001E36F9"/>
    <w:rsid w:val="001E5763"/>
    <w:rsid w:val="001F22DA"/>
    <w:rsid w:val="001F2A7F"/>
    <w:rsid w:val="001F3297"/>
    <w:rsid w:val="001F4979"/>
    <w:rsid w:val="001F73F8"/>
    <w:rsid w:val="002157E1"/>
    <w:rsid w:val="0023650E"/>
    <w:rsid w:val="002374AA"/>
    <w:rsid w:val="002439CC"/>
    <w:rsid w:val="002455E2"/>
    <w:rsid w:val="00250A5B"/>
    <w:rsid w:val="00251335"/>
    <w:rsid w:val="002734B5"/>
    <w:rsid w:val="0028017F"/>
    <w:rsid w:val="002825C8"/>
    <w:rsid w:val="002830F6"/>
    <w:rsid w:val="00297977"/>
    <w:rsid w:val="002A7C88"/>
    <w:rsid w:val="002B2408"/>
    <w:rsid w:val="002B48C8"/>
    <w:rsid w:val="002C62B1"/>
    <w:rsid w:val="002D62ED"/>
    <w:rsid w:val="002E37EB"/>
    <w:rsid w:val="002F2D67"/>
    <w:rsid w:val="0030063A"/>
    <w:rsid w:val="00300959"/>
    <w:rsid w:val="00302C6E"/>
    <w:rsid w:val="0030514A"/>
    <w:rsid w:val="00314A89"/>
    <w:rsid w:val="00320148"/>
    <w:rsid w:val="00320645"/>
    <w:rsid w:val="0034509D"/>
    <w:rsid w:val="00350F4C"/>
    <w:rsid w:val="00357879"/>
    <w:rsid w:val="00364278"/>
    <w:rsid w:val="003679C3"/>
    <w:rsid w:val="00381F94"/>
    <w:rsid w:val="003869B9"/>
    <w:rsid w:val="003902BE"/>
    <w:rsid w:val="003907F3"/>
    <w:rsid w:val="003B4D1D"/>
    <w:rsid w:val="003B5E3B"/>
    <w:rsid w:val="003C56C3"/>
    <w:rsid w:val="003C6FD2"/>
    <w:rsid w:val="003F3BA6"/>
    <w:rsid w:val="003F40B2"/>
    <w:rsid w:val="003F5E63"/>
    <w:rsid w:val="00401520"/>
    <w:rsid w:val="00404347"/>
    <w:rsid w:val="004078AF"/>
    <w:rsid w:val="00421ECA"/>
    <w:rsid w:val="00424DE6"/>
    <w:rsid w:val="004329AB"/>
    <w:rsid w:val="00433C44"/>
    <w:rsid w:val="004405AA"/>
    <w:rsid w:val="00453736"/>
    <w:rsid w:val="004540AA"/>
    <w:rsid w:val="004605B2"/>
    <w:rsid w:val="00471A61"/>
    <w:rsid w:val="004821E6"/>
    <w:rsid w:val="004A1318"/>
    <w:rsid w:val="004A2D30"/>
    <w:rsid w:val="004B7C8C"/>
    <w:rsid w:val="004F0C5C"/>
    <w:rsid w:val="004F40E0"/>
    <w:rsid w:val="004F4254"/>
    <w:rsid w:val="004F60D9"/>
    <w:rsid w:val="00500D87"/>
    <w:rsid w:val="005166AB"/>
    <w:rsid w:val="00521FA8"/>
    <w:rsid w:val="00522A6A"/>
    <w:rsid w:val="00527F5E"/>
    <w:rsid w:val="00535718"/>
    <w:rsid w:val="005408B1"/>
    <w:rsid w:val="00541179"/>
    <w:rsid w:val="005435FD"/>
    <w:rsid w:val="0055165C"/>
    <w:rsid w:val="005517D4"/>
    <w:rsid w:val="00553585"/>
    <w:rsid w:val="00565EDD"/>
    <w:rsid w:val="00570AC5"/>
    <w:rsid w:val="00574FE8"/>
    <w:rsid w:val="005977F9"/>
    <w:rsid w:val="00597A8B"/>
    <w:rsid w:val="005A1CA6"/>
    <w:rsid w:val="005A6771"/>
    <w:rsid w:val="005A7D5D"/>
    <w:rsid w:val="005B2091"/>
    <w:rsid w:val="005C602F"/>
    <w:rsid w:val="005D2FE0"/>
    <w:rsid w:val="005D37FD"/>
    <w:rsid w:val="005F0D70"/>
    <w:rsid w:val="006137A9"/>
    <w:rsid w:val="00614AF2"/>
    <w:rsid w:val="006225C7"/>
    <w:rsid w:val="0063223C"/>
    <w:rsid w:val="00633201"/>
    <w:rsid w:val="0063602E"/>
    <w:rsid w:val="006407E3"/>
    <w:rsid w:val="006424E7"/>
    <w:rsid w:val="00647E8F"/>
    <w:rsid w:val="006650C9"/>
    <w:rsid w:val="00682D1E"/>
    <w:rsid w:val="0068713F"/>
    <w:rsid w:val="00694F95"/>
    <w:rsid w:val="006A45CB"/>
    <w:rsid w:val="006A5162"/>
    <w:rsid w:val="006A795D"/>
    <w:rsid w:val="006B450E"/>
    <w:rsid w:val="006B714E"/>
    <w:rsid w:val="006C1F43"/>
    <w:rsid w:val="006C2EA3"/>
    <w:rsid w:val="006C5E6E"/>
    <w:rsid w:val="006C77B8"/>
    <w:rsid w:val="00706B10"/>
    <w:rsid w:val="0071067C"/>
    <w:rsid w:val="00711FE1"/>
    <w:rsid w:val="00713FEA"/>
    <w:rsid w:val="00725422"/>
    <w:rsid w:val="0072552F"/>
    <w:rsid w:val="007256CB"/>
    <w:rsid w:val="0074440C"/>
    <w:rsid w:val="00750520"/>
    <w:rsid w:val="007624F2"/>
    <w:rsid w:val="00766752"/>
    <w:rsid w:val="00770B8D"/>
    <w:rsid w:val="00771F0A"/>
    <w:rsid w:val="00781AB3"/>
    <w:rsid w:val="00781BE4"/>
    <w:rsid w:val="00783AA8"/>
    <w:rsid w:val="00785E92"/>
    <w:rsid w:val="00786B20"/>
    <w:rsid w:val="007877EE"/>
    <w:rsid w:val="00797BAD"/>
    <w:rsid w:val="007A3861"/>
    <w:rsid w:val="007B1BD3"/>
    <w:rsid w:val="007B45BB"/>
    <w:rsid w:val="007C6408"/>
    <w:rsid w:val="007D6620"/>
    <w:rsid w:val="007E1ED5"/>
    <w:rsid w:val="007F6232"/>
    <w:rsid w:val="00800E75"/>
    <w:rsid w:val="00805F8D"/>
    <w:rsid w:val="0081354A"/>
    <w:rsid w:val="008138CF"/>
    <w:rsid w:val="008201B0"/>
    <w:rsid w:val="00821EDE"/>
    <w:rsid w:val="00826F00"/>
    <w:rsid w:val="008467F1"/>
    <w:rsid w:val="00857310"/>
    <w:rsid w:val="00865211"/>
    <w:rsid w:val="00877456"/>
    <w:rsid w:val="008829EF"/>
    <w:rsid w:val="00883400"/>
    <w:rsid w:val="00891FD8"/>
    <w:rsid w:val="0089758A"/>
    <w:rsid w:val="008A2956"/>
    <w:rsid w:val="008A714B"/>
    <w:rsid w:val="008B1629"/>
    <w:rsid w:val="008B1986"/>
    <w:rsid w:val="008C1DCF"/>
    <w:rsid w:val="008C2F43"/>
    <w:rsid w:val="008C3496"/>
    <w:rsid w:val="008D0D2E"/>
    <w:rsid w:val="008D172A"/>
    <w:rsid w:val="008D37CF"/>
    <w:rsid w:val="008E25D2"/>
    <w:rsid w:val="008F77DD"/>
    <w:rsid w:val="0090351E"/>
    <w:rsid w:val="009100AF"/>
    <w:rsid w:val="009130F2"/>
    <w:rsid w:val="00920577"/>
    <w:rsid w:val="00925055"/>
    <w:rsid w:val="009269C3"/>
    <w:rsid w:val="00945BB4"/>
    <w:rsid w:val="00946DFF"/>
    <w:rsid w:val="009472D9"/>
    <w:rsid w:val="00953D1D"/>
    <w:rsid w:val="00955DB0"/>
    <w:rsid w:val="009626C5"/>
    <w:rsid w:val="00970E9C"/>
    <w:rsid w:val="00972292"/>
    <w:rsid w:val="009851CF"/>
    <w:rsid w:val="00985551"/>
    <w:rsid w:val="009A7AF8"/>
    <w:rsid w:val="009C085C"/>
    <w:rsid w:val="009D32C7"/>
    <w:rsid w:val="009F0C4A"/>
    <w:rsid w:val="00A1242D"/>
    <w:rsid w:val="00A16255"/>
    <w:rsid w:val="00A355EA"/>
    <w:rsid w:val="00A36D25"/>
    <w:rsid w:val="00A437AC"/>
    <w:rsid w:val="00A50F07"/>
    <w:rsid w:val="00A55A0C"/>
    <w:rsid w:val="00A62ABE"/>
    <w:rsid w:val="00A63443"/>
    <w:rsid w:val="00A676CD"/>
    <w:rsid w:val="00A7004B"/>
    <w:rsid w:val="00A70DF1"/>
    <w:rsid w:val="00A7181A"/>
    <w:rsid w:val="00AA1366"/>
    <w:rsid w:val="00AA13CD"/>
    <w:rsid w:val="00AB4801"/>
    <w:rsid w:val="00AC232D"/>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E0422"/>
    <w:rsid w:val="00BF08A8"/>
    <w:rsid w:val="00BF24C3"/>
    <w:rsid w:val="00C133E8"/>
    <w:rsid w:val="00C301A4"/>
    <w:rsid w:val="00C34755"/>
    <w:rsid w:val="00C36F42"/>
    <w:rsid w:val="00C537FD"/>
    <w:rsid w:val="00C674A1"/>
    <w:rsid w:val="00C70F1C"/>
    <w:rsid w:val="00C75503"/>
    <w:rsid w:val="00C87DDD"/>
    <w:rsid w:val="00C90A36"/>
    <w:rsid w:val="00CA51F0"/>
    <w:rsid w:val="00CA7668"/>
    <w:rsid w:val="00CB2AFE"/>
    <w:rsid w:val="00CC03A0"/>
    <w:rsid w:val="00CC3C99"/>
    <w:rsid w:val="00CC6499"/>
    <w:rsid w:val="00CC7C68"/>
    <w:rsid w:val="00CD382E"/>
    <w:rsid w:val="00CD7645"/>
    <w:rsid w:val="00CE18D7"/>
    <w:rsid w:val="00CE2A7B"/>
    <w:rsid w:val="00CE5623"/>
    <w:rsid w:val="00CF026A"/>
    <w:rsid w:val="00CF2A6C"/>
    <w:rsid w:val="00CF3074"/>
    <w:rsid w:val="00D043F4"/>
    <w:rsid w:val="00D1144E"/>
    <w:rsid w:val="00D17BEC"/>
    <w:rsid w:val="00D23BAE"/>
    <w:rsid w:val="00D32F68"/>
    <w:rsid w:val="00D33985"/>
    <w:rsid w:val="00D344D8"/>
    <w:rsid w:val="00D45354"/>
    <w:rsid w:val="00D50386"/>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12F60"/>
    <w:rsid w:val="00E16064"/>
    <w:rsid w:val="00E22DF5"/>
    <w:rsid w:val="00E37D4A"/>
    <w:rsid w:val="00E42DEF"/>
    <w:rsid w:val="00E44545"/>
    <w:rsid w:val="00E445BB"/>
    <w:rsid w:val="00E66B3E"/>
    <w:rsid w:val="00E72980"/>
    <w:rsid w:val="00E76BAA"/>
    <w:rsid w:val="00E83EAE"/>
    <w:rsid w:val="00E87528"/>
    <w:rsid w:val="00E90881"/>
    <w:rsid w:val="00E96C3E"/>
    <w:rsid w:val="00EA33EF"/>
    <w:rsid w:val="00EA738F"/>
    <w:rsid w:val="00EA793C"/>
    <w:rsid w:val="00EA7973"/>
    <w:rsid w:val="00EB0471"/>
    <w:rsid w:val="00EB04E4"/>
    <w:rsid w:val="00EB1127"/>
    <w:rsid w:val="00EB4271"/>
    <w:rsid w:val="00EB7FC6"/>
    <w:rsid w:val="00EC029F"/>
    <w:rsid w:val="00EC047F"/>
    <w:rsid w:val="00EC0613"/>
    <w:rsid w:val="00EC4135"/>
    <w:rsid w:val="00ED13BE"/>
    <w:rsid w:val="00EF7BB9"/>
    <w:rsid w:val="00F123FE"/>
    <w:rsid w:val="00F32A3A"/>
    <w:rsid w:val="00F42DBD"/>
    <w:rsid w:val="00F474E8"/>
    <w:rsid w:val="00F477CF"/>
    <w:rsid w:val="00F51600"/>
    <w:rsid w:val="00F52B5F"/>
    <w:rsid w:val="00F53E5A"/>
    <w:rsid w:val="00F54BA9"/>
    <w:rsid w:val="00F55CE4"/>
    <w:rsid w:val="00F613F1"/>
    <w:rsid w:val="00F701D7"/>
    <w:rsid w:val="00F7681F"/>
    <w:rsid w:val="00F84C19"/>
    <w:rsid w:val="00F8705F"/>
    <w:rsid w:val="00F93924"/>
    <w:rsid w:val="00F9593A"/>
    <w:rsid w:val="00FB64A8"/>
    <w:rsid w:val="00FC1467"/>
    <w:rsid w:val="00FC15AE"/>
    <w:rsid w:val="00FD328C"/>
    <w:rsid w:val="00FE0D8A"/>
    <w:rsid w:val="00FF06F8"/>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3F0918"/>
    <w:rsid w:val="00416EC8"/>
    <w:rsid w:val="00485C98"/>
    <w:rsid w:val="004B3649"/>
    <w:rsid w:val="0068713F"/>
    <w:rsid w:val="00793C32"/>
    <w:rsid w:val="008651AE"/>
    <w:rsid w:val="0098531E"/>
    <w:rsid w:val="00A05C92"/>
    <w:rsid w:val="00B5088B"/>
    <w:rsid w:val="00BD7B98"/>
    <w:rsid w:val="00C32E1E"/>
    <w:rsid w:val="00C4429B"/>
    <w:rsid w:val="00CC0068"/>
    <w:rsid w:val="00D5147D"/>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isTemporary&quot;:false}]},{&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NvbnRhaW5lci10aXRsZS1zaG9ydCI6IkNsaW4gVG94aWNvbC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container-title-short&quot;:&quot;Clin Toxicol&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isTemporary&quot;:false}]},{&quot;citationID&quot;:&quot;MENDELEY_CITATION_4baaeb8b-5b5c-4f1f-b9ac-c144712c2043&quot;,&quot;properties&quot;:{&quot;noteIndex&quot;:0},&quot;isEdited&quot;:false,&quot;manualOverride&quot;:{&quot;isManuallyOverridden&quot;:false,&quot;citeprocText&quot;:&quot;(3)&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container-title-short&quot;:&quot;Eur J Intern Med&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isTemporary&quot;:false}]},{&quot;citationID&quot;:&quot;MENDELEY_CITATION_4b512d4e-a2df-47e6-988c-57391c2554d6&quot;,&quot;properties&quot;:{&quot;noteIndex&quot;:0},&quot;isEdited&quot;:false,&quot;manualOverride&quot;:{&quot;isManuallyOverridden&quot;:false,&quot;citeprocText&quot;:&quot;(4)&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Q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f0202d52-e98a-47cc-b8eb-c911f061a3cc&quot;,&quot;properties&quot;:{&quot;noteIndex&quot;:0},&quot;isEdited&quot;:false,&quot;manualOverride&quot;:{&quot;isManuallyOverridden&quot;:false,&quot;citeprocText&quot;:&quot;(5)&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container-title-short&quot;:&quot;Arch Intern Med&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isTemporary&quot;:false}]},{&quot;citationID&quot;:&quot;MENDELEY_CITATION_088c4e5e-1f0c-4eb9-b9ad-3c42eabaeaf2&quot;,&quot;properties&quot;:{&quot;noteIndex&quot;:0},&quot;isEdited&quot;:false,&quot;manualOverride&quot;:{&quot;isManuallyOverridden&quot;:false,&quot;citeprocText&quot;:&quot;(6)&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7,8)&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container-title-short&quot;:&quot;Hum Exp Toxicol&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9,10)&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ksMTA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&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container-title-short&quot;:&quot;Clin Toxicol&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isTemporary&quot;:false}]},{&quot;citationID&quot;:&quot;MENDELEY_CITATION_c11ab618-1f24-4198-be60-0031a1d6c571&quot;,&quot;properties&quot;:{&quot;noteIndex&quot;:0},&quot;isEdited&quot;:false,&quot;manualOverride&quot;:{&quot;isManuallyOverridden&quot;:false,&quot;citeprocText&quot;:&quot;(9)&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k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bb3a1479-cd14-4c23-81ef-6525df102270&quot;,&quot;properties&quot;:{&quot;noteIndex&quot;:0},&quot;isEdited&quot;:false,&quot;manualOverride&quot;:{&quot;isManuallyOverridden&quot;:false,&quot;citeprocText&quot;:&quot;(11,12)&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xLDEy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0a26a587-3b69-43dd-9661-0f2597324bbe&quot;,&quot;properties&quot;:{&quot;noteIndex&quot;:0},&quot;isEdited&quot;:false,&quot;manualOverride&quot;:{&quot;isManuallyOverridden&quot;:false,&quot;citeprocText&quot;:&quot;(13)&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z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ea07245-9009-4600-b523-93254911cd62&quot;,&quot;properties&quot;:{&quot;noteIndex&quot;:0},&quot;isEdited&quot;:false,&quot;manualOverride&quot;:{&quot;isManuallyOverridden&quot;:false,&quot;citeprocText&quot;:&quot;(14)&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fcd5748-4c93-4adb-8b3e-0c21e9c9b912&quot;,&quot;properties&quot;:{&quot;noteIndex&quot;:0},&quot;isEdited&quot;:false,&quot;manualOverride&quot;:{&quot;isManuallyOverridden&quot;:false,&quot;citeprocText&quot;:&quot;(15,16)&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1LDE2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4)&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4)&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4)&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32d3ba16-f4dd-46c1-8639-c06428d79387&quot;,&quot;properties&quot;:{&quot;noteIndex&quot;:0},&quot;isEdited&quot;:false,&quot;manualOverride&quot;:{&quot;isManuallyOverridden&quot;:false,&quot;citeprocText&quot;:&quot;(14)&quot;,&quot;manualOverrideText&quot;:&quot;&quot;},&quot;citationTag&quot;:&quot;MENDELEY_CITATION_v3_eyJjaXRhdGlvbklEIjoiTUVOREVMRVlfQ0lUQVRJT05fMzJkM2JhMTYtZjRkZC00NmMxLTg2MzktYzA2NDI4ZDc5Mzg3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7,18)&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115</cp:revision>
  <cp:lastPrinted>2025-02-14T19:47:00Z</cp:lastPrinted>
  <dcterms:created xsi:type="dcterms:W3CDTF">2025-02-17T14:29:00Z</dcterms:created>
  <dcterms:modified xsi:type="dcterms:W3CDTF">2025-02-20T14:18:00Z</dcterms:modified>
</cp:coreProperties>
</file>