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18F4B294" w:rsidR="001A190F" w:rsidRDefault="00FF06F8">
      <w:pPr>
        <w:spacing w:before="240" w:line="360" w:lineRule="auto"/>
        <w:rPr>
          <w:lang w:val="en-US"/>
        </w:rPr>
      </w:pPr>
      <w:r>
        <w:rPr>
          <w:lang w:val="en-US"/>
        </w:rPr>
        <w:t xml:space="preserve">Although poisoning is a major public health problem, severe clinical outcomes are rare. Of the 2,483,183 calls to Poison Control in the United States,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00453736" w:rsidRPr="00453736">
            <w:rPr>
              <w:color w:val="000000"/>
              <w:lang w:val="en-US"/>
            </w:rPr>
            <w:t>(1)</w:t>
          </w:r>
        </w:sdtContent>
      </w:sdt>
      <w:r>
        <w:rPr>
          <w:lang w:val="en-US"/>
        </w:rPr>
        <w:t>.</w:t>
      </w:r>
      <w:r w:rsidR="001A190F">
        <w:rPr>
          <w:lang w:val="en-US"/>
        </w:rPr>
        <w:t xml:space="preserve"> The rarity of </w:t>
      </w:r>
      <w:r w:rsidR="008C3496">
        <w:rPr>
          <w:lang w:val="en-US"/>
        </w:rPr>
        <w:t>life-threatening</w:t>
      </w:r>
      <w:r w:rsidR="001A190F">
        <w:rPr>
          <w:lang w:val="en-US"/>
        </w:rPr>
        <w:t xml:space="preserve"> ingestions leads to</w:t>
      </w:r>
      <w:r w:rsidR="008C3496">
        <w:rPr>
          <w:lang w:val="en-US"/>
        </w:rPr>
        <w:t xml:space="preserve"> the diagnostic challenge of how to identify ingestions that require intensive intervention</w:t>
      </w:r>
      <w:r w:rsidR="001A190F">
        <w:rPr>
          <w:lang w:val="en-US"/>
        </w:rPr>
        <w:t>. Approximately 25%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
          <w:id w:val="370730654"/>
          <w:placeholder>
            <w:docPart w:val="DefaultPlaceholder_-1854013440"/>
          </w:placeholder>
        </w:sdtPr>
        <w:sdtContent>
          <w:r w:rsidR="00453736" w:rsidRPr="00453736">
            <w:rPr>
              <w:color w:val="000000"/>
              <w:lang w:val="en-US"/>
            </w:rPr>
            <w:t>(2)</w:t>
          </w:r>
        </w:sdtContent>
      </w:sdt>
      <w:r w:rsidR="008C3496">
        <w:rPr>
          <w:lang w:val="en-US"/>
        </w:rPr>
        <w:t xml:space="preserve">, suggesting there is substantial opportunity to improve resource allocation.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ICU) need mechanical ventilation or vasopressors</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453736" w:rsidRPr="00453736">
            <w:rPr>
              <w:bCs/>
              <w:color w:val="000000"/>
              <w:lang w:val="en-US"/>
            </w:rPr>
            <w:t>(3)</w:t>
          </w:r>
        </w:sdtContent>
      </w:sdt>
      <w:r w:rsidR="008C3496">
        <w:rPr>
          <w:bCs/>
          <w:color w:val="000000"/>
          <w:lang w:val="en-US"/>
        </w:rPr>
        <w:t>.</w:t>
      </w:r>
      <w:r w:rsidR="00302C6E">
        <w:rPr>
          <w:bCs/>
          <w:color w:val="000000"/>
          <w:lang w:val="en-US"/>
        </w:rPr>
        <w:t xml:space="preserve"> </w:t>
      </w:r>
      <w:r w:rsidR="00302C6E" w:rsidRPr="00B149C3">
        <w:rPr>
          <w:lang w:val="en-US"/>
        </w:rPr>
        <w:t xml:space="preserve">Admitting </w:t>
      </w:r>
      <w:r w:rsidR="00302C6E">
        <w:rPr>
          <w:lang w:val="en-US"/>
        </w:rPr>
        <w:t xml:space="preserve">a poisoned </w:t>
      </w:r>
      <w:r w:rsidR="00302C6E" w:rsidRPr="00B149C3">
        <w:rPr>
          <w:lang w:val="en-US"/>
        </w:rPr>
        <w:t>patient to the ICU who do</w:t>
      </w:r>
      <w:r w:rsidR="00302C6E">
        <w:rPr>
          <w:lang w:val="en-US"/>
        </w:rPr>
        <w:t>es</w:t>
      </w:r>
      <w:r w:rsidR="00302C6E" w:rsidRPr="00B149C3">
        <w:rPr>
          <w:lang w:val="en-US"/>
        </w:rPr>
        <w:t xml:space="preserve"> not require that level of care </w:t>
      </w:r>
      <w:r w:rsidR="00302C6E">
        <w:rPr>
          <w:lang w:val="en-US"/>
        </w:rPr>
        <w:t>increases their chance of unnecessary testing</w:t>
      </w:r>
      <w:r w:rsidR="00302C6E" w:rsidRPr="00B149C3">
        <w:rPr>
          <w:lang w:val="en-US"/>
        </w:rPr>
        <w:t xml:space="preserve"> and reduces ICU capacity.</w:t>
      </w:r>
    </w:p>
    <w:p w14:paraId="2CE5FF12" w14:textId="1BBC51CA" w:rsidR="00DB2EAD" w:rsidRDefault="00453736">
      <w:pPr>
        <w:spacing w:before="240" w:line="360" w:lineRule="auto"/>
        <w:rPr>
          <w:lang w:val="en-US"/>
        </w:rPr>
      </w:pPr>
      <w:r>
        <w:rPr>
          <w:lang w:val="en-US"/>
        </w:rPr>
        <w:t xml:space="preserve">The success of clinical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
          <w:id w:val="797575358"/>
          <w:placeholder>
            <w:docPart w:val="6C90DA15371748448AF5B1E67FBB0F88"/>
          </w:placeholder>
        </w:sdtPr>
        <w:sdtContent>
          <w:r w:rsidRPr="00453736">
            <w:rPr>
              <w:color w:val="000000"/>
              <w:lang w:val="en-US"/>
            </w:rPr>
            <w:t>(5)</w:t>
          </w:r>
        </w:sdtContent>
      </w:sdt>
      <w:r>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Pr="00453736">
            <w:rPr>
              <w:color w:val="000000"/>
              <w:lang w:val="en-US"/>
            </w:rPr>
            <w:t>(6)</w:t>
          </w:r>
        </w:sdtContent>
      </w:sdt>
      <w:r>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Pr="00453736">
            <w:rPr>
              <w:color w:val="000000"/>
              <w:lang w:val="en-US"/>
            </w:rPr>
            <w:t>(7,8)</w:t>
          </w:r>
        </w:sdtContent>
      </w:sdt>
      <w:r>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
          <w:id w:val="-1612661734"/>
          <w:placeholder>
            <w:docPart w:val="6C90DA15371748448AF5B1E67FBB0F88"/>
          </w:placeholder>
        </w:sdtPr>
        <w:sdtContent>
          <w:r w:rsidRPr="00453736">
            <w:rPr>
              <w:color w:val="000000"/>
              <w:lang w:val="en-US"/>
            </w:rPr>
            <w:t>(4,9)</w:t>
          </w:r>
        </w:sdtContent>
      </w:sdt>
      <w:r>
        <w:rPr>
          <w:lang w:val="en-US"/>
        </w:rPr>
        <w:t xml:space="preserve"> demonstrate that clinical decision tools can improve resource allocation by identifying those at risk for toxicity after exposure.</w:t>
      </w:r>
      <w:r w:rsidR="008C3496">
        <w:rPr>
          <w:lang w:val="en-US"/>
        </w:rPr>
        <w:t xml:space="preserve"> A</w:t>
      </w:r>
      <w:r w:rsidR="001A190F" w:rsidRPr="00B149C3">
        <w:rPr>
          <w:lang w:val="en-US"/>
        </w:rPr>
        <w:t>dmitting all ingestions of more than 450 mg of bupropion to the ICU for 24 hours to observe for ventricular dysrhythmias</w:t>
      </w:r>
      <w:r w:rsidR="001A190F">
        <w:rPr>
          <w:lang w:val="en-US"/>
        </w:rPr>
        <w:t xml:space="preserve"> or status epilepticus</w:t>
      </w:r>
      <w:r w:rsidR="001A190F" w:rsidRPr="00B149C3">
        <w:rPr>
          <w:lang w:val="en-US"/>
        </w:rPr>
        <w:t xml:space="preserve"> leads to approximately 2,000 unnecessary ICU admissions across the United States each year</w:t>
      </w:r>
      <w:r w:rsidR="008C3496">
        <w:rPr>
          <w:lang w:val="en-US"/>
        </w:rPr>
        <w:t>,</w:t>
      </w:r>
      <w:r w:rsidR="001A190F">
        <w:rPr>
          <w:lang w:val="en-US"/>
        </w:rPr>
        <w:t xml:space="preserve"> admissions that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3D6BAF4CA32D64EAF09A537B9E1700E"/>
          </w:placeholder>
        </w:sdtPr>
        <w:sdtContent>
          <w:r w:rsidRPr="00453736">
            <w:rPr>
              <w:color w:val="000000"/>
              <w:lang w:val="en-US"/>
            </w:rPr>
            <w:t>(4)</w:t>
          </w:r>
        </w:sdtContent>
      </w:sdt>
      <w:r w:rsidR="009269C3">
        <w:rPr>
          <w:lang w:val="en-US"/>
        </w:rPr>
        <w:t xml:space="preserve">. </w:t>
      </w:r>
    </w:p>
    <w:p w14:paraId="031BADF0" w14:textId="7019E18F" w:rsidR="007624F2" w:rsidRDefault="00F9593A" w:rsidP="0063602E">
      <w:pPr>
        <w:spacing w:before="240" w:line="360" w:lineRule="auto"/>
        <w:rPr>
          <w:lang w:val="en-US"/>
        </w:rPr>
      </w:pPr>
      <w:r>
        <w:rPr>
          <w:lang w:val="en-US"/>
        </w:rPr>
        <w:t xml:space="preserve">Despite their success, these decision support tools do not apply when </w:t>
      </w:r>
      <w:r w:rsidR="009269C3">
        <w:rPr>
          <w:lang w:val="en-US"/>
        </w:rPr>
        <w:t>the xenobiotic ingest</w:t>
      </w:r>
      <w:r w:rsidR="00302C6E">
        <w:rPr>
          <w:lang w:val="en-US"/>
        </w:rPr>
        <w:t>ed</w:t>
      </w:r>
      <w:r>
        <w:rPr>
          <w:lang w:val="en-US"/>
        </w:rPr>
        <w:t xml:space="preserve"> is unknown</w:t>
      </w:r>
      <w:r w:rsidR="009269C3">
        <w:rPr>
          <w:lang w:val="en-US"/>
        </w:rPr>
        <w:t xml:space="preserve"> or </w:t>
      </w:r>
      <w:r>
        <w:rPr>
          <w:lang w:val="en-US"/>
        </w:rPr>
        <w:t xml:space="preserve">when </w:t>
      </w:r>
      <w:r w:rsidR="009269C3">
        <w:rPr>
          <w:lang w:val="en-US"/>
        </w:rPr>
        <w:t xml:space="preserve">multiple substances </w:t>
      </w:r>
      <w:r>
        <w:rPr>
          <w:lang w:val="en-US"/>
        </w:rPr>
        <w:t>are</w:t>
      </w:r>
      <w:r w:rsidR="009269C3">
        <w:rPr>
          <w:lang w:val="en-US"/>
        </w:rPr>
        <w:t xml:space="preserve"> ingested. </w:t>
      </w:r>
      <w:r w:rsidR="007877EE">
        <w:rPr>
          <w:lang w:val="en-US"/>
        </w:rPr>
        <w:t xml:space="preserve">Prior attempts at classifying the severity of an exposure without using xenobiotic-specific data 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
          <w:id w:val="665215428"/>
          <w:placeholder>
            <w:docPart w:val="DefaultPlaceholder_-1854013440"/>
          </w:placeholder>
        </w:sdtPr>
        <w:sdtContent>
          <w:r w:rsidR="00453736" w:rsidRPr="00453736">
            <w:rPr>
              <w:color w:val="000000"/>
              <w:lang w:val="en-US"/>
            </w:rPr>
            <w:t>(10,11)</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whether poisoned patients required ICU admission or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9626C5">
            <w:rPr>
              <w:color w:val="000000"/>
              <w:lang w:val="en-US"/>
            </w:rPr>
            <w:t xml:space="preserve"> </w:t>
          </w:r>
          <w:r w:rsidR="00453736" w:rsidRPr="00453736">
            <w:rPr>
              <w:color w:val="000000"/>
              <w:lang w:val="en-US"/>
            </w:rPr>
            <w:t>(12)</w:t>
          </w:r>
        </w:sdtContent>
      </w:sdt>
      <w:r w:rsidRPr="00B149C3">
        <w:rPr>
          <w:lang w:val="en-US"/>
        </w:rPr>
        <w:t xml:space="preserve">. </w:t>
      </w:r>
      <w:r w:rsidR="009626C5">
        <w:rPr>
          <w:lang w:val="en-US"/>
        </w:rPr>
        <w:t xml:space="preserve">The algorithm,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02964521" w14:textId="4DF7B650" w:rsidR="001F2A7F" w:rsidRPr="00F9593A" w:rsidRDefault="001C1218" w:rsidP="0063602E">
      <w:pPr>
        <w:spacing w:before="240" w:line="360" w:lineRule="auto"/>
        <w:rPr>
          <w:lang w:val="en-US"/>
        </w:rPr>
      </w:pPr>
      <w:r>
        <w:rPr>
          <w:lang w:val="en-US"/>
        </w:rPr>
        <w:t>In th</w:t>
      </w:r>
      <w:r w:rsidR="00BE0422">
        <w:rPr>
          <w:lang w:val="en-US"/>
        </w:rPr>
        <w:t>e</w:t>
      </w:r>
      <w:r>
        <w:rPr>
          <w:lang w:val="en-US"/>
        </w:rPr>
        <w:t xml:space="preserve"> initial derivation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Pr="00B149C3">
        <w:rPr>
          <w:lang w:val="en-US"/>
        </w:rPr>
        <w:t xml:space="preserve">. If INTOXICATE </w:t>
      </w:r>
      <w:r w:rsidR="00D8022F">
        <w:rPr>
          <w:lang w:val="en-US"/>
        </w:rPr>
        <w:t xml:space="preserve">generalizes to </w:t>
      </w:r>
      <w:r w:rsidRPr="00B149C3">
        <w:rPr>
          <w:lang w:val="en-US"/>
        </w:rPr>
        <w:t>the American healthcare system, it would improve the care of poisoned patients and increase ICU</w:t>
      </w:r>
      <w:r w:rsidR="00B56D67">
        <w:rPr>
          <w:lang w:val="en-US"/>
        </w:rPr>
        <w:t xml:space="preserve"> capacity</w:t>
      </w:r>
      <w:r w:rsidRPr="00B149C3">
        <w:rPr>
          <w:lang w:val="en-US"/>
        </w:rPr>
        <w:t xml:space="preserve">. </w:t>
      </w:r>
      <w:r w:rsidR="00FB64A8">
        <w:rPr>
          <w:lang w:val="en-US"/>
        </w:rPr>
        <w:t xml:space="preserve">Unlike the </w:t>
      </w:r>
      <w:r w:rsidR="00FB64A8">
        <w:rPr>
          <w:lang w:val="en-US"/>
        </w:rPr>
        <w:lastRenderedPageBreak/>
        <w:t xml:space="preserve">Netherlands, </w:t>
      </w:r>
      <w:r w:rsidR="001F2A7F">
        <w:rPr>
          <w:lang w:val="en-US"/>
        </w:rPr>
        <w:t xml:space="preserve">the initial level of care of a poisoned patient is usually determined by the Emergency Physician in consultation with </w:t>
      </w:r>
      <w:r w:rsidR="004A2D30">
        <w:rPr>
          <w:lang w:val="en-US"/>
        </w:rPr>
        <w:t>bedside toxicology or Poison Control</w:t>
      </w:r>
      <w:r w:rsidR="00FB64A8">
        <w:rPr>
          <w:lang w:val="en-US"/>
        </w:rPr>
        <w:t xml:space="preserve"> in the American healthcare system.</w:t>
      </w:r>
    </w:p>
    <w:p w14:paraId="7ABC7D50" w14:textId="55D2F684" w:rsidR="00B00952" w:rsidRDefault="002734B5">
      <w:pPr>
        <w:spacing w:before="240" w:line="360" w:lineRule="auto"/>
        <w:rPr>
          <w:lang w:val="en-US"/>
        </w:rPr>
      </w:pPr>
      <w:r>
        <w:rPr>
          <w:lang w:val="en-US"/>
        </w:rPr>
        <w:t>The goal</w:t>
      </w:r>
      <w:r w:rsidR="00F7681F">
        <w:rPr>
          <w:lang w:val="en-US"/>
        </w:rPr>
        <w:t>s</w:t>
      </w:r>
      <w:r>
        <w:rPr>
          <w:lang w:val="en-US"/>
        </w:rPr>
        <w:t xml:space="preserve"> of </w:t>
      </w:r>
      <w:r w:rsidR="00401520">
        <w:rPr>
          <w:lang w:val="en-US"/>
        </w:rPr>
        <w:t>our</w:t>
      </w:r>
      <w:r>
        <w:rPr>
          <w:lang w:val="en-US"/>
        </w:rPr>
        <w:t xml:space="preserve"> study </w:t>
      </w:r>
      <w:r w:rsidR="00401520">
        <w:rPr>
          <w:lang w:val="en-US"/>
        </w:rPr>
        <w:t>were</w:t>
      </w:r>
      <w:r>
        <w:rPr>
          <w:lang w:val="en-US"/>
        </w:rPr>
        <w:t xml:space="preserve"> to </w:t>
      </w:r>
      <w:r w:rsidR="00F7681F">
        <w:rPr>
          <w:lang w:val="en-US"/>
        </w:rPr>
        <w:t>determine INTOXICATE</w:t>
      </w:r>
      <w:r w:rsidR="00DE65D6">
        <w:rPr>
          <w:lang w:val="en-US"/>
        </w:rPr>
        <w:t>’s</w:t>
      </w:r>
      <w:r w:rsidR="00F7681F">
        <w:rPr>
          <w:lang w:val="en-US"/>
        </w:rPr>
        <w:t xml:space="preserve"> performance in the American healthcare system and to </w:t>
      </w:r>
      <w:r w:rsidR="001F2A7F">
        <w:rPr>
          <w:lang w:val="en-US"/>
        </w:rPr>
        <w:t>evaluate the agreement between</w:t>
      </w:r>
      <w:r>
        <w:rPr>
          <w:lang w:val="en-US"/>
        </w:rPr>
        <w:t xml:space="preserve"> INTOXICATE</w:t>
      </w:r>
      <w:r w:rsidR="001F2A7F">
        <w:rPr>
          <w:lang w:val="en-US"/>
        </w:rPr>
        <w:t>’s assessment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4274FA08"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the initial derivation study did not</w:t>
      </w:r>
      <w:r w:rsidR="006A45CB">
        <w:rPr>
          <w:lang w:val="en-US"/>
        </w:rPr>
        <w:t xml:space="preserve"> because adolescents comprise </w:t>
      </w:r>
      <w:r w:rsidR="00EC4135">
        <w:rPr>
          <w:lang w:val="en-US"/>
        </w:rPr>
        <w:t xml:space="preserve"> </w:t>
      </w:r>
      <w:r w:rsidR="00EC047F">
        <w:rPr>
          <w:lang w:val="en-US"/>
        </w:rPr>
        <w:t>130/605 (21</w:t>
      </w:r>
      <w:r w:rsidR="007B45BB">
        <w:rPr>
          <w:lang w:val="en-US"/>
        </w:rPr>
        <w:t>%</w:t>
      </w:r>
      <w:r w:rsidR="00EC047F">
        <w:rPr>
          <w:lang w:val="en-US"/>
        </w:rPr>
        <w:t>)</w:t>
      </w:r>
      <w:r w:rsidR="007B45BB">
        <w:rPr>
          <w:lang w:val="en-US"/>
        </w:rPr>
        <w:t xml:space="preserve"> of our consultations and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453736" w:rsidRPr="00453736">
            <w:rPr>
              <w:color w:val="000000"/>
              <w:lang w:val="en-US"/>
            </w:rPr>
            <w:t>(13,14)</w:t>
          </w:r>
        </w:sdtContent>
      </w:sdt>
      <w:r w:rsidR="00EC047F">
        <w:rPr>
          <w:lang w:val="en-US"/>
        </w:rPr>
        <w:t xml:space="preserve">. </w:t>
      </w:r>
      <w:r w:rsidR="002455E2">
        <w:rPr>
          <w:lang w:val="en-US"/>
        </w:rPr>
        <w:t xml:space="preserve">We postulated that </w:t>
      </w:r>
      <w:r w:rsidR="00EC047F">
        <w:rPr>
          <w:lang w:val="en-US"/>
        </w:rPr>
        <w:t>INTOXICATE generalize</w:t>
      </w:r>
      <w:r w:rsidR="00781AB3">
        <w:rPr>
          <w:lang w:val="en-US"/>
        </w:rPr>
        <w:t>s</w:t>
      </w:r>
      <w:r w:rsidR="00EC047F">
        <w:rPr>
          <w:lang w:val="en-US"/>
        </w:rPr>
        <w:t xml:space="preserve"> to adolescents, who</w:t>
      </w:r>
      <w:r w:rsidR="008467F1">
        <w:rPr>
          <w:lang w:val="en-US"/>
        </w:rPr>
        <w:t xml:space="preserve"> 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r>
        <w:rPr>
          <w:b/>
          <w:i/>
          <w:color w:val="FF0000"/>
        </w:rPr>
        <w:t xml:space="preserve"> [COMMENT: Consider adding stronger justification for including adolescents, as the original study was on adults.]</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53E3B792"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453736" w:rsidRPr="00453736">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367108115"/>
          <w:placeholder>
            <w:docPart w:val="DefaultPlaceholder_-1854013440"/>
          </w:placeholder>
        </w:sdtPr>
        <w:sdtContent>
          <w:r w:rsidR="00453736" w:rsidRPr="00453736">
            <w:rPr>
              <w:color w:val="000000"/>
              <w:lang w:val="en-US"/>
            </w:rPr>
            <w:t>(16)</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proofErr w:type="gramStart"/>
      <w:r w:rsidR="00AD6D3C">
        <w:rPr>
          <w:color w:val="000000"/>
          <w:lang w:val="en-US"/>
        </w:rPr>
        <w:t>brevity</w:t>
      </w:r>
      <w:proofErr w:type="gramEnd"/>
      <w:r w:rsidR="00AD6D3C">
        <w:rPr>
          <w:color w:val="000000"/>
          <w:lang w:val="en-US"/>
        </w:rPr>
        <w:t xml:space="preserve"> we use the term “INTOXICATE” to mean the prediction model presented in </w:t>
      </w:r>
      <w:sdt>
        <w:sdtPr>
          <w:rPr>
            <w:color w:val="000000"/>
            <w:lang w:val="en-US"/>
          </w:rPr>
          <w:tag w:val="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
          <w:id w:val="-1148359118"/>
          <w:placeholder>
            <w:docPart w:val="DefaultPlaceholder_-1854013440"/>
          </w:placeholder>
        </w:sdtPr>
        <w:sdtContent>
          <w:r w:rsidR="00453736" w:rsidRPr="00453736">
            <w:rPr>
              <w:color w:val="000000"/>
              <w:lang w:val="en-US"/>
            </w:rPr>
            <w:t>(12)</w:t>
          </w:r>
        </w:sdtContent>
      </w:sdt>
      <w:r w:rsidR="00AD6D3C">
        <w:rPr>
          <w:color w:val="000000"/>
          <w:lang w:val="en-US"/>
        </w:rPr>
        <w:t xml:space="preserve"> and derived from patients in the INTOXICATE cohort.</w:t>
      </w:r>
    </w:p>
    <w:p w14:paraId="172D42DA" w14:textId="39ADB829" w:rsidR="003C56C3" w:rsidRPr="003C56C3" w:rsidRDefault="0028017F">
      <w:pPr>
        <w:spacing w:before="240" w:line="360" w:lineRule="auto"/>
        <w:rPr>
          <w:color w:val="000000"/>
          <w:lang w:val="en-US"/>
        </w:rPr>
      </w:pPr>
      <w:r>
        <w:rPr>
          <w:color w:val="000000"/>
          <w:lang w:val="en-US"/>
        </w:rPr>
        <w:lastRenderedPageBreak/>
        <w:t xml:space="preserve">INTOXICATE defined dysrhythmia as </w:t>
      </w:r>
      <w:r w:rsidRPr="0028017F">
        <w:rPr>
          <w:color w:val="000000"/>
          <w:lang w:val="en-US"/>
        </w:rPr>
        <w:t>hemodynamic instability in the 24 hours before ICU admission</w:t>
      </w:r>
      <w:r w:rsidR="006A5162">
        <w:rPr>
          <w:color w:val="000000"/>
          <w:lang w:val="en-US"/>
        </w:rPr>
        <w:t xml:space="preserve"> and</w:t>
      </w:r>
      <w:r>
        <w:rPr>
          <w:color w:val="000000"/>
          <w:lang w:val="en-US"/>
        </w:rPr>
        <w:t xml:space="preserve"> a</w:t>
      </w:r>
      <w:r w:rsidRPr="0028017F">
        <w:rPr>
          <w:color w:val="000000"/>
          <w:lang w:val="en-US"/>
        </w:rPr>
        <w:t>rrhythmia</w:t>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 </w:t>
      </w:r>
      <w:r w:rsidR="00084F80">
        <w:rPr>
          <w:color w:val="000000"/>
          <w:lang w:val="en-US"/>
        </w:rPr>
        <w:t>We used the same definition.</w:t>
      </w:r>
    </w:p>
    <w:p w14:paraId="70A9254D" w14:textId="300D6731" w:rsidR="00B00952" w:rsidRPr="00F42DBD" w:rsidRDefault="00320148">
      <w:pPr>
        <w:spacing w:before="240" w:line="360" w:lineRule="auto"/>
        <w:rPr>
          <w:b/>
          <w:lang w:val="en-US"/>
        </w:rPr>
      </w:pPr>
      <w:r>
        <w:rPr>
          <w:iCs/>
          <w:lang w:val="en-US"/>
        </w:rPr>
        <w:t xml:space="preserve">INTOXICATE considers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0C310A2F" w14:textId="77777777" w:rsidR="00DA513A"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and did not die during admission. </w:t>
      </w:r>
    </w:p>
    <w:p w14:paraId="6C9AF790" w14:textId="3E64670F" w:rsidR="00B00952" w:rsidRPr="008C2F43" w:rsidRDefault="00000000">
      <w:pPr>
        <w:spacing w:before="240" w:line="360" w:lineRule="auto"/>
        <w:rPr>
          <w:b/>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prediction disposition and the treating physician's decision.</w:t>
      </w:r>
      <w:r w:rsidR="00DE4886">
        <w:rPr>
          <w:lang w:val="en-US"/>
        </w:rPr>
        <w:t xml:space="preserve"> We calculated inter-rater reliability using Cohen’s </w:t>
      </w:r>
      <w:r w:rsidR="00DE4886">
        <w:rPr>
          <w:lang w:val="en-US"/>
        </w:rPr>
        <w:sym w:font="Symbol" w:char="F06B"/>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53AF161C"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w:t>
      </w:r>
      <w:r w:rsidR="00DA513A">
        <w:rPr>
          <w:iCs/>
          <w:lang w:val="en-US"/>
        </w:rPr>
        <w:t>. We</w:t>
      </w:r>
      <w:r w:rsidR="007D6620">
        <w:rPr>
          <w:iCs/>
          <w:lang w:val="en-US"/>
        </w:rPr>
        <w:t xml:space="preserve">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w:t>
      </w:r>
      <w:r w:rsidR="00DE38C1">
        <w:rPr>
          <w:iCs/>
          <w:lang w:val="en-US"/>
        </w:rPr>
        <w:t xml:space="preserve"> </w:t>
      </w:r>
      <w:r w:rsidR="00250A5B">
        <w:rPr>
          <w:iCs/>
          <w:lang w:val="en-US"/>
        </w:rPr>
        <w:t xml:space="preserve">Adults were more likely to be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DA513A">
        <w:rPr>
          <w:iCs/>
          <w:lang w:val="en-US"/>
        </w:rPr>
        <w:t>.</w:t>
      </w:r>
      <w:r w:rsidR="00250A5B">
        <w:rPr>
          <w:iCs/>
          <w:lang w:val="en-US"/>
        </w:rPr>
        <w:t xml:space="preserve"> </w:t>
      </w:r>
      <w:r w:rsidR="00DA513A">
        <w:rPr>
          <w:iCs/>
          <w:lang w:val="en-US"/>
        </w:rPr>
        <w:t>A</w:t>
      </w:r>
      <w:r w:rsidR="00250A5B">
        <w:rPr>
          <w:iCs/>
          <w:lang w:val="en-US"/>
        </w:rPr>
        <w:t xml:space="preserve">dolescents </w:t>
      </w:r>
      <w:r w:rsidR="00DA513A">
        <w:rPr>
          <w:iCs/>
          <w:lang w:val="en-US"/>
        </w:rPr>
        <w:t xml:space="preserve">were </w:t>
      </w:r>
      <w:r w:rsidR="00250A5B">
        <w:rPr>
          <w:iCs/>
          <w:lang w:val="en-US"/>
        </w:rPr>
        <w:t>more likely to be discharged</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w:t>
      </w:r>
      <w:r w:rsidR="00B62118">
        <w:rPr>
          <w:lang w:val="en-US"/>
        </w:rPr>
        <w:lastRenderedPageBreak/>
        <w:t xml:space="preserve">[106-119]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Pr>
          <w:b/>
          <w:i/>
          <w:color w:val="FF0000"/>
        </w:rPr>
        <w:t xml:space="preserve"> [COMMENT: Did you assess whether missing data were random or systematically related to certain patient characteristics?]</w:t>
      </w:r>
    </w:p>
    <w:p w14:paraId="050317AF" w14:textId="77777777" w:rsidR="00E11127" w:rsidRDefault="00000000">
      <w:pPr>
        <w:spacing w:before="240" w:line="360" w:lineRule="auto"/>
        <w:rPr>
          <w:lang w:val="en-US"/>
        </w:rPr>
      </w:pPr>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were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[COMMENT: Since this is much higher than the toxicologist-recommended 21 ICU admissions, discuss whether the threshold score should be adjusted to reduce over-triage.]</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r w:rsidR="00A7004B">
        <w:rPr>
          <w:lang w:val="en-US"/>
        </w:rPr>
        <w:t xml:space="preserve"> </w:t>
      </w:r>
      <w:r>
        <w:rPr>
          <w:b/>
          <w:i/>
          <w:color w:val="FF0000"/>
        </w:rPr>
        <w:t xml:space="preserve"> [COMMENT: Highlight potential reasons for this poor agreement and whether modifications to INTOXICATE’s scoring might improve alignment.]</w:t>
      </w:r>
    </w:p>
    <w:p w14:paraId="779ECD93" w14:textId="1C30639F"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CA7668">
        <w:rPr>
          <w:lang w:val="en-US"/>
        </w:rPr>
        <w:t>considered</w:t>
      </w:r>
      <w:r w:rsidR="00920577">
        <w:rPr>
          <w:lang w:val="en-US"/>
        </w:rPr>
        <w:t xml:space="preserve"> them a lower risk score because </w:t>
      </w:r>
      <w:r w:rsidR="00AB4801">
        <w:rPr>
          <w:lang w:val="en-US"/>
        </w:rPr>
        <w:t>it considered</w:t>
      </w:r>
      <w:r w:rsidR="00C301A4">
        <w:rPr>
          <w:lang w:val="en-US"/>
        </w:rPr>
        <w:t xml:space="preserve"> </w:t>
      </w:r>
      <w:r w:rsidR="00AB4801">
        <w:rPr>
          <w:lang w:val="en-US"/>
        </w:rPr>
        <w:t>the</w:t>
      </w:r>
      <w:r w:rsidR="001672E9">
        <w:rPr>
          <w:lang w:val="en-US"/>
        </w:rPr>
        <w:t xml:space="preserve"> xenobiotic to which exposure was reported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were </w:t>
      </w:r>
      <w:r w:rsidR="00C87DDD">
        <w:rPr>
          <w:lang w:val="en-US"/>
        </w:rPr>
        <w:t xml:space="preserve">not </w:t>
      </w:r>
      <w:r w:rsidR="00920577">
        <w:rPr>
          <w:lang w:val="en-US"/>
        </w:rPr>
        <w:t xml:space="preserve">statistically significant. </w:t>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77B239D6" w:rsidR="00C301A4" w:rsidRDefault="00C301A4">
      <w:pPr>
        <w:spacing w:before="240" w:line="360" w:lineRule="auto"/>
        <w:rPr>
          <w:lang w:val="en-US"/>
        </w:rPr>
      </w:pPr>
      <w:r>
        <w:rPr>
          <w:lang w:val="en-US"/>
        </w:rPr>
        <w:lastRenderedPageBreak/>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w:t>
      </w:r>
      <w:r w:rsidR="00CA7668">
        <w:rPr>
          <w:lang w:val="en-US"/>
        </w:rPr>
        <w:t>. INTOXICATE considered them higher risk</w:t>
      </w:r>
      <w:r w:rsidR="00DC5955">
        <w:rPr>
          <w:lang w:val="en-US"/>
        </w:rPr>
        <w:t xml:space="preserve"> 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416790CF"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ingestion</w:t>
      </w:r>
      <w:r w:rsidR="00891FD8">
        <w:rPr>
          <w:lang w:val="en-US"/>
        </w:rPr>
        <w:t xml:space="preserve"> acetaminophen </w:t>
      </w:r>
      <w:r w:rsidR="00B62118">
        <w:rPr>
          <w:lang w:val="en-US"/>
        </w:rPr>
        <w:t>requiring N-acetylcysteine</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 xml:space="preserve">he other presented with alcohol intoxication and was hypertensive, tachycardic, with GCS 10 (IRS = 4). </w:t>
      </w:r>
      <w:r w:rsidR="003C56C3">
        <w:rPr>
          <w:lang w:val="en-US"/>
        </w:rPr>
        <w:t xml:space="preserve">In INTOXICATE’s schema, </w:t>
      </w:r>
      <w:r w:rsidR="00B62118">
        <w:rPr>
          <w:lang w:val="en-US"/>
        </w:rPr>
        <w:t xml:space="preserve">report of </w:t>
      </w:r>
      <w:r w:rsidR="003C56C3">
        <w:rPr>
          <w:lang w:val="en-US"/>
        </w:rPr>
        <w:t xml:space="preserve">alcohol ingestion decreases the </w:t>
      </w:r>
      <w:r w:rsidR="00CA51F0">
        <w:rPr>
          <w:lang w:val="en-US"/>
        </w:rPr>
        <w:t>need for</w:t>
      </w:r>
      <w:r w:rsidR="003C56C3">
        <w:rPr>
          <w:lang w:val="en-US"/>
        </w:rPr>
        <w:t xml:space="preserve"> ICU admission.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EB4271">
        <w:rPr>
          <w:lang w:val="en-US"/>
        </w:rPr>
        <w:t>T</w:t>
      </w:r>
      <w:r w:rsidR="001E5763">
        <w:rPr>
          <w:lang w:val="en-US"/>
        </w:rPr>
        <w: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522A6A">
        <w:rPr>
          <w:i/>
          <w:iCs/>
          <w:lang w:val="en-US"/>
        </w:rPr>
        <w:t>.</w:t>
      </w:r>
      <w:r w:rsidR="00857310">
        <w:rPr>
          <w:lang w:val="en-US"/>
        </w:rPr>
        <w:t xml:space="preserve"> </w:t>
      </w:r>
      <w:r>
        <w:rPr>
          <w:b/>
          <w:i/>
          <w:color w:val="FF0000"/>
        </w:rPr>
        <w:t xml:space="preserve"> [COMMENT: Acknowledge that this subgroup may be underpowered for robust statistical conclusions.]</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02CF2E4E" w14:textId="77777777" w:rsidR="00DC246C"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 xml:space="preserve">to patients </w:t>
      </w:r>
      <w:r w:rsidR="00B34364">
        <w:rPr>
          <w:lang w:val="en-US"/>
        </w:rPr>
        <w:t xml:space="preserve">in our study </w:t>
      </w:r>
      <w:r w:rsidRPr="00B149C3">
        <w:rPr>
          <w:lang w:val="en-US"/>
        </w:rPr>
        <w:t>for whom toxicology recommended ICU admission, INTOXICATE would have reduced ICU admissions by 33% (7/21), consistent with the</w:t>
      </w:r>
      <w:r w:rsidR="004605B2">
        <w:rPr>
          <w:lang w:val="en-US"/>
        </w:rPr>
        <w:t xml:space="preserve"> initial derivation study.</w:t>
      </w:r>
      <w:r w:rsidR="003F3BA6">
        <w:rPr>
          <w:lang w:val="en-US"/>
        </w:rPr>
        <w:t xml:space="preserve"> </w:t>
      </w:r>
      <w:r w:rsidR="00597A8B">
        <w:rPr>
          <w:lang w:val="en-US"/>
        </w:rPr>
        <w:t xml:space="preserve">If applied to all Emergency Department </w:t>
      </w:r>
      <w:r w:rsidR="00597A8B">
        <w:rPr>
          <w:lang w:val="en-US"/>
        </w:rPr>
        <w:lastRenderedPageBreak/>
        <w:t>patients who received a toxicology consult</w:t>
      </w:r>
      <w:r w:rsidR="0072552F">
        <w:rPr>
          <w:lang w:val="en-US"/>
        </w:rPr>
        <w:t xml:space="preserve">, </w:t>
      </w:r>
      <w:r w:rsidR="0072552F" w:rsidRPr="00B149C3">
        <w:rPr>
          <w:lang w:val="en-US"/>
        </w:rPr>
        <w:t>INTOXICATE</w:t>
      </w:r>
      <w:r w:rsidRPr="00B149C3">
        <w:rPr>
          <w:lang w:val="en-US"/>
        </w:rPr>
        <w:t xml:space="preserve"> </w:t>
      </w:r>
      <w:r w:rsidR="00181869">
        <w:rPr>
          <w:lang w:val="en-US"/>
        </w:rPr>
        <w:t xml:space="preserve">nearly tripled </w:t>
      </w:r>
      <w:r w:rsidRPr="00B149C3">
        <w:rPr>
          <w:lang w:val="en-US"/>
        </w:rPr>
        <w:t>ICU utilization</w:t>
      </w:r>
      <w:r w:rsidR="00805F8D">
        <w:rPr>
          <w:lang w:val="en-US"/>
        </w:rPr>
        <w:t xml:space="preserve">, </w:t>
      </w:r>
      <w:r w:rsidRPr="00B149C3">
        <w:rPr>
          <w:lang w:val="en-US"/>
        </w:rPr>
        <w:t>from 2</w:t>
      </w:r>
      <w:r w:rsidR="009472D9">
        <w:rPr>
          <w:lang w:val="en-US"/>
        </w:rPr>
        <w:t>1</w:t>
      </w:r>
      <w:r w:rsidRPr="00B149C3">
        <w:rPr>
          <w:lang w:val="en-US"/>
        </w:rPr>
        <w:t xml:space="preserve"> </w:t>
      </w:r>
      <w:r w:rsidR="00805F8D">
        <w:rPr>
          <w:lang w:val="en-US"/>
        </w:rPr>
        <w:t xml:space="preserve">ICU admissions </w:t>
      </w:r>
      <w:r w:rsidRPr="00B149C3">
        <w:rPr>
          <w:lang w:val="en-US"/>
        </w:rPr>
        <w:t xml:space="preserve">to </w:t>
      </w:r>
      <w:r w:rsidR="00181869">
        <w:rPr>
          <w:lang w:val="en-US"/>
        </w:rPr>
        <w:t>61</w:t>
      </w:r>
      <w:r w:rsidRPr="00B149C3">
        <w:rPr>
          <w:lang w:val="en-US"/>
        </w:rPr>
        <w:t xml:space="preserve">. </w:t>
      </w:r>
      <w:r w:rsidR="005F0D70">
        <w:rPr>
          <w:lang w:val="en-US"/>
        </w:rPr>
        <w:t xml:space="preserve"> </w:t>
      </w:r>
      <w:r w:rsidR="009472D9">
        <w:rPr>
          <w:lang w:val="en-US"/>
        </w:rPr>
        <w:t>We found that INTOXICATE had no statistically significant agreement with bedside toxicologists.</w:t>
      </w:r>
    </w:p>
    <w:p w14:paraId="75B8E0FD" w14:textId="10E54AD3"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 xml:space="preserve">. </w:t>
      </w:r>
      <w:r w:rsidR="00DC246C">
        <w:rPr>
          <w:lang w:val="en-US"/>
        </w:rPr>
        <w:t xml:space="preserve">In the US healthcare system, the most likely user of INTOXICATE is the Emergency Physician, who determines the initial level of care.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Pr="00B149C3">
        <w:rPr>
          <w:lang w:val="en-US"/>
        </w:rPr>
        <w:t xml:space="preserve"> </w:t>
      </w:r>
      <w:r w:rsidR="00097872">
        <w:rPr>
          <w:lang w:val="en-US"/>
        </w:rPr>
        <w:t xml:space="preserve">The agreement between INTOXICATE and the initial disposition may </w:t>
      </w:r>
      <w:r w:rsidR="005A6771">
        <w:rPr>
          <w:lang w:val="en-US"/>
        </w:rPr>
        <w:t>be different</w:t>
      </w:r>
      <w:r w:rsidR="00097872">
        <w:rPr>
          <w:lang w:val="en-US"/>
        </w:rPr>
        <w:t xml:space="preserve"> in health care systems that use Poison C</w:t>
      </w:r>
      <w:r w:rsidR="009F0C4A">
        <w:rPr>
          <w:lang w:val="en-US"/>
        </w:rPr>
        <w:t xml:space="preserve">ontrol </w:t>
      </w:r>
      <w:r w:rsidR="005A6771">
        <w:rPr>
          <w:lang w:val="en-US"/>
        </w:rPr>
        <w:t>instead of</w:t>
      </w:r>
      <w:r w:rsidR="00097872">
        <w:rPr>
          <w:lang w:val="en-US"/>
        </w:rPr>
        <w:t xml:space="preserve"> bedside </w:t>
      </w:r>
      <w:r w:rsidR="009F0C4A">
        <w:rPr>
          <w:lang w:val="en-US"/>
        </w:rPr>
        <w:t>consultation</w:t>
      </w:r>
      <w:r w:rsidR="00097872">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clonus, abnormal EKG intervals, progressive limb swelling, inability to tolerate food or liquid by mouth, or acidemia.</w:t>
      </w:r>
      <w:r w:rsidR="00C133E8" w:rsidRPr="00B149C3">
        <w:rPr>
          <w:lang w:val="en-US"/>
        </w:rPr>
        <w:t xml:space="preserve"> </w:t>
      </w:r>
      <w:r w:rsidR="00C133E8">
        <w:rPr>
          <w:lang w:val="en-US"/>
        </w:rPr>
        <w:t>INTOXICATE does not consider trends in vital signs.</w:t>
      </w:r>
      <w:r w:rsidR="005408B1">
        <w:rPr>
          <w:lang w:val="en-US"/>
        </w:rPr>
        <w:t xml:space="preserve"> </w:t>
      </w:r>
      <w:r w:rsidR="00C133E8">
        <w:rPr>
          <w:lang w:val="en-US"/>
        </w:rPr>
        <w:t>Some Emergency Departments may be able to observe patients for long</w:t>
      </w:r>
      <w:r w:rsidR="005408B1">
        <w:rPr>
          <w:lang w:val="en-US"/>
        </w:rPr>
        <w:t xml:space="preserve"> enough to discharge what would be an admission in other locales</w:t>
      </w:r>
      <w:r w:rsidR="00C133E8">
        <w:rPr>
          <w:lang w:val="en-US"/>
        </w:rPr>
        <w:t>.</w:t>
      </w:r>
      <w:r w:rsidR="00FC15AE">
        <w:rPr>
          <w:lang w:val="en-US"/>
        </w:rPr>
        <w:t xml:space="preserve"> </w:t>
      </w:r>
      <w:r w:rsidR="00DC246C" w:rsidRPr="00B149C3">
        <w:rPr>
          <w:lang w:val="en-US"/>
        </w:rPr>
        <w:t xml:space="preserve">The IRS threshold of 6 points </w:t>
      </w:r>
      <w:r w:rsidR="00DC246C">
        <w:rPr>
          <w:lang w:val="en-US"/>
        </w:rPr>
        <w:t xml:space="preserve">that </w:t>
      </w:r>
      <w:r w:rsidR="00DC246C" w:rsidRPr="00B149C3">
        <w:rPr>
          <w:lang w:val="en-US"/>
        </w:rPr>
        <w:t>was chosen by Brandenburg et. al. to minimize false negatives</w:t>
      </w:r>
      <w:r w:rsidR="00DC246C">
        <w:rPr>
          <w:lang w:val="en-US"/>
        </w:rPr>
        <w:t xml:space="preserve"> and may need adjustment for different healthcare systems.</w:t>
      </w:r>
      <w:r>
        <w:rPr>
          <w:b/>
          <w:i/>
          <w:color w:val="FF0000"/>
        </w:rPr>
        <w:t xml:space="preserve"> [COMMENT: Would adjusting this threshold (e.g., IRS &gt; 7) improve specificity without compromising sensitivity? Consider exploring this in the discussion.]</w:t>
      </w:r>
    </w:p>
    <w:p w14:paraId="5A2AD463" w14:textId="0B03D890"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recommended </w:t>
      </w:r>
      <w:r w:rsidR="008B1629">
        <w:rPr>
          <w:lang w:val="en-US"/>
        </w:rPr>
        <w:t xml:space="preserve">the </w:t>
      </w:r>
      <w:r w:rsidRPr="00B149C3">
        <w:rPr>
          <w:lang w:val="en-US"/>
        </w:rPr>
        <w:t xml:space="preserve">ICU for all patients with any of the above criteria,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Pr="00B149C3">
        <w:rPr>
          <w:lang w:val="en-US"/>
        </w:rPr>
        <w:t>.</w:t>
      </w:r>
      <w:r w:rsidR="008C2F43">
        <w:rPr>
          <w:lang w:val="en-US"/>
        </w:rPr>
        <w:t xml:space="preserve"> The lack of significant difference in cirrhosis between adolescents and adults in our study is likely an artifact of low sample size. No adolescents were reported as having cirrhosis and only 2/79 (2.5%) of adults. The low prevalence of cirrhosis in adults in our study may reflect how Toxicology is </w:t>
      </w:r>
      <w:r w:rsidR="00314A89">
        <w:rPr>
          <w:lang w:val="en-US"/>
        </w:rPr>
        <w:t xml:space="preserve">rarely </w:t>
      </w:r>
      <w:r w:rsidR="008C2F43">
        <w:rPr>
          <w:lang w:val="en-US"/>
        </w:rPr>
        <w:t xml:space="preserve">consulted at our institution for alcohol intoxication </w:t>
      </w:r>
      <w:r w:rsidR="00314A89">
        <w:rPr>
          <w:lang w:val="en-US"/>
        </w:rPr>
        <w:t>or</w:t>
      </w:r>
      <w:r w:rsidR="008C2F43">
        <w:rPr>
          <w:lang w:val="en-US"/>
        </w:rPr>
        <w:t xml:space="preserve"> alcohol withdrawal.</w:t>
      </w:r>
    </w:p>
    <w:p w14:paraId="4DC591EA" w14:textId="732F5443" w:rsidR="007C6408" w:rsidRPr="007C6408" w:rsidRDefault="00000000">
      <w:pPr>
        <w:spacing w:before="240" w:line="360" w:lineRule="auto"/>
        <w:rPr>
          <w:b/>
          <w:lang w:val="en-US"/>
        </w:rPr>
      </w:pPr>
      <w:r w:rsidRPr="00B149C3">
        <w:rPr>
          <w:lang w:val="en-US"/>
        </w:rPr>
        <w:lastRenderedPageBreak/>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xml:space="preserve">, which may not agree with the bedside toxicologist’s </w:t>
      </w:r>
      <w:r w:rsidR="00C537FD">
        <w:rPr>
          <w:lang w:val="en-US"/>
        </w:rPr>
        <w:t>classification</w:t>
      </w:r>
      <w:r w:rsidR="0089758A">
        <w:rPr>
          <w:lang w:val="en-US"/>
        </w:rPr>
        <w:t xml:space="preserve">.  </w:t>
      </w:r>
      <w:r w:rsidR="007C6408">
        <w:rPr>
          <w:lang w:val="en-US"/>
        </w:rPr>
        <w:t>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groups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F53E5A">
        <w:rPr>
          <w:lang w:val="en-US"/>
        </w:rPr>
        <w:t xml:space="preserve"> together</w:t>
      </w:r>
      <w:r w:rsidR="0089758A">
        <w:rPr>
          <w:lang w:val="en-US"/>
        </w:rPr>
        <w:t>.</w:t>
      </w:r>
      <w:r w:rsidR="001037F5">
        <w:rPr>
          <w:lang w:val="en-US"/>
        </w:rPr>
        <w:t xml:space="preserve"> This grouping leads INTOXICATE to treat clinical features in all three types of ingestions the same.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471A61">
        <w:rPr>
          <w:lang w:val="en-US"/>
        </w:rPr>
        <w:t>Ingestion of a</w:t>
      </w:r>
      <w:r w:rsidR="007C6408">
        <w:rPr>
          <w:lang w:val="en-US"/>
        </w:rPr>
        <w:t xml:space="preserve">n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 This division doesn’t account for ingesting multiple opioids, like methadone and heroin. </w:t>
      </w:r>
      <w:r w:rsidRPr="00B149C3">
        <w:rPr>
          <w:lang w:val="en-US"/>
        </w:rPr>
        <w:t xml:space="preserve">The category </w:t>
      </w:r>
      <w:r w:rsidR="00B01F6F">
        <w:rPr>
          <w:i/>
          <w:lang w:val="en-US"/>
        </w:rPr>
        <w:t>C</w:t>
      </w:r>
      <w:r w:rsidRPr="00B149C3">
        <w:rPr>
          <w:i/>
          <w:lang w:val="en-US"/>
        </w:rPr>
        <w:t>ombination of two subtypes of intoxication</w:t>
      </w:r>
      <w:r w:rsidRPr="00B149C3">
        <w:rPr>
          <w:lang w:val="en-US"/>
        </w:rPr>
        <w:t xml:space="preserve"> </w:t>
      </w:r>
      <w:r w:rsidR="00B01F6F">
        <w:rPr>
          <w:lang w:val="en-US"/>
        </w:rPr>
        <w:t xml:space="preserve">groups together all </w:t>
      </w:r>
      <w:r w:rsidRPr="00B149C3">
        <w:rPr>
          <w:lang w:val="en-US"/>
        </w:rPr>
        <w:t>polysubstance intoxications</w:t>
      </w:r>
      <w:r w:rsidR="00B01F6F">
        <w:rPr>
          <w:lang w:val="en-US"/>
        </w:rPr>
        <w:t>.</w:t>
      </w:r>
      <w:r w:rsidR="0089758A">
        <w:rPr>
          <w:lang w:val="en-US"/>
        </w:rPr>
        <w:t xml:space="preserve"> </w:t>
      </w:r>
      <w:r w:rsidRPr="00B149C3">
        <w:rPr>
          <w:lang w:val="en-US"/>
        </w:rPr>
        <w:t>Brandenburg did not include polysubstance intoxication as a covariate in their model or assign it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453736" w:rsidRPr="00453736">
            <w:rPr>
              <w:color w:val="000000"/>
              <w:lang w:val="en-US"/>
            </w:rPr>
            <w:t>(17,18)</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r w:rsidR="00953D1D">
        <w:rPr>
          <w:lang w:val="en-US"/>
        </w:rPr>
        <w:t xml:space="preserve">, highlighting the difficulty of identifying the substances involved in the initial evaluation and raising the question of the validity of prognosticating clinical course from this variable. </w:t>
      </w:r>
      <w:r w:rsidR="00AF0E7D">
        <w:rPr>
          <w:lang w:val="en-US"/>
        </w:rPr>
        <w:t xml:space="preserve"> </w:t>
      </w:r>
      <w:r>
        <w:rPr>
          <w:b/>
          <w:i/>
          <w:color w:val="FF0000"/>
        </w:rPr>
        <w:t xml:space="preserve"> [COMMENT: Since bedside toxicologists do not use APACHE IV, could this classification mismatch contribute to differences in recommendations?]</w:t>
      </w:r>
    </w:p>
    <w:p w14:paraId="46F580D4" w14:textId="77777777" w:rsidR="00C674A1" w:rsidRDefault="00000000" w:rsidP="00040CAE">
      <w:pPr>
        <w:spacing w:before="240" w:line="360" w:lineRule="auto"/>
        <w:rPr>
          <w:lang w:val="en-US"/>
        </w:rPr>
      </w:pPr>
      <w:r w:rsidRPr="00B149C3">
        <w:rPr>
          <w:b/>
          <w:i/>
          <w:lang w:val="en-US"/>
        </w:rPr>
        <w:t xml:space="preserve">Conclusions: </w:t>
      </w:r>
    </w:p>
    <w:p w14:paraId="1BD6F56B" w14:textId="1E5BCC32" w:rsidR="00B00952" w:rsidRPr="00C674A1" w:rsidRDefault="00C674A1" w:rsidP="00040CAE">
      <w:pPr>
        <w:spacing w:before="240" w:line="360" w:lineRule="auto"/>
        <w:rPr>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bedside toxicologist</w:t>
      </w:r>
      <w:r w:rsidR="00D043F4">
        <w:rPr>
          <w:bCs/>
          <w:lang w:val="en-US"/>
        </w:rPr>
        <w:t>s</w:t>
      </w:r>
      <w:r w:rsidR="00D826B3">
        <w:rPr>
          <w:bCs/>
          <w:lang w:val="en-US"/>
        </w:rPr>
        <w:t>.</w:t>
      </w:r>
      <w:r w:rsidR="00C75503">
        <w:rPr>
          <w:bCs/>
          <w:lang w:val="en-US"/>
        </w:rPr>
        <w:t xml:space="preserve"> </w:t>
      </w: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sdt>
      <w:sdtPr>
        <w:rPr>
          <w:color w:val="000000"/>
          <w:lang w:val="en-US"/>
        </w:rPr>
        <w:tag w:val="MENDELEY_BIBLIOGRAPHY"/>
        <w:id w:val="-677661438"/>
        <w:placeholder>
          <w:docPart w:val="DefaultPlaceholder_-1854013440"/>
        </w:placeholder>
      </w:sdtPr>
      <w:sdtContent>
        <w:p w14:paraId="0A93EB6F" w14:textId="77777777" w:rsidR="00453736" w:rsidRDefault="00453736">
          <w:pPr>
            <w:autoSpaceDE w:val="0"/>
            <w:autoSpaceDN w:val="0"/>
            <w:ind w:hanging="640"/>
            <w:divId w:val="2042587344"/>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67BBAD15" w14:textId="77777777" w:rsidR="00453736" w:rsidRDefault="00453736">
          <w:pPr>
            <w:autoSpaceDE w:val="0"/>
            <w:autoSpaceDN w:val="0"/>
            <w:ind w:hanging="640"/>
            <w:divId w:val="544830867"/>
          </w:pPr>
          <w:r>
            <w:lastRenderedPageBreak/>
            <w:t xml:space="preserve">2.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25EBDB78" w14:textId="77777777" w:rsidR="00453736" w:rsidRDefault="00453736">
          <w:pPr>
            <w:autoSpaceDE w:val="0"/>
            <w:autoSpaceDN w:val="0"/>
            <w:ind w:hanging="640"/>
            <w:divId w:val="599265944"/>
          </w:pPr>
          <w:r>
            <w:t xml:space="preserve">3.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644F4017" w14:textId="77777777" w:rsidR="00453736" w:rsidRDefault="00453736">
          <w:pPr>
            <w:autoSpaceDE w:val="0"/>
            <w:autoSpaceDN w:val="0"/>
            <w:ind w:hanging="640"/>
            <w:divId w:val="1616525849"/>
          </w:pPr>
          <w:r>
            <w:t xml:space="preserve">4.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F5AA6B8" w14:textId="77777777" w:rsidR="00453736" w:rsidRDefault="00453736">
          <w:pPr>
            <w:autoSpaceDE w:val="0"/>
            <w:autoSpaceDN w:val="0"/>
            <w:ind w:hanging="640"/>
            <w:divId w:val="1984265278"/>
          </w:pPr>
          <w:r>
            <w:t xml:space="preserve">5.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63BABE0D" w14:textId="77777777" w:rsidR="00453736" w:rsidRDefault="00453736">
          <w:pPr>
            <w:autoSpaceDE w:val="0"/>
            <w:autoSpaceDN w:val="0"/>
            <w:ind w:hanging="640"/>
            <w:divId w:val="1934239409"/>
          </w:pPr>
          <w:r>
            <w:t xml:space="preserve">6.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0E19F76E" w14:textId="77777777" w:rsidR="00453736" w:rsidRDefault="00453736">
          <w:pPr>
            <w:autoSpaceDE w:val="0"/>
            <w:autoSpaceDN w:val="0"/>
            <w:ind w:hanging="640"/>
            <w:divId w:val="1766801413"/>
          </w:pPr>
          <w:r>
            <w:t xml:space="preserve">7.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1535F05C" w14:textId="77777777" w:rsidR="00453736" w:rsidRDefault="00453736">
          <w:pPr>
            <w:autoSpaceDE w:val="0"/>
            <w:autoSpaceDN w:val="0"/>
            <w:ind w:hanging="640"/>
            <w:divId w:val="367679831"/>
          </w:pPr>
          <w:r>
            <w:lastRenderedPageBreak/>
            <w:t xml:space="preserve">8.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5152B224" w14:textId="77777777" w:rsidR="00453736" w:rsidRDefault="00453736">
          <w:pPr>
            <w:autoSpaceDE w:val="0"/>
            <w:autoSpaceDN w:val="0"/>
            <w:ind w:hanging="640"/>
            <w:divId w:val="133184650"/>
          </w:pPr>
          <w:r>
            <w:t xml:space="preserve">9.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6C88FC2C" w14:textId="77777777" w:rsidR="00453736" w:rsidRDefault="00453736">
          <w:pPr>
            <w:autoSpaceDE w:val="0"/>
            <w:autoSpaceDN w:val="0"/>
            <w:ind w:hanging="640"/>
            <w:divId w:val="655107810"/>
          </w:pPr>
          <w:r>
            <w:t xml:space="preserve">10.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5E3F0FCE" w14:textId="77777777" w:rsidR="00453736" w:rsidRDefault="00453736">
          <w:pPr>
            <w:autoSpaceDE w:val="0"/>
            <w:autoSpaceDN w:val="0"/>
            <w:ind w:hanging="640"/>
            <w:divId w:val="1171330366"/>
          </w:pPr>
          <w:r>
            <w:t xml:space="preserve">11.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344E3A5D" w14:textId="77777777" w:rsidR="00453736" w:rsidRDefault="00453736">
          <w:pPr>
            <w:autoSpaceDE w:val="0"/>
            <w:autoSpaceDN w:val="0"/>
            <w:ind w:hanging="640"/>
            <w:divId w:val="17972259"/>
          </w:pPr>
          <w:r>
            <w:t xml:space="preserve">12.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821C42C" w14:textId="77777777" w:rsidR="00453736" w:rsidRDefault="00453736">
          <w:pPr>
            <w:autoSpaceDE w:val="0"/>
            <w:autoSpaceDN w:val="0"/>
            <w:ind w:hanging="640"/>
            <w:divId w:val="312372344"/>
          </w:pPr>
          <w:r>
            <w:t xml:space="preserve">13.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026FA348" w14:textId="77777777" w:rsidR="00453736" w:rsidRDefault="00453736">
          <w:pPr>
            <w:autoSpaceDE w:val="0"/>
            <w:autoSpaceDN w:val="0"/>
            <w:ind w:hanging="640"/>
            <w:divId w:val="1911650658"/>
          </w:pPr>
          <w:r>
            <w:lastRenderedPageBreak/>
            <w:t xml:space="preserve">14.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0FD7A5B9" w14:textId="77777777" w:rsidR="00453736" w:rsidRDefault="00453736">
          <w:pPr>
            <w:autoSpaceDE w:val="0"/>
            <w:autoSpaceDN w:val="0"/>
            <w:ind w:hanging="640"/>
            <w:divId w:val="1218279120"/>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5EFD7643" w14:textId="77777777" w:rsidR="00453736" w:rsidRDefault="00453736">
          <w:pPr>
            <w:autoSpaceDE w:val="0"/>
            <w:autoSpaceDN w:val="0"/>
            <w:ind w:hanging="640"/>
            <w:divId w:val="882984382"/>
          </w:pPr>
          <w:r>
            <w:t xml:space="preserve">16.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CAEC0D5" w14:textId="77777777" w:rsidR="00453736" w:rsidRDefault="00453736">
          <w:pPr>
            <w:autoSpaceDE w:val="0"/>
            <w:autoSpaceDN w:val="0"/>
            <w:ind w:hanging="640"/>
            <w:divId w:val="421412590"/>
          </w:pPr>
          <w:r>
            <w:t xml:space="preserve">17.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172872B7" w14:textId="77777777" w:rsidR="00453736" w:rsidRDefault="00453736">
          <w:pPr>
            <w:autoSpaceDE w:val="0"/>
            <w:autoSpaceDN w:val="0"/>
            <w:ind w:hanging="640"/>
            <w:divId w:val="1453789735"/>
          </w:pPr>
          <w:r>
            <w:t xml:space="preserve">18.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442CC40D" w14:textId="05C586F7" w:rsidR="00865211" w:rsidRDefault="00453736">
          <w:pPr>
            <w:rPr>
              <w:b/>
              <w:lang w:val="en-US"/>
            </w:rPr>
          </w:pPr>
          <w:r>
            <w:t> </w:t>
          </w:r>
        </w:p>
      </w:sdtContent>
    </w:sdt>
    <w:p w14:paraId="21E529B6" w14:textId="3A114910"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6"/>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0" w:name="_Ref170118666"/>
      <w:r w:rsidRPr="00B149C3">
        <w:rPr>
          <w:i w:val="0"/>
          <w:iCs w:val="0"/>
          <w:color w:val="000000" w:themeColor="text1"/>
        </w:rPr>
        <w:t>Figure 1</w:t>
      </w:r>
      <w:bookmarkEnd w:id="0"/>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1"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1"/>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2" w:name="_Ref170123244"/>
      <w:r w:rsidRPr="00B149C3">
        <w:rPr>
          <w:i w:val="0"/>
          <w:iCs w:val="0"/>
        </w:rPr>
        <w:t xml:space="preserve">Table </w:t>
      </w:r>
      <w:r w:rsidRPr="00B149C3">
        <w:rPr>
          <w:i w:val="0"/>
          <w:iCs w:val="0"/>
          <w:noProof/>
        </w:rPr>
        <w:t>2</w:t>
      </w:r>
      <w:bookmarkEnd w:id="2"/>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12A62"/>
    <w:rsid w:val="00017A01"/>
    <w:rsid w:val="00020F41"/>
    <w:rsid w:val="00033001"/>
    <w:rsid w:val="00035DC7"/>
    <w:rsid w:val="00040CAE"/>
    <w:rsid w:val="00050D48"/>
    <w:rsid w:val="00064EA5"/>
    <w:rsid w:val="0007336A"/>
    <w:rsid w:val="00084F80"/>
    <w:rsid w:val="000850A5"/>
    <w:rsid w:val="00090339"/>
    <w:rsid w:val="00097872"/>
    <w:rsid w:val="000D2DA7"/>
    <w:rsid w:val="000E13AD"/>
    <w:rsid w:val="000E773A"/>
    <w:rsid w:val="000F1AB5"/>
    <w:rsid w:val="001028F8"/>
    <w:rsid w:val="001037F5"/>
    <w:rsid w:val="001075B1"/>
    <w:rsid w:val="00110FC5"/>
    <w:rsid w:val="00122A0B"/>
    <w:rsid w:val="001617D0"/>
    <w:rsid w:val="0016291B"/>
    <w:rsid w:val="0016324A"/>
    <w:rsid w:val="001632B0"/>
    <w:rsid w:val="001672E9"/>
    <w:rsid w:val="00181869"/>
    <w:rsid w:val="001953AF"/>
    <w:rsid w:val="001A190F"/>
    <w:rsid w:val="001C0570"/>
    <w:rsid w:val="001C1218"/>
    <w:rsid w:val="001D01BB"/>
    <w:rsid w:val="001D190B"/>
    <w:rsid w:val="001E36F9"/>
    <w:rsid w:val="001E5763"/>
    <w:rsid w:val="001F22DA"/>
    <w:rsid w:val="001F2A7F"/>
    <w:rsid w:val="001F3297"/>
    <w:rsid w:val="001F4979"/>
    <w:rsid w:val="001F73F8"/>
    <w:rsid w:val="002157E1"/>
    <w:rsid w:val="0023650E"/>
    <w:rsid w:val="002439CC"/>
    <w:rsid w:val="002455E2"/>
    <w:rsid w:val="00250A5B"/>
    <w:rsid w:val="00251335"/>
    <w:rsid w:val="002734B5"/>
    <w:rsid w:val="0028017F"/>
    <w:rsid w:val="002825C8"/>
    <w:rsid w:val="00297977"/>
    <w:rsid w:val="002A7C88"/>
    <w:rsid w:val="002B48C8"/>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81F94"/>
    <w:rsid w:val="003869B9"/>
    <w:rsid w:val="003902BE"/>
    <w:rsid w:val="003907F3"/>
    <w:rsid w:val="003B4D1D"/>
    <w:rsid w:val="003B5E3B"/>
    <w:rsid w:val="003C56C3"/>
    <w:rsid w:val="003C6FD2"/>
    <w:rsid w:val="003F3BA6"/>
    <w:rsid w:val="003F40B2"/>
    <w:rsid w:val="003F5E63"/>
    <w:rsid w:val="00401520"/>
    <w:rsid w:val="00404347"/>
    <w:rsid w:val="004078AF"/>
    <w:rsid w:val="00421ECA"/>
    <w:rsid w:val="00424DE6"/>
    <w:rsid w:val="004329AB"/>
    <w:rsid w:val="00433C44"/>
    <w:rsid w:val="004405AA"/>
    <w:rsid w:val="00453736"/>
    <w:rsid w:val="004540AA"/>
    <w:rsid w:val="004605B2"/>
    <w:rsid w:val="00471A61"/>
    <w:rsid w:val="004A2D30"/>
    <w:rsid w:val="004B7C8C"/>
    <w:rsid w:val="004F0C5C"/>
    <w:rsid w:val="004F40E0"/>
    <w:rsid w:val="004F60D9"/>
    <w:rsid w:val="00500D87"/>
    <w:rsid w:val="005166AB"/>
    <w:rsid w:val="00521FA8"/>
    <w:rsid w:val="00522A6A"/>
    <w:rsid w:val="00535718"/>
    <w:rsid w:val="005408B1"/>
    <w:rsid w:val="00541179"/>
    <w:rsid w:val="0055165C"/>
    <w:rsid w:val="00553585"/>
    <w:rsid w:val="00570AC5"/>
    <w:rsid w:val="005977F9"/>
    <w:rsid w:val="00597A8B"/>
    <w:rsid w:val="005A1CA6"/>
    <w:rsid w:val="005A6771"/>
    <w:rsid w:val="005A7D5D"/>
    <w:rsid w:val="005B2091"/>
    <w:rsid w:val="005D2FE0"/>
    <w:rsid w:val="005F0D70"/>
    <w:rsid w:val="006137A9"/>
    <w:rsid w:val="00614AF2"/>
    <w:rsid w:val="006225C7"/>
    <w:rsid w:val="0063223C"/>
    <w:rsid w:val="00633201"/>
    <w:rsid w:val="0063602E"/>
    <w:rsid w:val="006407E3"/>
    <w:rsid w:val="006424E7"/>
    <w:rsid w:val="00647E8F"/>
    <w:rsid w:val="006650C9"/>
    <w:rsid w:val="0068713F"/>
    <w:rsid w:val="00694F95"/>
    <w:rsid w:val="006A45CB"/>
    <w:rsid w:val="006A5162"/>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24F2"/>
    <w:rsid w:val="00766752"/>
    <w:rsid w:val="00770B8D"/>
    <w:rsid w:val="00781AB3"/>
    <w:rsid w:val="00781BE4"/>
    <w:rsid w:val="00783AA8"/>
    <w:rsid w:val="00785E92"/>
    <w:rsid w:val="00786B20"/>
    <w:rsid w:val="007877EE"/>
    <w:rsid w:val="00797BAD"/>
    <w:rsid w:val="007B1BD3"/>
    <w:rsid w:val="007B45BB"/>
    <w:rsid w:val="007C6408"/>
    <w:rsid w:val="007D6620"/>
    <w:rsid w:val="007F6232"/>
    <w:rsid w:val="00805F8D"/>
    <w:rsid w:val="008138CF"/>
    <w:rsid w:val="008201B0"/>
    <w:rsid w:val="00821EDE"/>
    <w:rsid w:val="00826F00"/>
    <w:rsid w:val="008467F1"/>
    <w:rsid w:val="00857310"/>
    <w:rsid w:val="00865211"/>
    <w:rsid w:val="00877456"/>
    <w:rsid w:val="00883400"/>
    <w:rsid w:val="00891FD8"/>
    <w:rsid w:val="0089758A"/>
    <w:rsid w:val="008A2956"/>
    <w:rsid w:val="008A714B"/>
    <w:rsid w:val="008B1629"/>
    <w:rsid w:val="008B1986"/>
    <w:rsid w:val="008C1DCF"/>
    <w:rsid w:val="008C2F43"/>
    <w:rsid w:val="008C3496"/>
    <w:rsid w:val="008D0D2E"/>
    <w:rsid w:val="008D172A"/>
    <w:rsid w:val="008D37CF"/>
    <w:rsid w:val="008E25D2"/>
    <w:rsid w:val="008F77DD"/>
    <w:rsid w:val="0090351E"/>
    <w:rsid w:val="009100AF"/>
    <w:rsid w:val="009130F2"/>
    <w:rsid w:val="00920577"/>
    <w:rsid w:val="00925055"/>
    <w:rsid w:val="009269C3"/>
    <w:rsid w:val="00946DFF"/>
    <w:rsid w:val="009472D9"/>
    <w:rsid w:val="00953D1D"/>
    <w:rsid w:val="00955DB0"/>
    <w:rsid w:val="009626C5"/>
    <w:rsid w:val="00972292"/>
    <w:rsid w:val="009851CF"/>
    <w:rsid w:val="00985551"/>
    <w:rsid w:val="009A7AF8"/>
    <w:rsid w:val="009C085C"/>
    <w:rsid w:val="009D32C7"/>
    <w:rsid w:val="009F0C4A"/>
    <w:rsid w:val="00A1242D"/>
    <w:rsid w:val="00A16255"/>
    <w:rsid w:val="00A36D25"/>
    <w:rsid w:val="00A437AC"/>
    <w:rsid w:val="00A50F07"/>
    <w:rsid w:val="00A55A0C"/>
    <w:rsid w:val="00A63443"/>
    <w:rsid w:val="00A676CD"/>
    <w:rsid w:val="00A7004B"/>
    <w:rsid w:val="00A70DF1"/>
    <w:rsid w:val="00A7181A"/>
    <w:rsid w:val="00AA13CD"/>
    <w:rsid w:val="00AB4801"/>
    <w:rsid w:val="00AC232D"/>
    <w:rsid w:val="00AD1A94"/>
    <w:rsid w:val="00AD6D3C"/>
    <w:rsid w:val="00AD77B2"/>
    <w:rsid w:val="00AF0E7D"/>
    <w:rsid w:val="00AF7BB4"/>
    <w:rsid w:val="00B00952"/>
    <w:rsid w:val="00B01F6F"/>
    <w:rsid w:val="00B04FFD"/>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E0422"/>
    <w:rsid w:val="00BF08A8"/>
    <w:rsid w:val="00BF24C3"/>
    <w:rsid w:val="00C133E8"/>
    <w:rsid w:val="00C301A4"/>
    <w:rsid w:val="00C34755"/>
    <w:rsid w:val="00C36F42"/>
    <w:rsid w:val="00C537FD"/>
    <w:rsid w:val="00C674A1"/>
    <w:rsid w:val="00C70F1C"/>
    <w:rsid w:val="00C75503"/>
    <w:rsid w:val="00C87DDD"/>
    <w:rsid w:val="00C90A36"/>
    <w:rsid w:val="00CA51F0"/>
    <w:rsid w:val="00CA7668"/>
    <w:rsid w:val="00CB2AFE"/>
    <w:rsid w:val="00CC03A0"/>
    <w:rsid w:val="00CC7C68"/>
    <w:rsid w:val="00CD382E"/>
    <w:rsid w:val="00CD7645"/>
    <w:rsid w:val="00CE2A7B"/>
    <w:rsid w:val="00CE5623"/>
    <w:rsid w:val="00CF026A"/>
    <w:rsid w:val="00CF2A6C"/>
    <w:rsid w:val="00D043F4"/>
    <w:rsid w:val="00D1144E"/>
    <w:rsid w:val="00D17BEC"/>
    <w:rsid w:val="00D23BAE"/>
    <w:rsid w:val="00D32F68"/>
    <w:rsid w:val="00D33985"/>
    <w:rsid w:val="00D344D8"/>
    <w:rsid w:val="00D45354"/>
    <w:rsid w:val="00D50386"/>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37D4A"/>
    <w:rsid w:val="00E42DEF"/>
    <w:rsid w:val="00E44545"/>
    <w:rsid w:val="00E445BB"/>
    <w:rsid w:val="00E66B3E"/>
    <w:rsid w:val="00E72980"/>
    <w:rsid w:val="00E76BAA"/>
    <w:rsid w:val="00E90881"/>
    <w:rsid w:val="00E96C3E"/>
    <w:rsid w:val="00EA33EF"/>
    <w:rsid w:val="00EA738F"/>
    <w:rsid w:val="00EA793C"/>
    <w:rsid w:val="00EA7973"/>
    <w:rsid w:val="00EB0471"/>
    <w:rsid w:val="00EB04E4"/>
    <w:rsid w:val="00EB1127"/>
    <w:rsid w:val="00EB4271"/>
    <w:rsid w:val="00EB7FC6"/>
    <w:rsid w:val="00EC047F"/>
    <w:rsid w:val="00EC0613"/>
    <w:rsid w:val="00EC4135"/>
    <w:rsid w:val="00F32A3A"/>
    <w:rsid w:val="00F42DBD"/>
    <w:rsid w:val="00F474E8"/>
    <w:rsid w:val="00F52B5F"/>
    <w:rsid w:val="00F53E5A"/>
    <w:rsid w:val="00F54BA9"/>
    <w:rsid w:val="00F55CE4"/>
    <w:rsid w:val="00F613F1"/>
    <w:rsid w:val="00F701D7"/>
    <w:rsid w:val="00F7681F"/>
    <w:rsid w:val="00F84C19"/>
    <w:rsid w:val="00F8705F"/>
    <w:rsid w:val="00F9593A"/>
    <w:rsid w:val="00FB64A8"/>
    <w:rsid w:val="00FC1467"/>
    <w:rsid w:val="00FC15AE"/>
    <w:rsid w:val="00FD328C"/>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85C98"/>
    <w:rsid w:val="004B3649"/>
    <w:rsid w:val="0068713F"/>
    <w:rsid w:val="00793C32"/>
    <w:rsid w:val="008651AE"/>
    <w:rsid w:val="0098531E"/>
    <w:rsid w:val="00B5088B"/>
    <w:rsid w:val="00BD7B98"/>
    <w:rsid w:val="00C32E1E"/>
    <w:rsid w:val="00C4429B"/>
    <w:rsid w:val="00CC0068"/>
    <w:rsid w:val="00D5147D"/>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4baaeb8b-5b5c-4f1f-b9ac-c144712c2043&quot;,&quot;properties&quot;:{&quot;noteIndex&quot;:0},&quot;isEdited&quot;:false,&quot;manualOverride&quot;:{&quot;isManuallyOverridden&quot;:false,&quot;citeprocText&quot;:&quot;(2)&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container-title-short&quot;:&quot;Eur J Intern Med&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isTemporary&quot;:false}]},{&quot;citationID&quot;:&quot;MENDELEY_CITATION_4b512d4e-a2df-47e6-988c-57391c2554d6&quot;,&quot;properties&quot;:{&quot;noteIndex&quot;:0},&quot;isEdited&quot;:false,&quot;manualOverride&quot;:{&quot;isManuallyOverridden&quot;:false,&quot;citeprocText&quot;:&quot;(3)&quot;,&quot;manualOverrideText&quot;:&quot;&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D&quot;:&quot;MENDELEY_CITATION_c11ab618-1f24-4198-be60-0031a1d6c571&quot;,&quot;properties&quot;:{&quot;noteIndex&quot;:0},&quot;isEdited&quot;:false,&quot;manualOverride&quot;:{&quot;isManuallyOverridden&quot;:false,&quot;citeprocText&quot;:&quot;(4)&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f0202d52-e98a-47cc-b8eb-c911f061a3cc&quot;,&quot;properties&quot;:{&quot;noteIndex&quot;:0},&quot;isEdited&quot;:false,&quot;manualOverride&quot;:{&quot;isManuallyOverridden&quot;:false,&quot;citeprocText&quot;:&quot;(5)&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container-title-short&quot;:&quot;Arch Intern Med&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isTemporary&quot;:false}]},{&quot;citationID&quot;:&quot;MENDELEY_CITATION_088c4e5e-1f0c-4eb9-b9ad-3c42eabaeaf2&quot;,&quot;properties&quot;:{&quot;noteIndex&quot;:0},&quot;isEdited&quot;:false,&quot;manualOverride&quot;:{&quot;isManuallyOverridden&quot;:false,&quot;citeprocText&quot;:&quot;(6)&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7,8)&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container-title-short&quot;:&quot;Hum Exp Toxicol&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4,9)&quot;,&quot;manualOverrideText&quot;:&quot;&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container-title-short&quot;:&quot;Clin Toxicol&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isTemporary&quot;:false}],&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quot;},{&quot;citationID&quot;:&quot;MENDELEY_CITATION_bb3a1479-cd14-4c23-81ef-6525df102270&quot;,&quot;properties&quot;:{&quot;noteIndex&quot;:0},&quot;isEdited&quot;:false,&quot;manualOverride&quot;:{&quot;isManuallyOverridden&quot;:false,&quot;citeprocText&quot;:&quot;(10,11)&quot;,&quot;manualOverrideText&quot;:&quot;&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isTemporary&quot;:false}],&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quot;},{&quot;citationID&quot;:&quot;MENDELEY_CITATION_0a26a587-3b69-43dd-9661-0f2597324bbe&quot;,&quot;properties&quot;:{&quot;noteIndex&quot;:0},&quot;isEdited&quot;:false,&quot;manualOverride&quot;:{&quot;isManuallyOverridden&quot;:false,&quot;citeprocText&quot;:&quot;(12)&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cd5748-4c93-4adb-8b3e-0c21e9c9b912&quot;,&quot;properties&quot;:{&quot;noteIndex&quot;:0},&quot;isEdited&quot;:false,&quot;manualOverride&quot;:{&quot;isManuallyOverridden&quot;:false,&quot;citeprocText&quot;:&quot;(13,14)&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e2a5a02a-e8de-46e6-9df5-cf55454c10fe&quot;,&quot;properties&quot;:{&quot;noteIndex&quot;:0},&quot;isEdited&quot;:false,&quot;manualOverride&quot;:{&quot;isManuallyOverridden&quot;:false,&quot;citeprocText&quot;:&quot;(16)&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97c35b-e060-4916-8349-168c751fa0df&quot;,&quot;properties&quot;:{&quot;noteIndex&quot;:0},&quot;isEdited&quot;:false,&quot;manualOverride&quot;:{&quot;isManuallyOverridden&quot;:false,&quot;citeprocText&quot;:&quot;(12)&quot;,&quot;manualOverrideText&quot;:&quot;&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container-title-short&quot;:&quot;Clin Toxicol&quot;,&quot;DOI&quot;:&quot;10.1080/15563650.2016.1222616&quot;,&quot;ISSN&quot;:&quot;1556-3650&quot;,&quot;issued&quot;:{&quot;date-parts&quot;:[[2017,1,2]]},&quot;page&quot;:&quot;4-11&quot;,&quot;issue&quot;:&quot;1&quot;,&quot;volume&quot;:&quot;55&quot;},&quot;isTemporary&quot;:false}],&quot;citationTag&quot;:&quot;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quot;},{&quot;citationID&quot;:&quot;MENDELEY_CITATION_508f4072-cb3a-4f53-b2e4-638b158d2fdd&quot;,&quot;properties&quot;:{&quot;noteIndex&quot;:0},&quot;isEdited&quot;:false,&quot;manualOverride&quot;:{&quot;isManuallyOverridden&quot;:false,&quot;citeprocText&quot;:&quot;(17,18)&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48</cp:revision>
  <cp:lastPrinted>2025-02-14T19:47:00Z</cp:lastPrinted>
  <dcterms:created xsi:type="dcterms:W3CDTF">2025-02-17T14:29:00Z</dcterms:created>
  <dcterms:modified xsi:type="dcterms:W3CDTF">2025-02-17T23:25:00Z</dcterms:modified>
</cp:coreProperties>
</file>