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4C92E510" w14:textId="33092A45" w:rsidR="001A190F" w:rsidRDefault="00FF06F8">
      <w:pPr>
        <w:spacing w:before="240" w:line="360" w:lineRule="auto"/>
        <w:rPr>
          <w:lang w:val="en-US"/>
        </w:rPr>
      </w:pPr>
      <w:r>
        <w:rPr>
          <w:lang w:val="en-US"/>
        </w:rPr>
        <w:t>Although</w:t>
      </w:r>
      <w:r w:rsidR="00EC029F">
        <w:rPr>
          <w:lang w:val="en-US"/>
        </w:rPr>
        <w:t xml:space="preserve"> exposures to substances are prevalent</w:t>
      </w:r>
      <w:r>
        <w:rPr>
          <w:lang w:val="en-US"/>
        </w:rPr>
        <w:t>, severe clinical outcomes are rare. Of the 2,483,183 calls to Poison Control in the United States</w:t>
      </w:r>
      <w:r w:rsidR="00EC029F">
        <w:rPr>
          <w:lang w:val="en-US"/>
        </w:rPr>
        <w:t xml:space="preserve"> in 2022</w:t>
      </w:r>
      <w:r>
        <w:rPr>
          <w:lang w:val="en-US"/>
        </w:rPr>
        <w:t xml:space="preserve">, 2,622 (0.1%) involved a fatality and 38, 739 (1.88%) had a major clinical effect </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
          <w:id w:val="1390840746"/>
          <w:placeholder>
            <w:docPart w:val="DefaultPlaceholder_-1854013440"/>
          </w:placeholder>
        </w:sdtPr>
        <w:sdtContent>
          <w:r w:rsidR="00453736" w:rsidRPr="00453736">
            <w:rPr>
              <w:color w:val="000000"/>
              <w:lang w:val="en-US"/>
            </w:rPr>
            <w:t>(1)</w:t>
          </w:r>
        </w:sdtContent>
      </w:sdt>
      <w:r>
        <w:rPr>
          <w:lang w:val="en-US"/>
        </w:rPr>
        <w:t>.</w:t>
      </w:r>
      <w:r w:rsidR="001A190F">
        <w:rPr>
          <w:lang w:val="en-US"/>
        </w:rPr>
        <w:t xml:space="preserve"> The rarity of </w:t>
      </w:r>
      <w:r w:rsidR="008C3496">
        <w:rPr>
          <w:lang w:val="en-US"/>
        </w:rPr>
        <w:t>life-threatening</w:t>
      </w:r>
      <w:r w:rsidR="001A190F">
        <w:rPr>
          <w:lang w:val="en-US"/>
        </w:rPr>
        <w:t xml:space="preserve"> ingestions leads to</w:t>
      </w:r>
      <w:r w:rsidR="008C3496">
        <w:rPr>
          <w:lang w:val="en-US"/>
        </w:rPr>
        <w:t xml:space="preserve"> the diagnostic challenge of how to identify </w:t>
      </w:r>
      <w:r w:rsidR="00EC029F">
        <w:rPr>
          <w:lang w:val="en-US"/>
        </w:rPr>
        <w:t>them without subjecting others to unnecessary care and needlessly consuming resources</w:t>
      </w:r>
      <w:r w:rsidR="001A190F">
        <w:rPr>
          <w:lang w:val="en-US"/>
        </w:rPr>
        <w:t>. Approximately 25%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I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
          <w:id w:val="370730654"/>
          <w:placeholder>
            <w:docPart w:val="DefaultPlaceholder_-1854013440"/>
          </w:placeholder>
        </w:sdtPr>
        <w:sdtContent>
          <w:r w:rsidR="00453736" w:rsidRPr="00453736">
            <w:rPr>
              <w:color w:val="000000"/>
              <w:lang w:val="en-US"/>
            </w:rPr>
            <w:t>(2)</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453736" w:rsidRPr="00453736">
            <w:rPr>
              <w:bCs/>
              <w:color w:val="000000"/>
              <w:lang w:val="en-US"/>
            </w:rPr>
            <w:t>(3)</w:t>
          </w:r>
        </w:sdtContent>
      </w:sdt>
      <w:r w:rsidR="008C3496">
        <w:rPr>
          <w:bCs/>
          <w:color w:val="000000"/>
          <w:lang w:val="en-US"/>
        </w:rPr>
        <w:t>.</w:t>
      </w:r>
      <w:r w:rsidR="00302C6E">
        <w:rPr>
          <w:bCs/>
          <w:color w:val="000000"/>
          <w:lang w:val="en-US"/>
        </w:rPr>
        <w:t xml:space="preserve"> </w:t>
      </w:r>
    </w:p>
    <w:p w14:paraId="2CE5FF12" w14:textId="07B44D0F" w:rsidR="00DB2EAD" w:rsidRDefault="00453736">
      <w:pPr>
        <w:spacing w:before="240" w:line="360" w:lineRule="auto"/>
        <w:rPr>
          <w:lang w:val="en-US"/>
        </w:rPr>
      </w:pPr>
      <w:r>
        <w:rPr>
          <w:lang w:val="en-US"/>
        </w:rPr>
        <w:t xml:space="preserve">The success of clinical decision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
          <w:id w:val="797575358"/>
          <w:placeholder>
            <w:docPart w:val="6C90DA15371748448AF5B1E67FBB0F88"/>
          </w:placeholder>
        </w:sdtPr>
        <w:sdtContent>
          <w:r w:rsidRPr="00453736">
            <w:rPr>
              <w:color w:val="000000"/>
              <w:lang w:val="en-US"/>
            </w:rPr>
            <w:t>(5)</w:t>
          </w:r>
        </w:sdtContent>
      </w:sdt>
      <w:r>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Pr="00453736">
            <w:rPr>
              <w:color w:val="000000"/>
              <w:lang w:val="en-US"/>
            </w:rPr>
            <w:t>(6)</w:t>
          </w:r>
        </w:sdtContent>
      </w:sdt>
      <w:r>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Pr="00453736">
            <w:rPr>
              <w:color w:val="000000"/>
              <w:lang w:val="en-US"/>
            </w:rPr>
            <w:t>(7,8)</w:t>
          </w:r>
        </w:sdtContent>
      </w:sdt>
      <w:r>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"/>
          <w:id w:val="-1612661734"/>
          <w:placeholder>
            <w:docPart w:val="6C90DA15371748448AF5B1E67FBB0F88"/>
          </w:placeholder>
        </w:sdtPr>
        <w:sdtContent>
          <w:r w:rsidRPr="00453736">
            <w:rPr>
              <w:color w:val="000000"/>
              <w:lang w:val="en-US"/>
            </w:rPr>
            <w:t>(4,9)</w:t>
          </w:r>
        </w:sdtContent>
      </w:sdt>
      <w:r>
        <w:rPr>
          <w:lang w:val="en-US"/>
        </w:rPr>
        <w:t xml:space="preserve"> demonstrate that clinical decision to</w:t>
      </w:r>
      <w:r w:rsidR="00EC029F">
        <w:rPr>
          <w:lang w:val="en-US"/>
        </w:rPr>
        <w:t xml:space="preserve">ols can </w:t>
      </w:r>
      <w:r>
        <w:rPr>
          <w:lang w:val="en-US"/>
        </w:rPr>
        <w:t xml:space="preserve">identify those at risk for </w:t>
      </w:r>
      <w:r w:rsidR="00EC029F">
        <w:rPr>
          <w:lang w:val="en-US"/>
        </w:rPr>
        <w:t xml:space="preserve">serious clinical outcomes </w:t>
      </w:r>
      <w:r>
        <w:rPr>
          <w:lang w:val="en-US"/>
        </w:rPr>
        <w:t>after exposure</w:t>
      </w:r>
      <w:r w:rsidR="00EC029F">
        <w:rPr>
          <w:lang w:val="en-US"/>
        </w:rPr>
        <w:t xml:space="preserve"> and improve resource utilization</w:t>
      </w:r>
      <w:r>
        <w:rPr>
          <w:lang w:val="en-US"/>
        </w:rPr>
        <w:t>.</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236598664"/>
          <w:placeholder>
            <w:docPart w:val="D3D6BAF4CA32D64EAF09A537B9E1700E"/>
          </w:placeholder>
        </w:sdtPr>
        <w:sdtContent>
          <w:r w:rsidRPr="00453736">
            <w:rPr>
              <w:color w:val="000000"/>
              <w:lang w:val="en-US"/>
            </w:rPr>
            <w:t>(4)</w:t>
          </w:r>
        </w:sdtContent>
      </w:sdt>
      <w:r w:rsidR="009269C3">
        <w:rPr>
          <w:lang w:val="en-US"/>
        </w:rPr>
        <w:t xml:space="preserve">. </w:t>
      </w:r>
    </w:p>
    <w:p w14:paraId="031BADF0" w14:textId="57282B43" w:rsidR="007624F2" w:rsidRDefault="00F9593A" w:rsidP="0063602E">
      <w:pPr>
        <w:spacing w:before="240" w:line="360" w:lineRule="auto"/>
        <w:rPr>
          <w:lang w:val="en-US"/>
        </w:rPr>
      </w:pPr>
      <w:r>
        <w:rPr>
          <w:lang w:val="en-US"/>
        </w:rPr>
        <w:t xml:space="preserve">Despite their success, these decision support tools apply </w:t>
      </w:r>
      <w:r w:rsidR="0081354A">
        <w:rPr>
          <w:lang w:val="en-US"/>
        </w:rPr>
        <w:t xml:space="preserve">only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agent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wLDEx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n0sImlzVGVtcG9yYXJ5IjpmYWxzZX1dfQ=="/>
          <w:id w:val="665215428"/>
          <w:placeholder>
            <w:docPart w:val="DefaultPlaceholder_-1854013440"/>
          </w:placeholder>
        </w:sdtPr>
        <w:sdtContent>
          <w:r w:rsidR="00453736" w:rsidRPr="00453736">
            <w:rPr>
              <w:color w:val="000000"/>
              <w:lang w:val="en-US"/>
            </w:rPr>
            <w:t>(10,11)</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determine whether poisoned patients required ICU admission or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9626C5">
            <w:rPr>
              <w:color w:val="000000"/>
              <w:lang w:val="en-US"/>
            </w:rPr>
            <w:t xml:space="preserve"> </w:t>
          </w:r>
          <w:r w:rsidR="00453736" w:rsidRPr="00453736">
            <w:rPr>
              <w:color w:val="000000"/>
              <w:lang w:val="en-US"/>
            </w:rPr>
            <w:t>(12)</w:t>
          </w:r>
        </w:sdtContent>
      </w:sdt>
      <w:r w:rsidRPr="00B149C3">
        <w:rPr>
          <w:lang w:val="en-US"/>
        </w:rPr>
        <w:t xml:space="preserve">. </w:t>
      </w:r>
      <w:r w:rsidR="009626C5">
        <w:rPr>
          <w:lang w:val="en-US"/>
        </w:rPr>
        <w:t xml:space="preserve">The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02964521" w14:textId="591D548F" w:rsidR="001F2A7F" w:rsidRPr="00F9593A" w:rsidRDefault="001C1218" w:rsidP="0063602E">
      <w:pPr>
        <w:spacing w:before="240" w:line="360" w:lineRule="auto"/>
        <w:rPr>
          <w:lang w:val="en-US"/>
        </w:rPr>
      </w:pPr>
      <w:r>
        <w:rPr>
          <w:lang w:val="en-US"/>
        </w:rPr>
        <w:t>In th</w:t>
      </w:r>
      <w:r w:rsidR="00BE0422">
        <w:rPr>
          <w:lang w:val="en-US"/>
        </w:rPr>
        <w:t>e</w:t>
      </w:r>
      <w:r>
        <w:rPr>
          <w:lang w:val="en-US"/>
        </w:rPr>
        <w:t xml:space="preserve"> initial derivation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Pr="00B149C3">
        <w:rPr>
          <w:lang w:val="en-US"/>
        </w:rPr>
        <w:t xml:space="preserve">. </w:t>
      </w:r>
      <w:r w:rsidR="00A62ABE">
        <w:rPr>
          <w:lang w:val="en-US"/>
        </w:rPr>
        <w:t>INTOXICATE was derived from patients already admitted to the ICU.</w:t>
      </w:r>
      <w:r w:rsidR="00A62ABE">
        <w:rPr>
          <w:lang w:val="en-US"/>
        </w:rPr>
        <w:t xml:space="preserve"> </w:t>
      </w:r>
      <w:r w:rsidR="00A62ABE" w:rsidRPr="00B149C3">
        <w:rPr>
          <w:lang w:val="en-US"/>
        </w:rPr>
        <w:t xml:space="preserve">If INTOXICATE </w:t>
      </w:r>
      <w:r w:rsidR="00A62ABE">
        <w:rPr>
          <w:lang w:val="en-US"/>
        </w:rPr>
        <w:t xml:space="preserve">generalizes to </w:t>
      </w:r>
      <w:r w:rsidR="00A62ABE" w:rsidRPr="00B149C3">
        <w:rPr>
          <w:lang w:val="en-US"/>
        </w:rPr>
        <w:t>the American healthcare system, it would</w:t>
      </w:r>
      <w:r w:rsidR="00A62ABE">
        <w:rPr>
          <w:lang w:val="en-US"/>
        </w:rPr>
        <w:t xml:space="preserve"> prevent unnecessary admissions</w:t>
      </w:r>
      <w:r w:rsidR="00A62ABE" w:rsidRPr="00B149C3">
        <w:rPr>
          <w:lang w:val="en-US"/>
        </w:rPr>
        <w:t xml:space="preserve"> and increase ICU</w:t>
      </w:r>
      <w:r w:rsidR="00A62ABE">
        <w:rPr>
          <w:lang w:val="en-US"/>
        </w:rPr>
        <w:t xml:space="preserve"> capacity</w:t>
      </w:r>
      <w:r w:rsidR="00A62ABE" w:rsidRPr="00B149C3">
        <w:rPr>
          <w:lang w:val="en-US"/>
        </w:rPr>
        <w:t>.</w:t>
      </w:r>
      <w:r w:rsidR="00A62ABE">
        <w:rPr>
          <w:lang w:val="en-US"/>
        </w:rPr>
        <w:t xml:space="preserve"> </w:t>
      </w:r>
      <w:r w:rsidR="00A62ABE">
        <w:rPr>
          <w:lang w:val="en-US"/>
        </w:rPr>
        <w:t xml:space="preserve">A critical difference between the Dutch and US healthcare systems is that in America, </w:t>
      </w:r>
      <w:r w:rsidR="005517D4">
        <w:rPr>
          <w:lang w:val="en-US"/>
        </w:rPr>
        <w:t xml:space="preserve">substantial care happens in the Emergency Department, directed </w:t>
      </w:r>
      <w:r w:rsidR="00A62ABE">
        <w:rPr>
          <w:lang w:val="en-US"/>
        </w:rPr>
        <w:t xml:space="preserve">by the Emergency Physician in consultation with </w:t>
      </w:r>
      <w:r w:rsidR="00A62ABE">
        <w:rPr>
          <w:lang w:val="en-US"/>
        </w:rPr>
        <w:lastRenderedPageBreak/>
        <w:t>bedside toxicology or Poison Control</w:t>
      </w:r>
      <w:r w:rsidR="005517D4">
        <w:rPr>
          <w:lang w:val="en-US"/>
        </w:rPr>
        <w:t xml:space="preserve"> rather</w:t>
      </w:r>
      <w:r w:rsidR="00A62ABE">
        <w:rPr>
          <w:lang w:val="en-US"/>
        </w:rPr>
        <w:t>.</w:t>
      </w:r>
      <w:r w:rsidR="00A62ABE">
        <w:rPr>
          <w:lang w:val="en-US"/>
        </w:rPr>
        <w:t xml:space="preserve"> </w:t>
      </w:r>
      <w:r w:rsidR="005517D4">
        <w:rPr>
          <w:lang w:val="en-US"/>
        </w:rPr>
        <w:t>This difference raises the question of whether INTOXICATE can be applied to patients in the Emergency Department.</w:t>
      </w:r>
    </w:p>
    <w:p w14:paraId="7ABC7D50" w14:textId="55D2F684" w:rsidR="00B00952" w:rsidRDefault="002734B5">
      <w:pPr>
        <w:spacing w:before="240" w:line="360" w:lineRule="auto"/>
        <w:rPr>
          <w:lang w:val="en-US"/>
        </w:rPr>
      </w:pPr>
      <w:r>
        <w:rPr>
          <w:lang w:val="en-US"/>
        </w:rPr>
        <w:t>The goal</w:t>
      </w:r>
      <w:r w:rsidR="00F7681F">
        <w:rPr>
          <w:lang w:val="en-US"/>
        </w:rPr>
        <w:t>s</w:t>
      </w:r>
      <w:r>
        <w:rPr>
          <w:lang w:val="en-US"/>
        </w:rPr>
        <w:t xml:space="preserve"> of </w:t>
      </w:r>
      <w:r w:rsidR="00401520">
        <w:rPr>
          <w:lang w:val="en-US"/>
        </w:rPr>
        <w:t>our</w:t>
      </w:r>
      <w:r>
        <w:rPr>
          <w:lang w:val="en-US"/>
        </w:rPr>
        <w:t xml:space="preserve"> study </w:t>
      </w:r>
      <w:r w:rsidR="00401520">
        <w:rPr>
          <w:lang w:val="en-US"/>
        </w:rPr>
        <w:t>were</w:t>
      </w:r>
      <w:r>
        <w:rPr>
          <w:lang w:val="en-US"/>
        </w:rPr>
        <w:t xml:space="preserve"> to </w:t>
      </w:r>
      <w:r w:rsidR="00F7681F">
        <w:rPr>
          <w:lang w:val="en-US"/>
        </w:rPr>
        <w:t>determine INTOXICATE</w:t>
      </w:r>
      <w:r w:rsidR="00DE65D6">
        <w:rPr>
          <w:lang w:val="en-US"/>
        </w:rPr>
        <w:t>’s</w:t>
      </w:r>
      <w:r w:rsidR="00F7681F">
        <w:rPr>
          <w:lang w:val="en-US"/>
        </w:rPr>
        <w:t xml:space="preserve"> performance in the American healthcare system and to </w:t>
      </w:r>
      <w:r w:rsidR="001F2A7F">
        <w:rPr>
          <w:lang w:val="en-US"/>
        </w:rPr>
        <w:t>evaluate the agreement between</w:t>
      </w:r>
      <w:r>
        <w:rPr>
          <w:lang w:val="en-US"/>
        </w:rPr>
        <w:t xml:space="preserve"> INTOXICATE</w:t>
      </w:r>
      <w:r w:rsidR="001F2A7F">
        <w:rPr>
          <w:lang w:val="en-US"/>
        </w:rPr>
        <w:t>’s assessment and that of</w:t>
      </w:r>
      <w:r>
        <w:rPr>
          <w:lang w:val="en-US"/>
        </w:rPr>
        <w:t xml:space="preserve"> the bedside toxicologist.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4274FA08"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the initial derivation study did not</w:t>
      </w:r>
      <w:r w:rsidR="006A45CB">
        <w:rPr>
          <w:lang w:val="en-US"/>
        </w:rPr>
        <w:t xml:space="preserve"> because adolescents comprise </w:t>
      </w:r>
      <w:r w:rsidR="00EC4135">
        <w:rPr>
          <w:lang w:val="en-US"/>
        </w:rPr>
        <w:t xml:space="preserve"> </w:t>
      </w:r>
      <w:r w:rsidR="00EC047F">
        <w:rPr>
          <w:lang w:val="en-US"/>
        </w:rPr>
        <w:t>130/605 (21</w:t>
      </w:r>
      <w:r w:rsidR="007B45BB">
        <w:rPr>
          <w:lang w:val="en-US"/>
        </w:rPr>
        <w:t>%</w:t>
      </w:r>
      <w:r w:rsidR="00EC047F">
        <w:rPr>
          <w:lang w:val="en-US"/>
        </w:rPr>
        <w:t>)</w:t>
      </w:r>
      <w:r w:rsidR="007B45BB">
        <w:rPr>
          <w:lang w:val="en-US"/>
        </w:rPr>
        <w:t xml:space="preserve"> of our consultations and </w:t>
      </w:r>
      <w:r w:rsidR="00826F00">
        <w:rPr>
          <w:lang w:val="en-US"/>
        </w:rPr>
        <w:t>31%</w:t>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zLDE0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453736" w:rsidRPr="00453736">
            <w:rPr>
              <w:color w:val="000000"/>
              <w:lang w:val="en-US"/>
            </w:rPr>
            <w:t>(13,14)</w:t>
          </w:r>
        </w:sdtContent>
      </w:sdt>
      <w:r w:rsidR="00EC047F">
        <w:rPr>
          <w:lang w:val="en-US"/>
        </w:rPr>
        <w:t xml:space="preserve">. </w:t>
      </w:r>
      <w:r w:rsidR="002455E2">
        <w:rPr>
          <w:lang w:val="en-US"/>
        </w:rPr>
        <w:t xml:space="preserve">We postulated that </w:t>
      </w:r>
      <w:r w:rsidR="00EC047F">
        <w:rPr>
          <w:lang w:val="en-US"/>
        </w:rPr>
        <w:t>INTOXICATE generalize</w:t>
      </w:r>
      <w:r w:rsidR="00781AB3">
        <w:rPr>
          <w:lang w:val="en-US"/>
        </w:rPr>
        <w:t>s</w:t>
      </w:r>
      <w:r w:rsidR="00EC047F">
        <w:rPr>
          <w:lang w:val="en-US"/>
        </w:rPr>
        <w:t xml:space="preserve"> to adolescents, who</w:t>
      </w:r>
      <w:r w:rsidR="008467F1">
        <w:rPr>
          <w:lang w:val="en-US"/>
        </w:rPr>
        <w:t xml:space="preserve"> 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r>
        <w:rPr>
          <w:b/>
          <w:i/>
          <w:color w:val="FF0000"/>
        </w:rPr>
        <w:t xml:space="preserve"> [COMMENT: Consider adding stronger justification for including adolescents, as the original study was on adults.]</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53E3B792"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453736" w:rsidRPr="00453736">
            <w:rPr>
              <w:color w:val="000000"/>
              <w:lang w:val="en-US"/>
            </w:rPr>
            <w:t>(15)</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E2KSIsIm1hbnVhbE92ZXJyaWRlVGV4dCI6IiJ9LCJjaXRhdGlvbkl0ZW1zIjpbeyJpZCI6IjUwNTU2MDlhLTU0YjEtMzVhNi1hYTZiLTNiNmU1MGE2NGIzMCIsIml0ZW1EYXRhIjp7InR5cGUiOiJhcnRpY2xlLWpvdXJuYWwiLCJpZCI6IjUwNTU2MDlhLTU0YjEtMzVhNi1hYTZiLTNiNmU1MGE2NGIzM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367108115"/>
          <w:placeholder>
            <w:docPart w:val="DefaultPlaceholder_-1854013440"/>
          </w:placeholder>
        </w:sdtPr>
        <w:sdtContent>
          <w:r w:rsidR="00453736" w:rsidRPr="00453736">
            <w:rPr>
              <w:color w:val="000000"/>
              <w:lang w:val="en-US"/>
            </w:rPr>
            <w:t>(16)</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proofErr w:type="gramStart"/>
      <w:r w:rsidR="00AD6D3C">
        <w:rPr>
          <w:color w:val="000000"/>
          <w:lang w:val="en-US"/>
        </w:rPr>
        <w:t>brevity</w:t>
      </w:r>
      <w:proofErr w:type="gramEnd"/>
      <w:r w:rsidR="00AD6D3C">
        <w:rPr>
          <w:color w:val="000000"/>
          <w:lang w:val="en-US"/>
        </w:rPr>
        <w:t xml:space="preserve"> we use the term “INTOXICATE” to mean the prediction model presented in </w:t>
      </w:r>
      <w:sdt>
        <w:sdtPr>
          <w:rPr>
            <w:color w:val="000000"/>
            <w:lang w:val="en-US"/>
          </w:rPr>
          <w:tag w:val="MENDELEY_CITATION_v3_eyJjaXRhdGlvbklEIjoiTUVOREVMRVlfQ0lUQVRJT05fY2Y5N2MzNWItZTA2MC00OTE2LTgzNDktMTY4Yzc1MWZhMGRm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Y29udGFpbmVyLXRpdGxlLXNob3J0IjoiQ2xpbiBUb3hpY29sIiwiRE9JIjoiMTAuMTA4MC8xNTU2MzY1MC4yMDE2LjEyMjI2MTYiLCJJU1NOIjoiMTU1Ni0zNjUwIiwiaXNzdWVkIjp7ImRhdGUtcGFydHMiOltbMjAxNywxLDJdXX0sInBhZ2UiOiI0LTExIiwiaXNzdWUiOiIxIiwidm9sdW1lIjoiNTUifSwiaXNUZW1wb3JhcnkiOmZhbHNlfV19"/>
          <w:id w:val="-1148359118"/>
          <w:placeholder>
            <w:docPart w:val="DefaultPlaceholder_-1854013440"/>
          </w:placeholder>
        </w:sdtPr>
        <w:sdtContent>
          <w:r w:rsidR="00453736" w:rsidRPr="00453736">
            <w:rPr>
              <w:color w:val="000000"/>
              <w:lang w:val="en-US"/>
            </w:rPr>
            <w:t>(12)</w:t>
          </w:r>
        </w:sdtContent>
      </w:sdt>
      <w:r w:rsidR="00AD6D3C">
        <w:rPr>
          <w:color w:val="000000"/>
          <w:lang w:val="en-US"/>
        </w:rPr>
        <w:t xml:space="preserve"> and derived from patients in the INTOXICATE cohort.</w:t>
      </w:r>
    </w:p>
    <w:p w14:paraId="172D42DA" w14:textId="39ADB829" w:rsidR="003C56C3" w:rsidRPr="003C56C3" w:rsidRDefault="0028017F">
      <w:pPr>
        <w:spacing w:before="240" w:line="360" w:lineRule="auto"/>
        <w:rPr>
          <w:color w:val="000000"/>
          <w:lang w:val="en-US"/>
        </w:rPr>
      </w:pPr>
      <w:r>
        <w:rPr>
          <w:color w:val="000000"/>
          <w:lang w:val="en-US"/>
        </w:rPr>
        <w:t xml:space="preserve">INTOXICATE defined dysrhythmia as </w:t>
      </w:r>
      <w:r w:rsidRPr="0028017F">
        <w:rPr>
          <w:color w:val="000000"/>
          <w:lang w:val="en-US"/>
        </w:rPr>
        <w:t>hemodynamic instability in the 24 hours before ICU admission</w:t>
      </w:r>
      <w:r w:rsidR="006A5162">
        <w:rPr>
          <w:color w:val="000000"/>
          <w:lang w:val="en-US"/>
        </w:rPr>
        <w:t xml:space="preserve"> and</w:t>
      </w:r>
      <w:r>
        <w:rPr>
          <w:color w:val="000000"/>
          <w:lang w:val="en-US"/>
        </w:rPr>
        <w:t xml:space="preserve"> a</w:t>
      </w:r>
      <w:r w:rsidRPr="0028017F">
        <w:rPr>
          <w:color w:val="000000"/>
          <w:lang w:val="en-US"/>
        </w:rPr>
        <w:t>rrhythmia</w:t>
      </w:r>
      <w:r>
        <w:rPr>
          <w:color w:val="000000"/>
          <w:lang w:val="en-US"/>
        </w:rPr>
        <w:t>,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 xml:space="preserve">trial </w:t>
      </w:r>
      <w:r w:rsidRPr="0028017F">
        <w:rPr>
          <w:color w:val="000000"/>
          <w:lang w:val="en-US"/>
        </w:rPr>
        <w:lastRenderedPageBreak/>
        <w:t>fibrillation with</w:t>
      </w:r>
      <w:r>
        <w:rPr>
          <w:color w:val="000000"/>
          <w:lang w:val="en-US"/>
        </w:rPr>
        <w:t xml:space="preserve"> a ventricular rate greater than 120 beats per minute. </w:t>
      </w:r>
      <w:r w:rsidR="00084F80">
        <w:rPr>
          <w:color w:val="000000"/>
          <w:lang w:val="en-US"/>
        </w:rPr>
        <w:t>We used the same definition.</w:t>
      </w:r>
    </w:p>
    <w:p w14:paraId="70A9254D" w14:textId="300D6731" w:rsidR="00B00952" w:rsidRPr="00F42DBD" w:rsidRDefault="00320148">
      <w:pPr>
        <w:spacing w:before="240" w:line="360" w:lineRule="auto"/>
        <w:rPr>
          <w:b/>
          <w:lang w:val="en-US"/>
        </w:rPr>
      </w:pPr>
      <w:r>
        <w:rPr>
          <w:iCs/>
          <w:lang w:val="en-US"/>
        </w:rPr>
        <w:t xml:space="preserve">INTOXICATE considers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0C310A2F" w14:textId="77777777" w:rsidR="00DA513A"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and did not die during admission. </w:t>
      </w:r>
    </w:p>
    <w:p w14:paraId="6C9AF790" w14:textId="3E64670F" w:rsidR="00B00952" w:rsidRPr="008C2F43" w:rsidRDefault="00000000">
      <w:pPr>
        <w:spacing w:before="240" w:line="360" w:lineRule="auto"/>
        <w:rPr>
          <w:b/>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prediction disposition and the treating physician's decision.</w:t>
      </w:r>
      <w:r w:rsidR="00DE4886">
        <w:rPr>
          <w:lang w:val="en-US"/>
        </w:rPr>
        <w:t xml:space="preserve"> We calculated inter-rater reliability using Cohen’s </w:t>
      </w:r>
      <w:r w:rsidR="00DE4886">
        <w:rPr>
          <w:lang w:val="en-US"/>
        </w:rPr>
        <w:sym w:font="Symbol" w:char="F06B"/>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53AF161C"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112 patients</w:t>
      </w:r>
      <w:r w:rsidR="00DA513A">
        <w:rPr>
          <w:iCs/>
          <w:lang w:val="en-US"/>
        </w:rPr>
        <w:t>. We</w:t>
      </w:r>
      <w:r w:rsidR="007D6620">
        <w:rPr>
          <w:iCs/>
          <w:lang w:val="en-US"/>
        </w:rPr>
        <w:t xml:space="preserve"> </w:t>
      </w:r>
      <w:r w:rsidR="00CD7645">
        <w:rPr>
          <w:iCs/>
          <w:lang w:val="en-US"/>
        </w:rPr>
        <w:t xml:space="preserve">excluded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 of the adolescents and adults were, 15 [14-16] and 35 [28-50], respectively, expressed as median [interquartile ran</w:t>
      </w:r>
      <w:r w:rsidR="005D2FE0">
        <w:rPr>
          <w:iCs/>
          <w:lang w:val="en-US"/>
        </w:rPr>
        <w:t>ge].</w:t>
      </w:r>
      <w:r w:rsidR="00DE38C1">
        <w:rPr>
          <w:iCs/>
          <w:lang w:val="en-US"/>
        </w:rPr>
        <w:t xml:space="preserve"> </w:t>
      </w:r>
      <w:r w:rsidR="00250A5B">
        <w:rPr>
          <w:iCs/>
          <w:lang w:val="en-US"/>
        </w:rPr>
        <w:t xml:space="preserve">Adults were more likely to be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DA513A">
        <w:rPr>
          <w:iCs/>
          <w:lang w:val="en-US"/>
        </w:rPr>
        <w:t>.</w:t>
      </w:r>
      <w:r w:rsidR="00250A5B">
        <w:rPr>
          <w:iCs/>
          <w:lang w:val="en-US"/>
        </w:rPr>
        <w:t xml:space="preserve"> </w:t>
      </w:r>
      <w:r w:rsidR="00DA513A">
        <w:rPr>
          <w:iCs/>
          <w:lang w:val="en-US"/>
        </w:rPr>
        <w:t>A</w:t>
      </w:r>
      <w:r w:rsidR="00250A5B">
        <w:rPr>
          <w:iCs/>
          <w:lang w:val="en-US"/>
        </w:rPr>
        <w:t xml:space="preserve">dolescents </w:t>
      </w:r>
      <w:r w:rsidR="00DA513A">
        <w:rPr>
          <w:iCs/>
          <w:lang w:val="en-US"/>
        </w:rPr>
        <w:t xml:space="preserve">were </w:t>
      </w:r>
      <w:r w:rsidR="00250A5B">
        <w:rPr>
          <w:iCs/>
          <w:lang w:val="en-US"/>
        </w:rPr>
        <w:t>more likely to be discharged</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 xml:space="preserve">to </w:t>
      </w:r>
      <w:r w:rsidR="00B62118" w:rsidRPr="00B62118">
        <w:rPr>
          <w:lang w:val="en-US"/>
        </w:rPr>
        <w:lastRenderedPageBreak/>
        <w:t>be</w:t>
      </w:r>
      <w:r w:rsidR="00B62118">
        <w:rPr>
          <w:lang w:val="en-US"/>
        </w:rPr>
        <w:t xml:space="preserve"> clinically meaningful.</w:t>
      </w:r>
      <w:r>
        <w:rPr>
          <w:b/>
          <w:i/>
          <w:color w:val="FF0000"/>
        </w:rPr>
        <w:t xml:space="preserve"> [COMMENT: Did you assess whether missing data were random or systematically related to certain patient characteristics?]</w:t>
      </w:r>
    </w:p>
    <w:p w14:paraId="050317AF" w14:textId="77777777" w:rsidR="00E11127" w:rsidRDefault="00000000">
      <w:pPr>
        <w:spacing w:before="240" w:line="360" w:lineRule="auto"/>
        <w:rPr>
          <w:lang w:val="en-US"/>
        </w:rPr>
      </w:pPr>
      <w:r w:rsidRPr="00B149C3">
        <w:rPr>
          <w:lang w:val="en-US"/>
        </w:rPr>
        <w:t>Of the 1</w:t>
      </w:r>
      <w:r w:rsidR="00EB0471">
        <w:rPr>
          <w:lang w:val="en-US"/>
        </w:rPr>
        <w:t>03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w:t>
      </w:r>
      <w:r w:rsidR="00AA13CD">
        <w:rPr>
          <w:lang w:val="en-US"/>
        </w:rPr>
        <w:t>73</w:t>
      </w:r>
      <w:r w:rsidRPr="00B149C3">
        <w:rPr>
          <w:lang w:val="en-US"/>
        </w:rPr>
        <w:t>%) were discharged or transferred directly to psychiatry.</w:t>
      </w:r>
      <w:r w:rsidR="00F54BA9">
        <w:rPr>
          <w:lang w:val="en-US"/>
        </w:rPr>
        <w:t xml:space="preserve"> INTOXICATE predicted admitting 61 (59%) patients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r>
        <w:rPr>
          <w:b/>
          <w:i/>
          <w:color w:val="FF0000"/>
        </w:rPr>
        <w:t xml:space="preserve"> [COMMENT: Since this is much higher than the toxicologist-recommended 21 ICU admissions, discuss whether the threshold score should be adjusted to reduce over-triage.]</w:t>
      </w:r>
    </w:p>
    <w:p w14:paraId="61FA2F26" w14:textId="7FC2EF5E" w:rsidR="00F8705F" w:rsidRDefault="00DB60AD">
      <w:pPr>
        <w:spacing w:before="240" w:line="360" w:lineRule="auto"/>
        <w:rPr>
          <w:lang w:val="en-US"/>
        </w:rPr>
      </w:pPr>
      <w:r>
        <w:rPr>
          <w:lang w:val="en-US"/>
        </w:rPr>
        <w:t>The inter-rater agreement between INTOXICATE’s predictions and the bedside toxicologists’ recommendations was not statistically significantly different than chance for either adolescents or adults (</w:t>
      </w:r>
      <w:r w:rsidRPr="00A7004B">
        <w:t xml:space="preserve">Table </w:t>
      </w:r>
      <w:r w:rsidRPr="00A7004B">
        <w:rPr>
          <w:noProof/>
        </w:rPr>
        <w:t>2</w:t>
      </w:r>
      <w:r>
        <w:rPr>
          <w:lang w:val="en-US"/>
        </w:rPr>
        <w:t xml:space="preserve">). </w:t>
      </w:r>
      <w:r w:rsidRPr="00B149C3">
        <w:rPr>
          <w:lang w:val="en-US"/>
        </w:rPr>
        <w:t xml:space="preserve">No patients for whom toxicology recommended a floor admission were admitted to a floor and then transferred to the ICU. No patients who were discharged but for whom INTOXICATE recommended admission returned to any hospital in the metropolitan area in 48 hours. </w:t>
      </w:r>
      <w:r w:rsidR="00A7004B">
        <w:rPr>
          <w:lang w:val="en-US"/>
        </w:rPr>
        <w:t xml:space="preserve"> </w:t>
      </w:r>
      <w:r>
        <w:rPr>
          <w:b/>
          <w:i/>
          <w:color w:val="FF0000"/>
        </w:rPr>
        <w:t xml:space="preserve"> [COMMENT: Highlight potential reasons for this poor agreement and whether modifications to INTOXICATE’s scoring might improve alignment.]</w:t>
      </w:r>
    </w:p>
    <w:p w14:paraId="779ECD93" w14:textId="1C30639F" w:rsidR="00920577" w:rsidRDefault="003B5E3B">
      <w:pPr>
        <w:spacing w:before="240" w:line="360" w:lineRule="auto"/>
        <w:rPr>
          <w:lang w:val="en-US"/>
        </w:rPr>
      </w:pPr>
      <w:r w:rsidRPr="00B149C3">
        <w:rPr>
          <w:b/>
          <w:bCs/>
          <w:lang w:val="en-US"/>
        </w:rPr>
        <w:t>Adults.</w:t>
      </w:r>
      <w:r>
        <w:rPr>
          <w:lang w:val="en-US"/>
        </w:rPr>
        <w:t xml:space="preserve"> </w:t>
      </w:r>
      <w:r w:rsidR="00C301A4">
        <w:rPr>
          <w:lang w:val="en-US"/>
        </w:rPr>
        <w:t>Of the 79 adults, 16</w:t>
      </w:r>
      <w:r w:rsidR="0007336A">
        <w:rPr>
          <w:lang w:val="en-US"/>
        </w:rPr>
        <w:t xml:space="preserve"> (20%)</w:t>
      </w:r>
      <w:r w:rsidR="00C301A4">
        <w:rPr>
          <w:lang w:val="en-US"/>
        </w:rPr>
        <w:t xml:space="preserve"> were admitted to the ICU. </w:t>
      </w:r>
      <w:r w:rsidR="007B1BD3">
        <w:rPr>
          <w:lang w:val="en-US"/>
        </w:rPr>
        <w:t xml:space="preserve">Of those 16, </w:t>
      </w:r>
      <w:r w:rsidR="00C301A4">
        <w:rPr>
          <w:lang w:val="en-US"/>
        </w:rPr>
        <w:t xml:space="preserve">INTOXICATE and toxicologist agreed that 11 (69%) required ICU admission. For the remaining 5, INTOXICATE </w:t>
      </w:r>
      <w:r w:rsidR="00CA7668">
        <w:rPr>
          <w:lang w:val="en-US"/>
        </w:rPr>
        <w:t>considered</w:t>
      </w:r>
      <w:r w:rsidR="00920577">
        <w:rPr>
          <w:lang w:val="en-US"/>
        </w:rPr>
        <w:t xml:space="preserve"> them a lower risk score because </w:t>
      </w:r>
      <w:r w:rsidR="00AB4801">
        <w:rPr>
          <w:lang w:val="en-US"/>
        </w:rPr>
        <w:t>it considered</w:t>
      </w:r>
      <w:r w:rsidR="00C301A4">
        <w:rPr>
          <w:lang w:val="en-US"/>
        </w:rPr>
        <w:t xml:space="preserve"> </w:t>
      </w:r>
      <w:r w:rsidR="00AB4801">
        <w:rPr>
          <w:lang w:val="en-US"/>
        </w:rPr>
        <w:t>the</w:t>
      </w:r>
      <w:r w:rsidR="001672E9">
        <w:rPr>
          <w:lang w:val="en-US"/>
        </w:rPr>
        <w:t xml:space="preserve"> xenobiotic to which exposure was reported </w:t>
      </w:r>
      <w:r w:rsidR="00AB4801">
        <w:rPr>
          <w:lang w:val="en-US"/>
        </w:rPr>
        <w:t>to be</w:t>
      </w:r>
      <w:r w:rsidR="00C301A4">
        <w:rPr>
          <w:lang w:val="en-US"/>
        </w:rPr>
        <w:t xml:space="preserve"> low risk</w:t>
      </w:r>
      <w:r w:rsidR="00541179">
        <w:rPr>
          <w:lang w:val="en-US"/>
        </w:rPr>
        <w:t>,</w:t>
      </w:r>
      <w:r w:rsidR="00C301A4">
        <w:rPr>
          <w:lang w:val="en-US"/>
        </w:rPr>
        <w:t xml:space="preserve"> there was no respiratory insufficiency or dysrhythmia</w:t>
      </w:r>
      <w:r w:rsidR="00541179">
        <w:rPr>
          <w:lang w:val="en-US"/>
        </w:rPr>
        <w:t xml:space="preserve">, </w:t>
      </w:r>
      <w:r w:rsidR="002157E1">
        <w:rPr>
          <w:lang w:val="en-US"/>
        </w:rPr>
        <w:t xml:space="preserve">and </w:t>
      </w:r>
      <w:r w:rsidR="00541179">
        <w:rPr>
          <w:lang w:val="en-US"/>
        </w:rPr>
        <w:t>their GCS scores were 15</w:t>
      </w:r>
      <w:r w:rsidR="00920577">
        <w:rPr>
          <w:lang w:val="en-US"/>
        </w:rPr>
        <w:t xml:space="preserve">. 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w:t>
      </w:r>
      <w:r w:rsidR="00C87DDD">
        <w:rPr>
          <w:lang w:val="en-US"/>
        </w:rPr>
        <w:t>T</w:t>
      </w:r>
      <w:r w:rsidR="00920577">
        <w:rPr>
          <w:lang w:val="en-US"/>
        </w:rPr>
        <w:t xml:space="preserve">hese differences were </w:t>
      </w:r>
      <w:r w:rsidR="00C87DDD">
        <w:rPr>
          <w:lang w:val="en-US"/>
        </w:rPr>
        <w:t xml:space="preserve">not </w:t>
      </w:r>
      <w:r w:rsidR="00920577">
        <w:rPr>
          <w:lang w:val="en-US"/>
        </w:rPr>
        <w:t xml:space="preserve">statistically significant. </w:t>
      </w:r>
      <w:r w:rsidR="006C5E6E">
        <w:rPr>
          <w:lang w:val="en-US"/>
        </w:rPr>
        <w:t xml:space="preserve"> Taking the toxicologist’s recommendation as the gold 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77B239D6" w:rsidR="00C301A4" w:rsidRDefault="00C301A4">
      <w:pPr>
        <w:spacing w:before="240" w:line="360" w:lineRule="auto"/>
        <w:rPr>
          <w:lang w:val="en-US"/>
        </w:rPr>
      </w:pPr>
      <w:r>
        <w:rPr>
          <w:lang w:val="en-US"/>
        </w:rPr>
        <w:lastRenderedPageBreak/>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/79 (49%) of patients whom the bedside toxicologist did not</w:t>
      </w:r>
      <w:r w:rsidR="00CA7668">
        <w:rPr>
          <w:lang w:val="en-US"/>
        </w:rPr>
        <w:t>. INTOXICATE considered them higher risk</w:t>
      </w:r>
      <w:r w:rsidR="00DC5955">
        <w:rPr>
          <w:lang w:val="en-US"/>
        </w:rPr>
        <w:t xml:space="preserve"> 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p>
    <w:p w14:paraId="0B44F441" w14:textId="416790CF" w:rsidR="00B00952" w:rsidRPr="00B149C3" w:rsidRDefault="003B5E3B">
      <w:pPr>
        <w:spacing w:before="240" w:line="360" w:lineRule="auto"/>
        <w:rPr>
          <w:lang w:val="en-US"/>
        </w:rPr>
      </w:pPr>
      <w:r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ingestion</w:t>
      </w:r>
      <w:r w:rsidR="00891FD8">
        <w:rPr>
          <w:lang w:val="en-US"/>
        </w:rPr>
        <w:t xml:space="preserve"> acetaminophen </w:t>
      </w:r>
      <w:r w:rsidR="00B62118">
        <w:rPr>
          <w:lang w:val="en-US"/>
        </w:rPr>
        <w:t>requiring N-acetylcysteine</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 xml:space="preserve">he other presented with alcohol intoxication and was hypertensive, tachycardic, with GCS 10 (IRS = 4). </w:t>
      </w:r>
      <w:r w:rsidR="003C56C3">
        <w:rPr>
          <w:lang w:val="en-US"/>
        </w:rPr>
        <w:t xml:space="preserve">In INTOXICATE’s schema, </w:t>
      </w:r>
      <w:r w:rsidR="00B62118">
        <w:rPr>
          <w:lang w:val="en-US"/>
        </w:rPr>
        <w:t xml:space="preserve">report of </w:t>
      </w:r>
      <w:r w:rsidR="003C56C3">
        <w:rPr>
          <w:lang w:val="en-US"/>
        </w:rPr>
        <w:t xml:space="preserve">alcohol ingestion decreases the </w:t>
      </w:r>
      <w:r w:rsidR="00CA51F0">
        <w:rPr>
          <w:lang w:val="en-US"/>
        </w:rPr>
        <w:t>need for</w:t>
      </w:r>
      <w:r w:rsidR="003C56C3">
        <w:rPr>
          <w:lang w:val="en-US"/>
        </w:rPr>
        <w:t xml:space="preserve"> ICU admission. </w:t>
      </w:r>
      <w:r w:rsidR="001E5763">
        <w:rPr>
          <w:lang w:val="en-US"/>
        </w:rPr>
        <w:t xml:space="preserve">INTOXICATE </w:t>
      </w:r>
      <w:r>
        <w:rPr>
          <w:lang w:val="en-US"/>
        </w:rPr>
        <w:t xml:space="preserve">recommended the </w:t>
      </w:r>
      <w:r w:rsidR="001E5763">
        <w:rPr>
          <w:lang w:val="en-US"/>
        </w:rPr>
        <w:t xml:space="preserve">ICU </w:t>
      </w:r>
      <w:r>
        <w:rPr>
          <w:lang w:val="en-US"/>
        </w:rPr>
        <w:t>for</w:t>
      </w:r>
      <w:r w:rsidR="001E5763">
        <w:rPr>
          <w:lang w:val="en-US"/>
        </w:rPr>
        <w:t xml:space="preserve"> 9 </w:t>
      </w:r>
      <w:r w:rsidR="00B62118">
        <w:rPr>
          <w:lang w:val="en-US"/>
        </w:rPr>
        <w:t>adolescents</w:t>
      </w:r>
      <w:r w:rsidR="001E5763">
        <w:rPr>
          <w:lang w:val="en-US"/>
        </w:rPr>
        <w:t xml:space="preserve"> for whom </w:t>
      </w:r>
      <w:r w:rsidR="00EB4271">
        <w:rPr>
          <w:lang w:val="en-US"/>
        </w:rPr>
        <w:t>T</w:t>
      </w:r>
      <w:r w:rsidR="001E5763">
        <w:rPr>
          <w:lang w:val="en-US"/>
        </w:rPr>
        <w:t>oxicology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522A6A">
        <w:rPr>
          <w:i/>
          <w:iCs/>
          <w:lang w:val="en-US"/>
        </w:rPr>
        <w:t>.</w:t>
      </w:r>
      <w:r w:rsidR="00857310">
        <w:rPr>
          <w:lang w:val="en-US"/>
        </w:rPr>
        <w:t xml:space="preserve"> </w:t>
      </w:r>
      <w:r>
        <w:rPr>
          <w:b/>
          <w:i/>
          <w:color w:val="FF0000"/>
        </w:rPr>
        <w:t xml:space="preserve"> [COMMENT: Acknowledge that this subgroup may be underpowered for robust statistical conclusions.]</w:t>
      </w: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02CF2E4E" w14:textId="77777777" w:rsidR="00DC246C"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 xml:space="preserve">to patients </w:t>
      </w:r>
      <w:r w:rsidR="00B34364">
        <w:rPr>
          <w:lang w:val="en-US"/>
        </w:rPr>
        <w:t xml:space="preserve">in our study </w:t>
      </w:r>
      <w:r w:rsidRPr="00B149C3">
        <w:rPr>
          <w:lang w:val="en-US"/>
        </w:rPr>
        <w:t>for whom toxicology recommended ICU admission, INTOXICATE would have reduced ICU admissions by 33% (7/21), consistent with the</w:t>
      </w:r>
      <w:r w:rsidR="004605B2">
        <w:rPr>
          <w:lang w:val="en-US"/>
        </w:rPr>
        <w:t xml:space="preserve"> initial derivation study.</w:t>
      </w:r>
      <w:r w:rsidR="003F3BA6">
        <w:rPr>
          <w:lang w:val="en-US"/>
        </w:rPr>
        <w:t xml:space="preserve"> </w:t>
      </w:r>
      <w:r w:rsidR="00597A8B">
        <w:rPr>
          <w:lang w:val="en-US"/>
        </w:rPr>
        <w:t xml:space="preserve">If applied to all Emergency Department </w:t>
      </w:r>
      <w:r w:rsidR="00597A8B">
        <w:rPr>
          <w:lang w:val="en-US"/>
        </w:rPr>
        <w:lastRenderedPageBreak/>
        <w:t>patients who received a toxicology consult</w:t>
      </w:r>
      <w:r w:rsidR="0072552F">
        <w:rPr>
          <w:lang w:val="en-US"/>
        </w:rPr>
        <w:t xml:space="preserve">, </w:t>
      </w:r>
      <w:r w:rsidR="0072552F" w:rsidRPr="00B149C3">
        <w:rPr>
          <w:lang w:val="en-US"/>
        </w:rPr>
        <w:t>INTOXICATE</w:t>
      </w:r>
      <w:r w:rsidRPr="00B149C3">
        <w:rPr>
          <w:lang w:val="en-US"/>
        </w:rPr>
        <w:t xml:space="preserve"> </w:t>
      </w:r>
      <w:r w:rsidR="00181869">
        <w:rPr>
          <w:lang w:val="en-US"/>
        </w:rPr>
        <w:t xml:space="preserve">nearly tripled </w:t>
      </w:r>
      <w:r w:rsidRPr="00B149C3">
        <w:rPr>
          <w:lang w:val="en-US"/>
        </w:rPr>
        <w:t>ICU utilization</w:t>
      </w:r>
      <w:r w:rsidR="00805F8D">
        <w:rPr>
          <w:lang w:val="en-US"/>
        </w:rPr>
        <w:t xml:space="preserve">, </w:t>
      </w:r>
      <w:r w:rsidRPr="00B149C3">
        <w:rPr>
          <w:lang w:val="en-US"/>
        </w:rPr>
        <w:t>from 2</w:t>
      </w:r>
      <w:r w:rsidR="009472D9">
        <w:rPr>
          <w:lang w:val="en-US"/>
        </w:rPr>
        <w:t>1</w:t>
      </w:r>
      <w:r w:rsidRPr="00B149C3">
        <w:rPr>
          <w:lang w:val="en-US"/>
        </w:rPr>
        <w:t xml:space="preserve"> </w:t>
      </w:r>
      <w:r w:rsidR="00805F8D">
        <w:rPr>
          <w:lang w:val="en-US"/>
        </w:rPr>
        <w:t xml:space="preserve">ICU admissions </w:t>
      </w:r>
      <w:r w:rsidRPr="00B149C3">
        <w:rPr>
          <w:lang w:val="en-US"/>
        </w:rPr>
        <w:t xml:space="preserve">to </w:t>
      </w:r>
      <w:r w:rsidR="00181869">
        <w:rPr>
          <w:lang w:val="en-US"/>
        </w:rPr>
        <w:t>61</w:t>
      </w:r>
      <w:r w:rsidRPr="00B149C3">
        <w:rPr>
          <w:lang w:val="en-US"/>
        </w:rPr>
        <w:t xml:space="preserve">. </w:t>
      </w:r>
      <w:r w:rsidR="005F0D70">
        <w:rPr>
          <w:lang w:val="en-US"/>
        </w:rPr>
        <w:t xml:space="preserve"> </w:t>
      </w:r>
      <w:r w:rsidR="009472D9">
        <w:rPr>
          <w:lang w:val="en-US"/>
        </w:rPr>
        <w:t>We found that INTOXICATE had no statistically significant agreement with bedside toxicologists.</w:t>
      </w:r>
    </w:p>
    <w:p w14:paraId="75B8E0FD" w14:textId="10E54AD3"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low agreement between INTOXICATE and </w:t>
      </w:r>
      <w:r w:rsidR="00B90460">
        <w:rPr>
          <w:lang w:val="en-US"/>
        </w:rPr>
        <w:t>the bedside toxicologist</w:t>
      </w:r>
      <w:r>
        <w:rPr>
          <w:lang w:val="en-US"/>
        </w:rPr>
        <w:t xml:space="preserve">. </w:t>
      </w:r>
      <w:r w:rsidR="00DC246C">
        <w:rPr>
          <w:lang w:val="en-US"/>
        </w:rPr>
        <w:t xml:space="preserve">In the US healthcare system, the most likely user of INTOXICATE is the Emergency Physician, who determines the initial level of care.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Pr>
          <w:lang w:val="en-US"/>
        </w:rPr>
        <w:t>.</w:t>
      </w:r>
      <w:r w:rsidRPr="00B149C3">
        <w:rPr>
          <w:lang w:val="en-US"/>
        </w:rPr>
        <w:t xml:space="preserve"> </w:t>
      </w:r>
      <w:r w:rsidR="00097872">
        <w:rPr>
          <w:lang w:val="en-US"/>
        </w:rPr>
        <w:t xml:space="preserve">The agreement between INTOXICATE and the initial disposition may </w:t>
      </w:r>
      <w:r w:rsidR="005A6771">
        <w:rPr>
          <w:lang w:val="en-US"/>
        </w:rPr>
        <w:t>be different</w:t>
      </w:r>
      <w:r w:rsidR="00097872">
        <w:rPr>
          <w:lang w:val="en-US"/>
        </w:rPr>
        <w:t xml:space="preserve"> in health care systems that use Poison C</w:t>
      </w:r>
      <w:r w:rsidR="009F0C4A">
        <w:rPr>
          <w:lang w:val="en-US"/>
        </w:rPr>
        <w:t xml:space="preserve">ontrol </w:t>
      </w:r>
      <w:r w:rsidR="005A6771">
        <w:rPr>
          <w:lang w:val="en-US"/>
        </w:rPr>
        <w:t>instead of</w:t>
      </w:r>
      <w:r w:rsidR="00097872">
        <w:rPr>
          <w:lang w:val="en-US"/>
        </w:rPr>
        <w:t xml:space="preserve"> bedside </w:t>
      </w:r>
      <w:r w:rsidR="009F0C4A">
        <w:rPr>
          <w:lang w:val="en-US"/>
        </w:rPr>
        <w:t>consultation</w:t>
      </w:r>
      <w:r w:rsidR="00097872">
        <w:rPr>
          <w:lang w:val="en-US"/>
        </w:rPr>
        <w:t>.</w:t>
      </w:r>
      <w:r w:rsidR="0075052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xml:space="preserve">, such as </w:t>
      </w:r>
      <w:r w:rsidR="00C133E8">
        <w:rPr>
          <w:lang w:val="en-US"/>
        </w:rPr>
        <w:t>clonus, abnormal EKG intervals, progressive limb swelling, inability to tolerate food or liquid by mouth, or acidemia.</w:t>
      </w:r>
      <w:r w:rsidR="00C133E8" w:rsidRPr="00B149C3">
        <w:rPr>
          <w:lang w:val="en-US"/>
        </w:rPr>
        <w:t xml:space="preserve"> </w:t>
      </w:r>
      <w:r w:rsidR="00C133E8">
        <w:rPr>
          <w:lang w:val="en-US"/>
        </w:rPr>
        <w:t>INTOXICATE does not consider trends in vital signs.</w:t>
      </w:r>
      <w:r w:rsidR="005408B1">
        <w:rPr>
          <w:lang w:val="en-US"/>
        </w:rPr>
        <w:t xml:space="preserve"> </w:t>
      </w:r>
      <w:r w:rsidR="00C133E8">
        <w:rPr>
          <w:lang w:val="en-US"/>
        </w:rPr>
        <w:t>Some Emergency Departments may be able to observe patients for long</w:t>
      </w:r>
      <w:r w:rsidR="005408B1">
        <w:rPr>
          <w:lang w:val="en-US"/>
        </w:rPr>
        <w:t xml:space="preserve"> enough to discharge what would be an admission in other locales</w:t>
      </w:r>
      <w:r w:rsidR="00C133E8">
        <w:rPr>
          <w:lang w:val="en-US"/>
        </w:rPr>
        <w:t>.</w:t>
      </w:r>
      <w:r w:rsidR="00FC15AE">
        <w:rPr>
          <w:lang w:val="en-US"/>
        </w:rPr>
        <w:t xml:space="preserve"> </w:t>
      </w:r>
      <w:r w:rsidR="00DC246C" w:rsidRPr="00B149C3">
        <w:rPr>
          <w:lang w:val="en-US"/>
        </w:rPr>
        <w:t xml:space="preserve">The IRS threshold of 6 points </w:t>
      </w:r>
      <w:r w:rsidR="00DC246C">
        <w:rPr>
          <w:lang w:val="en-US"/>
        </w:rPr>
        <w:t xml:space="preserve">that </w:t>
      </w:r>
      <w:r w:rsidR="00DC246C" w:rsidRPr="00B149C3">
        <w:rPr>
          <w:lang w:val="en-US"/>
        </w:rPr>
        <w:t>was chosen by Brandenburg et. al. to minimize false negatives</w:t>
      </w:r>
      <w:r w:rsidR="00DC246C">
        <w:rPr>
          <w:lang w:val="en-US"/>
        </w:rPr>
        <w:t xml:space="preserve"> and may need adjustment for different healthcare systems.</w:t>
      </w:r>
      <w:r>
        <w:rPr>
          <w:b/>
          <w:i/>
          <w:color w:val="FF0000"/>
        </w:rPr>
        <w:t xml:space="preserve"> [COMMENT: Would adjusting this threshold (e.g., IRS &gt; 7) improve specificity without compromising sensitivity? Consider exploring this in the discussion.]</w:t>
      </w:r>
    </w:p>
    <w:p w14:paraId="5A2AD463" w14:textId="0B03D890" w:rsidR="0034509D" w:rsidRPr="00B149C3" w:rsidRDefault="006225C7">
      <w:pPr>
        <w:spacing w:before="240" w:line="360" w:lineRule="auto"/>
        <w:rPr>
          <w:lang w:val="en-US"/>
        </w:rPr>
      </w:pPr>
      <w:r>
        <w:rPr>
          <w:lang w:val="en-US"/>
        </w:rPr>
        <w:t xml:space="preserve">Our study did not </w:t>
      </w:r>
      <w:r w:rsidR="001F4979">
        <w:rPr>
          <w:lang w:val="en-US"/>
        </w:rPr>
        <w:t>evaluate</w:t>
      </w:r>
      <w:r>
        <w:rPr>
          <w:lang w:val="en-US"/>
        </w:rPr>
        <w:t xml:space="preserv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patients </w:t>
      </w:r>
      <w:r w:rsidRPr="00B149C3">
        <w:rPr>
          <w:lang w:val="en-US"/>
        </w:rPr>
        <w:t xml:space="preserve">with </w:t>
      </w:r>
      <w:r w:rsidR="00C133E8">
        <w:rPr>
          <w:lang w:val="en-US"/>
        </w:rPr>
        <w:t xml:space="preserve">isolated </w:t>
      </w:r>
      <w:r w:rsidRPr="00B149C3">
        <w:rPr>
          <w:lang w:val="en-US"/>
        </w:rPr>
        <w:t xml:space="preserve">alcohol intoxication.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w:t>
      </w:r>
      <w:r w:rsidR="00035DC7">
        <w:rPr>
          <w:lang w:val="en-US"/>
        </w:rPr>
        <w:t>our</w:t>
      </w:r>
      <w:r>
        <w:rPr>
          <w:lang w:val="en-US"/>
        </w:rPr>
        <w:t xml:space="preserve"> study, a</w:t>
      </w:r>
      <w:r w:rsidRPr="00B149C3">
        <w:rPr>
          <w:lang w:val="en-US"/>
        </w:rPr>
        <w:t xml:space="preserve">ll patients admitted to </w:t>
      </w:r>
      <w:r w:rsidR="00035DC7">
        <w:rPr>
          <w:lang w:val="en-US"/>
        </w:rPr>
        <w:t>the</w:t>
      </w:r>
      <w:r w:rsidRPr="00B149C3">
        <w:rPr>
          <w:lang w:val="en-US"/>
        </w:rPr>
        <w:t xml:space="preserve"> ICU had respiratory insufficiency</w:t>
      </w:r>
      <w:r w:rsidR="00CC03A0">
        <w:rPr>
          <w:lang w:val="en-US"/>
        </w:rPr>
        <w:t xml:space="preserve"> or a</w:t>
      </w:r>
      <w:r w:rsidRPr="00B149C3">
        <w:rPr>
          <w:lang w:val="en-US"/>
        </w:rPr>
        <w:t xml:space="preserve"> dysrhythmia, or both</w:t>
      </w:r>
      <w:r w:rsidR="00035DC7">
        <w:rPr>
          <w:lang w:val="en-US"/>
        </w:rPr>
        <w:t>, but</w:t>
      </w:r>
      <w:r w:rsidRPr="00B149C3">
        <w:rPr>
          <w:lang w:val="en-US"/>
        </w:rPr>
        <w:t xml:space="preserve"> </w:t>
      </w:r>
      <w:r w:rsidR="00035DC7">
        <w:rPr>
          <w:lang w:val="en-US"/>
        </w:rPr>
        <w:t>7</w:t>
      </w:r>
      <w:r w:rsidR="007C6408">
        <w:rPr>
          <w:lang w:val="en-US"/>
        </w:rPr>
        <w:t xml:space="preserve"> of the 19</w:t>
      </w:r>
      <w:r w:rsidRPr="00B149C3">
        <w:rPr>
          <w:lang w:val="en-US"/>
        </w:rPr>
        <w:t xml:space="preserve"> patients </w:t>
      </w:r>
      <w:r w:rsidR="00B417E2">
        <w:rPr>
          <w:lang w:val="en-US"/>
        </w:rPr>
        <w:t>Toxicology</w:t>
      </w:r>
      <w:r w:rsidR="007C6408">
        <w:rPr>
          <w:lang w:val="en-US"/>
        </w:rPr>
        <w:t xml:space="preserve"> recommended discharg</w:t>
      </w:r>
      <w:r w:rsidR="00B417E2">
        <w:rPr>
          <w:lang w:val="en-US"/>
        </w:rPr>
        <w:t>ing</w:t>
      </w:r>
      <w:r w:rsidR="007C6408">
        <w:rPr>
          <w:lang w:val="en-US"/>
        </w:rPr>
        <w:t xml:space="preserve"> </w:t>
      </w:r>
      <w:r w:rsidRPr="00B149C3">
        <w:rPr>
          <w:lang w:val="en-US"/>
        </w:rPr>
        <w:t xml:space="preserve">had one of </w:t>
      </w:r>
      <w:r w:rsidR="007C6408">
        <w:rPr>
          <w:lang w:val="en-US"/>
        </w:rPr>
        <w:t>those</w:t>
      </w:r>
      <w:r w:rsidRPr="00B149C3">
        <w:rPr>
          <w:lang w:val="en-US"/>
        </w:rPr>
        <w:t xml:space="preserve"> co</w:t>
      </w:r>
      <w:r w:rsidR="00035DC7">
        <w:rPr>
          <w:lang w:val="en-US"/>
        </w:rPr>
        <w:t>nditions</w:t>
      </w:r>
      <w:r w:rsidR="007C6408">
        <w:rPr>
          <w:lang w:val="en-US"/>
        </w:rPr>
        <w:t>.</w:t>
      </w:r>
      <w:r w:rsidRPr="00B149C3">
        <w:rPr>
          <w:lang w:val="en-US"/>
        </w:rPr>
        <w:t xml:space="preserve"> INTOXICATE recommended </w:t>
      </w:r>
      <w:r w:rsidR="008B1629">
        <w:rPr>
          <w:lang w:val="en-US"/>
        </w:rPr>
        <w:t xml:space="preserve">the </w:t>
      </w:r>
      <w:r w:rsidRPr="00B149C3">
        <w:rPr>
          <w:lang w:val="en-US"/>
        </w:rPr>
        <w:t xml:space="preserve">ICU for all patients with any of the above criteria, suggesting </w:t>
      </w:r>
      <w:r w:rsidR="007C6408">
        <w:rPr>
          <w:lang w:val="en-US"/>
        </w:rPr>
        <w:t>an opportunity to refine criteria</w:t>
      </w:r>
      <w:r w:rsidR="008B1629">
        <w:rPr>
          <w:lang w:val="en-US"/>
        </w:rPr>
        <w:t xml:space="preserve">, for example considering degrees of </w:t>
      </w:r>
      <w:r w:rsidR="007C6408">
        <w:rPr>
          <w:lang w:val="en-US"/>
        </w:rPr>
        <w:t>respiratory insufficiency</w:t>
      </w:r>
      <w:r w:rsidRPr="00B149C3">
        <w:rPr>
          <w:lang w:val="en-US"/>
        </w:rPr>
        <w:t>.</w:t>
      </w:r>
      <w:r w:rsidR="008C2F43">
        <w:rPr>
          <w:lang w:val="en-US"/>
        </w:rPr>
        <w:t xml:space="preserve"> The lack of significant difference in cirrhosis between adolescents and adults in our study is likely an artifact of low sample size. No adolescents were reported as having cirrhosis and only 2/79 (2.5%) of adults. The low prevalence of cirrhosis in adults in our study may reflect how Toxicology is </w:t>
      </w:r>
      <w:r w:rsidR="00314A89">
        <w:rPr>
          <w:lang w:val="en-US"/>
        </w:rPr>
        <w:t xml:space="preserve">rarely </w:t>
      </w:r>
      <w:r w:rsidR="008C2F43">
        <w:rPr>
          <w:lang w:val="en-US"/>
        </w:rPr>
        <w:t xml:space="preserve">consulted at our institution for alcohol intoxication </w:t>
      </w:r>
      <w:r w:rsidR="00314A89">
        <w:rPr>
          <w:lang w:val="en-US"/>
        </w:rPr>
        <w:t>or</w:t>
      </w:r>
      <w:r w:rsidR="008C2F43">
        <w:rPr>
          <w:lang w:val="en-US"/>
        </w:rPr>
        <w:t xml:space="preserve"> alcohol withdrawal.</w:t>
      </w:r>
    </w:p>
    <w:p w14:paraId="4DC591EA" w14:textId="732F5443" w:rsidR="007C6408" w:rsidRPr="007C6408" w:rsidRDefault="00000000">
      <w:pPr>
        <w:spacing w:before="240" w:line="360" w:lineRule="auto"/>
        <w:rPr>
          <w:b/>
          <w:lang w:val="en-US"/>
        </w:rPr>
      </w:pPr>
      <w:r w:rsidRPr="00B149C3">
        <w:rPr>
          <w:lang w:val="en-US"/>
        </w:rPr>
        <w:lastRenderedPageBreak/>
        <w:t>INTOXICATE us</w:t>
      </w:r>
      <w:r w:rsidR="007C6408">
        <w:rPr>
          <w:lang w:val="en-US"/>
        </w:rPr>
        <w:t>es</w:t>
      </w:r>
      <w:r w:rsidRPr="00B149C3">
        <w:rPr>
          <w:lang w:val="en-US"/>
        </w:rPr>
        <w:t xml:space="preserve"> APACHE IV diagnoses </w:t>
      </w:r>
      <w:r w:rsidR="0089758A">
        <w:rPr>
          <w:lang w:val="en-US"/>
        </w:rPr>
        <w:t>to classify ingestions</w:t>
      </w:r>
      <w:r w:rsidR="007C6408">
        <w:rPr>
          <w:lang w:val="en-US"/>
        </w:rPr>
        <w:t xml:space="preserve">, which may not agree with the bedside toxicologist’s </w:t>
      </w:r>
      <w:r w:rsidR="00C537FD">
        <w:rPr>
          <w:lang w:val="en-US"/>
        </w:rPr>
        <w:t>classification</w:t>
      </w:r>
      <w:r w:rsidR="0089758A">
        <w:rPr>
          <w:lang w:val="en-US"/>
        </w:rPr>
        <w:t xml:space="preserve">.  </w:t>
      </w:r>
      <w:r w:rsidR="007C6408">
        <w:rPr>
          <w:lang w:val="en-US"/>
        </w:rPr>
        <w:t>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groups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F53E5A">
        <w:rPr>
          <w:lang w:val="en-US"/>
        </w:rPr>
        <w:t xml:space="preserve"> together</w:t>
      </w:r>
      <w:r w:rsidR="0089758A">
        <w:rPr>
          <w:lang w:val="en-US"/>
        </w:rPr>
        <w:t>.</w:t>
      </w:r>
      <w:r w:rsidR="001037F5">
        <w:rPr>
          <w:lang w:val="en-US"/>
        </w:rPr>
        <w:t xml:space="preserve"> This grouping leads INTOXICATE to treat clinical features in all three types of ingestions the same.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ce in SSRIs than tricyclic antidepressants</w:t>
      </w:r>
      <w:r w:rsidR="001037F5">
        <w:rPr>
          <w:lang w:val="en-US"/>
        </w:rPr>
        <w:t xml:space="preserve">. </w:t>
      </w:r>
      <w:r w:rsidR="00471A61">
        <w:rPr>
          <w:lang w:val="en-US"/>
        </w:rPr>
        <w:t>Ingestion of a</w:t>
      </w:r>
      <w:r w:rsidR="007C6408">
        <w:rPr>
          <w:lang w:val="en-US"/>
        </w:rPr>
        <w:t xml:space="preserve">n opioid classified as a </w:t>
      </w:r>
      <w:r w:rsidR="007C6408">
        <w:rPr>
          <w:i/>
          <w:iCs/>
          <w:lang w:val="en-US"/>
        </w:rPr>
        <w:t>Street Drug</w:t>
      </w:r>
      <w:r w:rsidR="00471A61">
        <w:rPr>
          <w:lang w:val="en-US"/>
        </w:rPr>
        <w:t xml:space="preserve"> rather than</w:t>
      </w:r>
      <w:r w:rsidR="007C6408">
        <w:rPr>
          <w:lang w:val="en-US"/>
        </w:rPr>
        <w:t xml:space="preserve"> </w:t>
      </w:r>
      <w:r w:rsidR="007C6408">
        <w:rPr>
          <w:i/>
          <w:iCs/>
          <w:lang w:val="en-US"/>
        </w:rPr>
        <w:t>Analgesic</w:t>
      </w:r>
      <w:r w:rsidR="00471A61">
        <w:rPr>
          <w:lang w:val="en-US"/>
        </w:rPr>
        <w:t xml:space="preserve"> is more likely to require ICU care. This division doesn’t account for ingesting multiple opioids, like methadone and heroin. </w:t>
      </w:r>
      <w:r w:rsidRPr="00B149C3">
        <w:rPr>
          <w:lang w:val="en-US"/>
        </w:rPr>
        <w:t xml:space="preserve">The category </w:t>
      </w:r>
      <w:r w:rsidR="00B01F6F">
        <w:rPr>
          <w:i/>
          <w:lang w:val="en-US"/>
        </w:rPr>
        <w:t>C</w:t>
      </w:r>
      <w:r w:rsidRPr="00B149C3">
        <w:rPr>
          <w:i/>
          <w:lang w:val="en-US"/>
        </w:rPr>
        <w:t>ombination of two subtypes of intoxication</w:t>
      </w:r>
      <w:r w:rsidRPr="00B149C3">
        <w:rPr>
          <w:lang w:val="en-US"/>
        </w:rPr>
        <w:t xml:space="preserve"> </w:t>
      </w:r>
      <w:r w:rsidR="00B01F6F">
        <w:rPr>
          <w:lang w:val="en-US"/>
        </w:rPr>
        <w:t xml:space="preserve">groups together all </w:t>
      </w:r>
      <w:r w:rsidRPr="00B149C3">
        <w:rPr>
          <w:lang w:val="en-US"/>
        </w:rPr>
        <w:t>polysubstance intoxications</w:t>
      </w:r>
      <w:r w:rsidR="00B01F6F">
        <w:rPr>
          <w:lang w:val="en-US"/>
        </w:rPr>
        <w:t>.</w:t>
      </w:r>
      <w:r w:rsidR="0089758A">
        <w:rPr>
          <w:lang w:val="en-US"/>
        </w:rPr>
        <w:t xml:space="preserve"> </w:t>
      </w:r>
      <w:r w:rsidRPr="00B149C3">
        <w:rPr>
          <w:lang w:val="en-US"/>
        </w:rPr>
        <w:t>Brandenburg did not include polysubstance intoxication as a covariate in their model or assign it a risk score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r w:rsidR="00953D1D">
        <w:rPr>
          <w:lang w:val="en-US"/>
        </w:rPr>
        <w:t xml:space="preserve"> </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453736" w:rsidRPr="00453736">
            <w:rPr>
              <w:color w:val="000000"/>
              <w:lang w:val="en-US"/>
            </w:rPr>
            <w:t>(17,18)</w:t>
          </w:r>
        </w:sdtContent>
      </w:sdt>
      <w:r w:rsidR="00953D1D">
        <w:rPr>
          <w:lang w:val="en-US"/>
        </w:rPr>
        <w:t xml:space="preserve">.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r w:rsidR="00953D1D">
        <w:rPr>
          <w:lang w:val="en-US"/>
        </w:rPr>
        <w:t xml:space="preserve">, highlighting the difficulty of identifying the substances involved in the initial evaluation and raising the question of the validity of prognosticating clinical course from this variable. </w:t>
      </w:r>
      <w:r w:rsidR="00AF0E7D">
        <w:rPr>
          <w:lang w:val="en-US"/>
        </w:rPr>
        <w:t xml:space="preserve"> </w:t>
      </w:r>
      <w:r>
        <w:rPr>
          <w:b/>
          <w:i/>
          <w:color w:val="FF0000"/>
        </w:rPr>
        <w:t xml:space="preserve"> [COMMENT: Since bedside toxicologists do not use APACHE IV, could this classification mismatch contribute to differences in recommendations?]</w:t>
      </w:r>
    </w:p>
    <w:p w14:paraId="46F580D4" w14:textId="77777777" w:rsidR="00C674A1" w:rsidRDefault="00000000" w:rsidP="00040CAE">
      <w:pPr>
        <w:spacing w:before="240" w:line="360" w:lineRule="auto"/>
        <w:rPr>
          <w:lang w:val="en-US"/>
        </w:rPr>
      </w:pPr>
      <w:r w:rsidRPr="00B149C3">
        <w:rPr>
          <w:b/>
          <w:i/>
          <w:lang w:val="en-US"/>
        </w:rPr>
        <w:t xml:space="preserve">Conclusions: </w:t>
      </w:r>
    </w:p>
    <w:p w14:paraId="1BD6F56B" w14:textId="1E5BCC32" w:rsidR="00B00952" w:rsidRPr="00C674A1" w:rsidRDefault="00C674A1" w:rsidP="00040CAE">
      <w:pPr>
        <w:spacing w:before="240" w:line="360" w:lineRule="auto"/>
        <w:rPr>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bedside toxicologist</w:t>
      </w:r>
      <w:r w:rsidR="00D043F4">
        <w:rPr>
          <w:bCs/>
          <w:lang w:val="en-US"/>
        </w:rPr>
        <w:t>s</w:t>
      </w:r>
      <w:r w:rsidR="00D826B3">
        <w:rPr>
          <w:bCs/>
          <w:lang w:val="en-US"/>
        </w:rPr>
        <w:t>.</w:t>
      </w:r>
      <w:r w:rsidR="00C75503">
        <w:rPr>
          <w:bCs/>
          <w:lang w:val="en-US"/>
        </w:rPr>
        <w:t xml:space="preserve"> </w:t>
      </w:r>
    </w:p>
    <w:p w14:paraId="0B6CD455" w14:textId="77777777" w:rsidR="00B00952" w:rsidRPr="00B149C3" w:rsidRDefault="00000000">
      <w:pPr>
        <w:pBdr>
          <w:top w:val="nil"/>
          <w:left w:val="nil"/>
          <w:bottom w:val="nil"/>
          <w:right w:val="nil"/>
          <w:between w:val="nil"/>
        </w:pBdr>
        <w:spacing w:before="240" w:line="360" w:lineRule="auto"/>
        <w:rPr>
          <w:b/>
          <w:lang w:val="en-US"/>
        </w:rPr>
      </w:pPr>
      <w:r w:rsidRPr="00B149C3">
        <w:rPr>
          <w:b/>
          <w:lang w:val="en-US"/>
        </w:rPr>
        <w:t>References</w:t>
      </w:r>
    </w:p>
    <w:sdt>
      <w:sdtPr>
        <w:rPr>
          <w:color w:val="000000"/>
          <w:lang w:val="en-US"/>
        </w:rPr>
        <w:tag w:val="MENDELEY_BIBLIOGRAPHY"/>
        <w:id w:val="-677661438"/>
        <w:placeholder>
          <w:docPart w:val="DefaultPlaceholder_-1854013440"/>
        </w:placeholder>
      </w:sdtPr>
      <w:sdtContent>
        <w:p w14:paraId="0A93EB6F" w14:textId="77777777" w:rsidR="00453736" w:rsidRDefault="00453736">
          <w:pPr>
            <w:autoSpaceDE w:val="0"/>
            <w:autoSpaceDN w:val="0"/>
            <w:ind w:hanging="640"/>
            <w:divId w:val="2042587344"/>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(NPDS) from America’s Poison </w:t>
          </w:r>
          <w:proofErr w:type="spellStart"/>
          <w:r>
            <w:t>Centers</w:t>
          </w:r>
          <w:proofErr w:type="spellEnd"/>
          <w:r>
            <w:t xml:space="preserve">®: 40th Annual Report. Clin </w:t>
          </w:r>
          <w:proofErr w:type="spellStart"/>
          <w:r>
            <w:t>Toxicol</w:t>
          </w:r>
          <w:proofErr w:type="spellEnd"/>
          <w:r>
            <w:t xml:space="preserve"> [Internet]. 2023 [cited 2024 Jul 12</w:t>
          </w:r>
          <w:proofErr w:type="gramStart"/>
          <w:r>
            <w:t>];61:717</w:t>
          </w:r>
          <w:proofErr w:type="gramEnd"/>
          <w:r>
            <w:t xml:space="preserve">–939. </w:t>
          </w:r>
          <w:proofErr w:type="spellStart"/>
          <w:r>
            <w:t>doi</w:t>
          </w:r>
          <w:proofErr w:type="spellEnd"/>
          <w:r>
            <w:t>: 10.1080/15563650.2023.2268981. Cited: in</w:t>
          </w:r>
          <w:proofErr w:type="gramStart"/>
          <w:r>
            <w:t>: :</w:t>
          </w:r>
          <w:proofErr w:type="gramEnd"/>
          <w:r>
            <w:t xml:space="preserve"> PMID: 38084513.</w:t>
          </w:r>
        </w:p>
        <w:p w14:paraId="67BBAD15" w14:textId="77777777" w:rsidR="00453736" w:rsidRDefault="00453736">
          <w:pPr>
            <w:autoSpaceDE w:val="0"/>
            <w:autoSpaceDN w:val="0"/>
            <w:ind w:hanging="640"/>
            <w:divId w:val="544830867"/>
          </w:pPr>
          <w:r>
            <w:lastRenderedPageBreak/>
            <w:t xml:space="preserve">2.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25EBDB78" w14:textId="77777777" w:rsidR="00453736" w:rsidRDefault="00453736">
          <w:pPr>
            <w:autoSpaceDE w:val="0"/>
            <w:autoSpaceDN w:val="0"/>
            <w:ind w:hanging="640"/>
            <w:divId w:val="599265944"/>
          </w:pPr>
          <w:r>
            <w:t xml:space="preserve">3. </w:t>
          </w:r>
          <w:r>
            <w:tab/>
            <w:t xml:space="preserve">Brandenburg R, Brinkman S, … NDK-C care, 2014 undefined. In-hospital mortality and long-term survival of patients with acute intoxication admitted to the ICU. </w:t>
          </w:r>
          <w:proofErr w:type="spellStart"/>
          <w:proofErr w:type="gramStart"/>
          <w:r>
            <w:t>journals.lww.comR</w:t>
          </w:r>
          <w:proofErr w:type="spellEnd"/>
          <w:proofErr w:type="gramEnd"/>
          <w:r>
            <w:t xml:space="preserve"> Brandenburg, S Brinkman, NF De Keizer, J </w:t>
          </w:r>
          <w:proofErr w:type="spellStart"/>
          <w:r>
            <w:t>Meulenbelt</w:t>
          </w:r>
          <w:proofErr w:type="spellEnd"/>
          <w:r>
            <w:t xml:space="preserve">, DW De </w:t>
          </w:r>
          <w:proofErr w:type="spellStart"/>
          <w:r>
            <w:t>LangeCritical</w:t>
          </w:r>
          <w:proofErr w:type="spellEnd"/>
          <w:r>
            <w:t xml:space="preserve"> care medicine, 2014•journals.lww.com [Internet]. [cited 2025 Feb 14</w:t>
          </w:r>
          <w:proofErr w:type="gramStart"/>
          <w:r>
            <w:t>];</w:t>
          </w:r>
          <w:proofErr w:type="gramEnd"/>
        </w:p>
        <w:p w14:paraId="644F4017" w14:textId="77777777" w:rsidR="00453736" w:rsidRDefault="00453736">
          <w:pPr>
            <w:autoSpaceDE w:val="0"/>
            <w:autoSpaceDN w:val="0"/>
            <w:ind w:hanging="640"/>
            <w:divId w:val="1616525849"/>
          </w:pPr>
          <w:r>
            <w:t xml:space="preserve">4.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4F5AA6B8" w14:textId="77777777" w:rsidR="00453736" w:rsidRDefault="00453736">
          <w:pPr>
            <w:autoSpaceDE w:val="0"/>
            <w:autoSpaceDN w:val="0"/>
            <w:ind w:hanging="640"/>
            <w:divId w:val="1984265278"/>
          </w:pPr>
          <w:r>
            <w:t xml:space="preserve">5.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[Internet]. 1981 [cited 2025 Feb 16</w:t>
          </w:r>
          <w:proofErr w:type="gramStart"/>
          <w:r>
            <w:t>];141:380</w:t>
          </w:r>
          <w:proofErr w:type="gramEnd"/>
          <w:r>
            <w:t xml:space="preserve">–385. </w:t>
          </w:r>
          <w:proofErr w:type="spellStart"/>
          <w:r>
            <w:t>doi</w:t>
          </w:r>
          <w:proofErr w:type="spellEnd"/>
          <w:r>
            <w:t>: 10.1001/ARCHINTE.1981.00340030112020. Cited: in</w:t>
          </w:r>
          <w:proofErr w:type="gramStart"/>
          <w:r>
            <w:t>: :</w:t>
          </w:r>
          <w:proofErr w:type="gramEnd"/>
          <w:r>
            <w:t xml:space="preserve"> PMID: 7469629.</w:t>
          </w:r>
        </w:p>
        <w:p w14:paraId="63BABE0D" w14:textId="77777777" w:rsidR="00453736" w:rsidRDefault="00453736">
          <w:pPr>
            <w:autoSpaceDE w:val="0"/>
            <w:autoSpaceDN w:val="0"/>
            <w:ind w:hanging="640"/>
            <w:divId w:val="1934239409"/>
          </w:pPr>
          <w:r>
            <w:t xml:space="preserve">6.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0E19F76E" w14:textId="77777777" w:rsidR="00453736" w:rsidRDefault="00453736">
          <w:pPr>
            <w:autoSpaceDE w:val="0"/>
            <w:autoSpaceDN w:val="0"/>
            <w:ind w:hanging="640"/>
            <w:divId w:val="1766801413"/>
          </w:pPr>
          <w:r>
            <w:t xml:space="preserve">7.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1535F05C" w14:textId="77777777" w:rsidR="00453736" w:rsidRDefault="00453736">
          <w:pPr>
            <w:autoSpaceDE w:val="0"/>
            <w:autoSpaceDN w:val="0"/>
            <w:ind w:hanging="640"/>
            <w:divId w:val="367679831"/>
          </w:pPr>
          <w:r>
            <w:lastRenderedPageBreak/>
            <w:t xml:space="preserve">8. </w:t>
          </w:r>
          <w:r>
            <w:tab/>
            <w:t xml:space="preserve">Proudfoot AT, Stewart MS, Levitt T, </w:t>
          </w:r>
          <w:proofErr w:type="spellStart"/>
          <w:r>
            <w:t>Widdop</w:t>
          </w:r>
          <w:proofErr w:type="spellEnd"/>
          <w:r>
            <w:t xml:space="preserve"> B. PARAQUAT POISONING: SIGNIFICANCE OF PLASMA-PARAQUAT CONCENTRATIONS. The Lancet. </w:t>
          </w:r>
          <w:proofErr w:type="gramStart"/>
          <w:r>
            <w:t>1979;314:330</w:t>
          </w:r>
          <w:proofErr w:type="gramEnd"/>
          <w:r>
            <w:t xml:space="preserve">–332. </w:t>
          </w:r>
          <w:proofErr w:type="spellStart"/>
          <w:r>
            <w:t>doi</w:t>
          </w:r>
          <w:proofErr w:type="spellEnd"/>
          <w:r>
            <w:t>: 10.1016/S0140-6736(79)90345-3. Cited: in</w:t>
          </w:r>
          <w:proofErr w:type="gramStart"/>
          <w:r>
            <w:t>: :</w:t>
          </w:r>
          <w:proofErr w:type="gramEnd"/>
          <w:r>
            <w:t xml:space="preserve"> PMID: 89392.</w:t>
          </w:r>
        </w:p>
        <w:p w14:paraId="5152B224" w14:textId="77777777" w:rsidR="00453736" w:rsidRDefault="00453736">
          <w:pPr>
            <w:autoSpaceDE w:val="0"/>
            <w:autoSpaceDN w:val="0"/>
            <w:ind w:hanging="640"/>
            <w:divId w:val="133184650"/>
          </w:pPr>
          <w:r>
            <w:t xml:space="preserve">9.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Cited: in</w:t>
          </w:r>
          <w:proofErr w:type="gramStart"/>
          <w:r>
            <w:t>: :</w:t>
          </w:r>
          <w:proofErr w:type="gramEnd"/>
          <w:r>
            <w:t xml:space="preserve"> PMID: 38780445.</w:t>
          </w:r>
        </w:p>
        <w:p w14:paraId="6C88FC2C" w14:textId="77777777" w:rsidR="00453736" w:rsidRDefault="00453736">
          <w:pPr>
            <w:autoSpaceDE w:val="0"/>
            <w:autoSpaceDN w:val="0"/>
            <w:ind w:hanging="640"/>
            <w:divId w:val="655107810"/>
          </w:pPr>
          <w:r>
            <w:t xml:space="preserve">10.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5E3F0FCE" w14:textId="77777777" w:rsidR="00453736" w:rsidRDefault="00453736">
          <w:pPr>
            <w:autoSpaceDE w:val="0"/>
            <w:autoSpaceDN w:val="0"/>
            <w:ind w:hanging="640"/>
            <w:divId w:val="1171330366"/>
          </w:pPr>
          <w:r>
            <w:t xml:space="preserve">11. </w:t>
          </w:r>
          <w:r>
            <w:tab/>
            <w:t xml:space="preserve">Han K, Kim S, Lee E, Shin J, Lee J, Care SL-C, 2021 undefined. Development and validation of new poisoning mortality score system for patients with acute poisoning at the emergency department. </w:t>
          </w:r>
          <w:proofErr w:type="spellStart"/>
          <w:r>
            <w:t>SpringerKS</w:t>
          </w:r>
          <w:proofErr w:type="spellEnd"/>
          <w:r>
            <w:t xml:space="preserve"> Han, SJ Kim, EJ Lee, JH Shin, JS Lee, SW </w:t>
          </w:r>
          <w:proofErr w:type="spellStart"/>
          <w:r>
            <w:t>LeeCritical</w:t>
          </w:r>
          <w:proofErr w:type="spellEnd"/>
          <w:r>
            <w:t xml:space="preserve"> Care, 2021•Springer [Internet]. 2020 [cited 2025 Feb 16];25. </w:t>
          </w:r>
          <w:proofErr w:type="spellStart"/>
          <w:r>
            <w:t>doi</w:t>
          </w:r>
          <w:proofErr w:type="spellEnd"/>
          <w:r>
            <w:t>: 10.1186/s13054-020-03408-1.</w:t>
          </w:r>
        </w:p>
        <w:p w14:paraId="344E3A5D" w14:textId="77777777" w:rsidR="00453736" w:rsidRDefault="00453736">
          <w:pPr>
            <w:autoSpaceDE w:val="0"/>
            <w:autoSpaceDN w:val="0"/>
            <w:ind w:hanging="640"/>
            <w:divId w:val="17972259"/>
          </w:pPr>
          <w:r>
            <w:t xml:space="preserve">12.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3821C42C" w14:textId="77777777" w:rsidR="00453736" w:rsidRDefault="00453736">
          <w:pPr>
            <w:autoSpaceDE w:val="0"/>
            <w:autoSpaceDN w:val="0"/>
            <w:ind w:hanging="640"/>
            <w:divId w:val="312372344"/>
          </w:pPr>
          <w:r>
            <w:t xml:space="preserve">13.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w:t>
          </w:r>
          <w:r>
            <w:rPr>
              <w:vertAlign w:val="superscript"/>
            </w:rPr>
            <w:t>®</w:t>
          </w:r>
          <w:r>
            <w:t xml:space="preserve"> (NPDS) from America’s Poison </w:t>
          </w:r>
          <w:proofErr w:type="spellStart"/>
          <w:r>
            <w:t>Centers</w:t>
          </w:r>
          <w:proofErr w:type="spellEnd"/>
          <w:r>
            <w:t xml:space="preserve"> </w:t>
          </w:r>
          <w:proofErr w:type="gramStart"/>
          <w:r>
            <w:rPr>
              <w:vertAlign w:val="superscript"/>
            </w:rPr>
            <w:t>®</w:t>
          </w:r>
          <w:r>
            <w:t> :</w:t>
          </w:r>
          <w:proofErr w:type="gramEnd"/>
          <w:r>
            <w:t xml:space="preserve"> 40th Annual Report. Clin </w:t>
          </w:r>
          <w:proofErr w:type="spellStart"/>
          <w:r>
            <w:t>Toxicol</w:t>
          </w:r>
          <w:proofErr w:type="spellEnd"/>
          <w:r>
            <w:t xml:space="preserve">. </w:t>
          </w:r>
          <w:proofErr w:type="gramStart"/>
          <w:r>
            <w:t>2023;61:717</w:t>
          </w:r>
          <w:proofErr w:type="gramEnd"/>
          <w:r>
            <w:t xml:space="preserve">–939. </w:t>
          </w:r>
          <w:proofErr w:type="spellStart"/>
          <w:r>
            <w:t>doi</w:t>
          </w:r>
          <w:proofErr w:type="spellEnd"/>
          <w:r>
            <w:t>: 10.1080/15563650.2023.2268981.</w:t>
          </w:r>
        </w:p>
        <w:p w14:paraId="026FA348" w14:textId="77777777" w:rsidR="00453736" w:rsidRDefault="00453736">
          <w:pPr>
            <w:autoSpaceDE w:val="0"/>
            <w:autoSpaceDN w:val="0"/>
            <w:ind w:hanging="640"/>
            <w:divId w:val="1911650658"/>
          </w:pPr>
          <w:r>
            <w:lastRenderedPageBreak/>
            <w:t xml:space="preserve">14.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Bronstein AC, Rivers LJ, Pham NPT, Weber J. 2020 annual report of the American association of poison control </w:t>
          </w:r>
          <w:proofErr w:type="spellStart"/>
          <w:r>
            <w:t>centers’</w:t>
          </w:r>
          <w:proofErr w:type="spellEnd"/>
          <w:r>
            <w:t xml:space="preserve"> national poison data system (NPDS): 38th annual report. Clin </w:t>
          </w:r>
          <w:proofErr w:type="spellStart"/>
          <w:r>
            <w:t>Toxicol</w:t>
          </w:r>
          <w:proofErr w:type="spellEnd"/>
          <w:r>
            <w:t xml:space="preserve">. </w:t>
          </w:r>
          <w:proofErr w:type="gramStart"/>
          <w:r>
            <w:t>2021;59:1282</w:t>
          </w:r>
          <w:proofErr w:type="gramEnd"/>
          <w:r>
            <w:t>–1501.</w:t>
          </w:r>
        </w:p>
        <w:p w14:paraId="0FD7A5B9" w14:textId="77777777" w:rsidR="00453736" w:rsidRDefault="00453736">
          <w:pPr>
            <w:autoSpaceDE w:val="0"/>
            <w:autoSpaceDN w:val="0"/>
            <w:ind w:hanging="640"/>
            <w:divId w:val="1218279120"/>
          </w:pPr>
          <w:r>
            <w:t xml:space="preserve">15.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Taylor &amp; </w:t>
          </w:r>
          <w:proofErr w:type="spellStart"/>
          <w:r>
            <w:t>FrancisR</w:t>
          </w:r>
          <w:proofErr w:type="spellEnd"/>
          <w:r>
            <w:t xml:space="preserve"> Brandenburg, S Brinkman, NF De Keizer, J </w:t>
          </w:r>
          <w:proofErr w:type="spellStart"/>
          <w:r>
            <w:t>Kesecioglu</w:t>
          </w:r>
          <w:proofErr w:type="spellEnd"/>
          <w:r>
            <w:t xml:space="preserve">, J </w:t>
          </w:r>
          <w:proofErr w:type="spellStart"/>
          <w:r>
            <w:t>Meulenbelt</w:t>
          </w:r>
          <w:proofErr w:type="spellEnd"/>
          <w:r>
            <w:t xml:space="preserve">, DW de </w:t>
          </w:r>
          <w:proofErr w:type="spellStart"/>
          <w:r>
            <w:t>LangeClinical</w:t>
          </w:r>
          <w:proofErr w:type="spellEnd"/>
          <w:r>
            <w:t xml:space="preserve"> toxicology, 2017•Taylor &amp; Francis [Internet]. 2017 [cited 2025 Feb 14</w:t>
          </w:r>
          <w:proofErr w:type="gramStart"/>
          <w:r>
            <w:t>];55:4</w:t>
          </w:r>
          <w:proofErr w:type="gramEnd"/>
          <w:r>
            <w:t xml:space="preserve">–11. </w:t>
          </w:r>
          <w:proofErr w:type="spellStart"/>
          <w:r>
            <w:t>doi</w:t>
          </w:r>
          <w:proofErr w:type="spellEnd"/>
          <w:r>
            <w:t>: 10.1080/15563650.2016.1222616.</w:t>
          </w:r>
        </w:p>
        <w:p w14:paraId="5EFD7643" w14:textId="77777777" w:rsidR="00453736" w:rsidRDefault="00453736">
          <w:pPr>
            <w:autoSpaceDE w:val="0"/>
            <w:autoSpaceDN w:val="0"/>
            <w:ind w:hanging="640"/>
            <w:divId w:val="882984382"/>
          </w:pPr>
          <w:r>
            <w:t xml:space="preserve">16.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3CAEC0D5" w14:textId="77777777" w:rsidR="00453736" w:rsidRDefault="00453736">
          <w:pPr>
            <w:autoSpaceDE w:val="0"/>
            <w:autoSpaceDN w:val="0"/>
            <w:ind w:hanging="640"/>
            <w:divId w:val="421412590"/>
          </w:pPr>
          <w:r>
            <w:t xml:space="preserve">17. </w:t>
          </w:r>
          <w:r>
            <w:tab/>
            <w:t xml:space="preserve">Jones AA, Shearer RD, </w:t>
          </w:r>
          <w:proofErr w:type="spellStart"/>
          <w:r>
            <w:t>Segel</w:t>
          </w:r>
          <w:proofErr w:type="spellEnd"/>
          <w: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172872B7" w14:textId="77777777" w:rsidR="00453736" w:rsidRDefault="00453736">
          <w:pPr>
            <w:autoSpaceDE w:val="0"/>
            <w:autoSpaceDN w:val="0"/>
            <w:ind w:hanging="640"/>
            <w:divId w:val="1453789735"/>
          </w:pPr>
          <w:r>
            <w:t xml:space="preserve">18. </w:t>
          </w:r>
          <w:r>
            <w:tab/>
          </w:r>
          <w:proofErr w:type="spellStart"/>
          <w:r>
            <w:t>Peppin</w:t>
          </w:r>
          <w:proofErr w:type="spellEnd"/>
          <w:r>
            <w:t xml:space="preserve"> JF, Raffa RB, </w:t>
          </w:r>
          <w:proofErr w:type="spellStart"/>
          <w:r>
            <w:t>Schatman</w:t>
          </w:r>
          <w:proofErr w:type="spellEnd"/>
          <w:r>
            <w:t xml:space="preserve"> ME. The Polysubstance Overdose-Death Crisis. J Pain Res [Internet]. 2020 [cited 2025 Feb 7</w:t>
          </w:r>
          <w:proofErr w:type="gramStart"/>
          <w:r>
            <w:t>];13:3405</w:t>
          </w:r>
          <w:proofErr w:type="gramEnd"/>
          <w:r>
            <w:t xml:space="preserve">. </w:t>
          </w:r>
          <w:proofErr w:type="spellStart"/>
          <w:r>
            <w:t>doi</w:t>
          </w:r>
          <w:proofErr w:type="spellEnd"/>
          <w:r>
            <w:t>: 10.2147/JPR.S295715. Cited: in</w:t>
          </w:r>
          <w:proofErr w:type="gramStart"/>
          <w:r>
            <w:t>: :</w:t>
          </w:r>
          <w:proofErr w:type="gramEnd"/>
          <w:r>
            <w:t xml:space="preserve"> PMID: 33364823.</w:t>
          </w:r>
        </w:p>
        <w:p w14:paraId="442CC40D" w14:textId="05C586F7" w:rsidR="00865211" w:rsidRDefault="00453736">
          <w:pPr>
            <w:rPr>
              <w:b/>
              <w:lang w:val="en-US"/>
            </w:rPr>
          </w:pPr>
          <w:r>
            <w:t> </w:t>
          </w:r>
        </w:p>
      </w:sdtContent>
    </w:sdt>
    <w:p w14:paraId="21E529B6" w14:textId="3A114910"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6"/>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0" w:name="_Ref170118666"/>
      <w:r w:rsidRPr="00B149C3">
        <w:rPr>
          <w:i w:val="0"/>
          <w:iCs w:val="0"/>
          <w:color w:val="000000" w:themeColor="text1"/>
        </w:rPr>
        <w:t>Figure 1</w:t>
      </w:r>
      <w:bookmarkEnd w:id="0"/>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Pr="008C1DCF" w:rsidRDefault="001C0570" w:rsidP="001C0570">
      <w:pPr>
        <w:pStyle w:val="Caption"/>
        <w:rPr>
          <w:i w:val="0"/>
          <w:iCs w:val="0"/>
          <w:color w:val="000000" w:themeColor="text1"/>
          <w:sz w:val="24"/>
          <w:szCs w:val="24"/>
        </w:rPr>
      </w:pPr>
      <w:bookmarkStart w:id="1" w:name="_Ref170120619"/>
      <w:r w:rsidRPr="008C1DCF">
        <w:rPr>
          <w:i w:val="0"/>
          <w:iCs w:val="0"/>
          <w:color w:val="000000" w:themeColor="text1"/>
          <w:sz w:val="24"/>
          <w:szCs w:val="24"/>
        </w:rPr>
        <w:t xml:space="preserve">Table </w:t>
      </w:r>
      <w:r w:rsidR="0071067C" w:rsidRPr="008C1DCF">
        <w:rPr>
          <w:i w:val="0"/>
          <w:iCs w:val="0"/>
          <w:noProof/>
          <w:color w:val="000000" w:themeColor="text1"/>
          <w:sz w:val="24"/>
          <w:szCs w:val="24"/>
        </w:rPr>
        <w:t>1</w:t>
      </w:r>
      <w:bookmarkEnd w:id="1"/>
      <w:r w:rsidRPr="008C1DCF">
        <w:rPr>
          <w:i w:val="0"/>
          <w:iCs w:val="0"/>
          <w:color w:val="000000" w:themeColor="text1"/>
          <w:sz w:val="24"/>
          <w:szCs w:val="24"/>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674"/>
        <w:gridCol w:w="680"/>
        <w:gridCol w:w="670"/>
        <w:gridCol w:w="957"/>
        <w:gridCol w:w="835"/>
        <w:gridCol w:w="674"/>
        <w:gridCol w:w="680"/>
        <w:gridCol w:w="670"/>
        <w:gridCol w:w="957"/>
        <w:gridCol w:w="945"/>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r w:rsidRPr="00B149C3">
              <w:rPr>
                <w:color w:val="333333"/>
                <w:sz w:val="22"/>
                <w:szCs w:val="22"/>
                <w:lang w:val="en-US"/>
              </w:rPr>
              <w:t>0.050</w:t>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2" w:name="_Ref170123244"/>
      <w:r w:rsidRPr="00B149C3">
        <w:rPr>
          <w:i w:val="0"/>
          <w:iCs w:val="0"/>
        </w:rPr>
        <w:t xml:space="preserve">Table </w:t>
      </w:r>
      <w:r w:rsidRPr="00B149C3">
        <w:rPr>
          <w:i w:val="0"/>
          <w:iCs w:val="0"/>
          <w:noProof/>
        </w:rPr>
        <w:t>2</w:t>
      </w:r>
      <w:bookmarkEnd w:id="2"/>
      <w:r>
        <w:rPr>
          <w:i w:val="0"/>
          <w:iCs w:val="0"/>
        </w:rPr>
        <w:t>. Cohen’s</w:t>
      </w: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865211" w:rsidRDefault="0071067C" w:rsidP="0071067C">
      <w:pPr>
        <w:pStyle w:val="Caption"/>
        <w:rPr>
          <w:i w:val="0"/>
          <w:iCs w:val="0"/>
        </w:rPr>
      </w:pPr>
    </w:p>
    <w:sectPr w:rsidR="0071067C" w:rsidRPr="00865211">
      <w:pgSz w:w="11901" w:h="16840"/>
      <w:pgMar w:top="1418"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10012"/>
    <w:rsid w:val="00012A62"/>
    <w:rsid w:val="00017A01"/>
    <w:rsid w:val="00020F41"/>
    <w:rsid w:val="00033001"/>
    <w:rsid w:val="00035DC7"/>
    <w:rsid w:val="00040CAE"/>
    <w:rsid w:val="00050D48"/>
    <w:rsid w:val="00064EA5"/>
    <w:rsid w:val="0007336A"/>
    <w:rsid w:val="00084F80"/>
    <w:rsid w:val="000850A5"/>
    <w:rsid w:val="00090339"/>
    <w:rsid w:val="00097872"/>
    <w:rsid w:val="000D2DA7"/>
    <w:rsid w:val="000E13AD"/>
    <w:rsid w:val="000E773A"/>
    <w:rsid w:val="000F1AB5"/>
    <w:rsid w:val="001028F8"/>
    <w:rsid w:val="001037F5"/>
    <w:rsid w:val="001075B1"/>
    <w:rsid w:val="00110FC5"/>
    <w:rsid w:val="00122A0B"/>
    <w:rsid w:val="001617D0"/>
    <w:rsid w:val="0016291B"/>
    <w:rsid w:val="0016324A"/>
    <w:rsid w:val="001632B0"/>
    <w:rsid w:val="001672E9"/>
    <w:rsid w:val="00181869"/>
    <w:rsid w:val="001953AF"/>
    <w:rsid w:val="001A190F"/>
    <w:rsid w:val="001C0570"/>
    <w:rsid w:val="001C1218"/>
    <w:rsid w:val="001D01BB"/>
    <w:rsid w:val="001D190B"/>
    <w:rsid w:val="001E36F9"/>
    <w:rsid w:val="001E5763"/>
    <w:rsid w:val="001F22DA"/>
    <w:rsid w:val="001F2A7F"/>
    <w:rsid w:val="001F3297"/>
    <w:rsid w:val="001F4979"/>
    <w:rsid w:val="001F73F8"/>
    <w:rsid w:val="002157E1"/>
    <w:rsid w:val="0023650E"/>
    <w:rsid w:val="002439CC"/>
    <w:rsid w:val="002455E2"/>
    <w:rsid w:val="00250A5B"/>
    <w:rsid w:val="00251335"/>
    <w:rsid w:val="002734B5"/>
    <w:rsid w:val="0028017F"/>
    <w:rsid w:val="002825C8"/>
    <w:rsid w:val="00297977"/>
    <w:rsid w:val="002A7C88"/>
    <w:rsid w:val="002B48C8"/>
    <w:rsid w:val="002C62B1"/>
    <w:rsid w:val="002D62ED"/>
    <w:rsid w:val="002E37EB"/>
    <w:rsid w:val="002F2D67"/>
    <w:rsid w:val="0030063A"/>
    <w:rsid w:val="00300959"/>
    <w:rsid w:val="00302C6E"/>
    <w:rsid w:val="0030514A"/>
    <w:rsid w:val="00314A89"/>
    <w:rsid w:val="00320148"/>
    <w:rsid w:val="00320645"/>
    <w:rsid w:val="0034509D"/>
    <w:rsid w:val="00350F4C"/>
    <w:rsid w:val="00357879"/>
    <w:rsid w:val="00381F94"/>
    <w:rsid w:val="003869B9"/>
    <w:rsid w:val="003902BE"/>
    <w:rsid w:val="003907F3"/>
    <w:rsid w:val="003B4D1D"/>
    <w:rsid w:val="003B5E3B"/>
    <w:rsid w:val="003C56C3"/>
    <w:rsid w:val="003C6FD2"/>
    <w:rsid w:val="003F3BA6"/>
    <w:rsid w:val="003F40B2"/>
    <w:rsid w:val="003F5E63"/>
    <w:rsid w:val="00401520"/>
    <w:rsid w:val="00404347"/>
    <w:rsid w:val="004078AF"/>
    <w:rsid w:val="00421ECA"/>
    <w:rsid w:val="00424DE6"/>
    <w:rsid w:val="004329AB"/>
    <w:rsid w:val="00433C44"/>
    <w:rsid w:val="004405AA"/>
    <w:rsid w:val="00453736"/>
    <w:rsid w:val="004540AA"/>
    <w:rsid w:val="004605B2"/>
    <w:rsid w:val="00471A61"/>
    <w:rsid w:val="004A2D30"/>
    <w:rsid w:val="004B7C8C"/>
    <w:rsid w:val="004F0C5C"/>
    <w:rsid w:val="004F40E0"/>
    <w:rsid w:val="004F60D9"/>
    <w:rsid w:val="00500D87"/>
    <w:rsid w:val="005166AB"/>
    <w:rsid w:val="00521FA8"/>
    <w:rsid w:val="00522A6A"/>
    <w:rsid w:val="00535718"/>
    <w:rsid w:val="005408B1"/>
    <w:rsid w:val="00541179"/>
    <w:rsid w:val="0055165C"/>
    <w:rsid w:val="005517D4"/>
    <w:rsid w:val="00553585"/>
    <w:rsid w:val="00570AC5"/>
    <w:rsid w:val="005977F9"/>
    <w:rsid w:val="00597A8B"/>
    <w:rsid w:val="005A1CA6"/>
    <w:rsid w:val="005A6771"/>
    <w:rsid w:val="005A7D5D"/>
    <w:rsid w:val="005B2091"/>
    <w:rsid w:val="005D2FE0"/>
    <w:rsid w:val="005F0D70"/>
    <w:rsid w:val="006137A9"/>
    <w:rsid w:val="00614AF2"/>
    <w:rsid w:val="006225C7"/>
    <w:rsid w:val="0063223C"/>
    <w:rsid w:val="00633201"/>
    <w:rsid w:val="0063602E"/>
    <w:rsid w:val="006407E3"/>
    <w:rsid w:val="006424E7"/>
    <w:rsid w:val="00647E8F"/>
    <w:rsid w:val="006650C9"/>
    <w:rsid w:val="0068713F"/>
    <w:rsid w:val="00694F95"/>
    <w:rsid w:val="006A45CB"/>
    <w:rsid w:val="006A5162"/>
    <w:rsid w:val="006B450E"/>
    <w:rsid w:val="006B714E"/>
    <w:rsid w:val="006C1F43"/>
    <w:rsid w:val="006C2EA3"/>
    <w:rsid w:val="006C5E6E"/>
    <w:rsid w:val="006C77B8"/>
    <w:rsid w:val="00706B10"/>
    <w:rsid w:val="0071067C"/>
    <w:rsid w:val="00711FE1"/>
    <w:rsid w:val="00713FEA"/>
    <w:rsid w:val="00725422"/>
    <w:rsid w:val="0072552F"/>
    <w:rsid w:val="007256CB"/>
    <w:rsid w:val="0074440C"/>
    <w:rsid w:val="00750520"/>
    <w:rsid w:val="007624F2"/>
    <w:rsid w:val="00766752"/>
    <w:rsid w:val="00770B8D"/>
    <w:rsid w:val="00781AB3"/>
    <w:rsid w:val="00781BE4"/>
    <w:rsid w:val="00783AA8"/>
    <w:rsid w:val="00785E92"/>
    <w:rsid w:val="00786B20"/>
    <w:rsid w:val="007877EE"/>
    <w:rsid w:val="00797BAD"/>
    <w:rsid w:val="007B1BD3"/>
    <w:rsid w:val="007B45BB"/>
    <w:rsid w:val="007C6408"/>
    <w:rsid w:val="007D6620"/>
    <w:rsid w:val="007F6232"/>
    <w:rsid w:val="00805F8D"/>
    <w:rsid w:val="0081354A"/>
    <w:rsid w:val="008138CF"/>
    <w:rsid w:val="008201B0"/>
    <w:rsid w:val="00821EDE"/>
    <w:rsid w:val="00826F00"/>
    <w:rsid w:val="008467F1"/>
    <w:rsid w:val="00857310"/>
    <w:rsid w:val="00865211"/>
    <w:rsid w:val="00877456"/>
    <w:rsid w:val="00883400"/>
    <w:rsid w:val="00891FD8"/>
    <w:rsid w:val="0089758A"/>
    <w:rsid w:val="008A2956"/>
    <w:rsid w:val="008A714B"/>
    <w:rsid w:val="008B1629"/>
    <w:rsid w:val="008B1986"/>
    <w:rsid w:val="008C1DCF"/>
    <w:rsid w:val="008C2F43"/>
    <w:rsid w:val="008C3496"/>
    <w:rsid w:val="008D0D2E"/>
    <w:rsid w:val="008D172A"/>
    <w:rsid w:val="008D37CF"/>
    <w:rsid w:val="008E25D2"/>
    <w:rsid w:val="008F77DD"/>
    <w:rsid w:val="0090351E"/>
    <w:rsid w:val="009100AF"/>
    <w:rsid w:val="009130F2"/>
    <w:rsid w:val="00920577"/>
    <w:rsid w:val="00925055"/>
    <w:rsid w:val="009269C3"/>
    <w:rsid w:val="00946DFF"/>
    <w:rsid w:val="009472D9"/>
    <w:rsid w:val="00953D1D"/>
    <w:rsid w:val="00955DB0"/>
    <w:rsid w:val="009626C5"/>
    <w:rsid w:val="00972292"/>
    <w:rsid w:val="009851CF"/>
    <w:rsid w:val="00985551"/>
    <w:rsid w:val="009A7AF8"/>
    <w:rsid w:val="009C085C"/>
    <w:rsid w:val="009D32C7"/>
    <w:rsid w:val="009F0C4A"/>
    <w:rsid w:val="00A1242D"/>
    <w:rsid w:val="00A16255"/>
    <w:rsid w:val="00A36D25"/>
    <w:rsid w:val="00A437AC"/>
    <w:rsid w:val="00A50F07"/>
    <w:rsid w:val="00A55A0C"/>
    <w:rsid w:val="00A62ABE"/>
    <w:rsid w:val="00A63443"/>
    <w:rsid w:val="00A676CD"/>
    <w:rsid w:val="00A7004B"/>
    <w:rsid w:val="00A70DF1"/>
    <w:rsid w:val="00A7181A"/>
    <w:rsid w:val="00AA13CD"/>
    <w:rsid w:val="00AB4801"/>
    <w:rsid w:val="00AC232D"/>
    <w:rsid w:val="00AD1A94"/>
    <w:rsid w:val="00AD6D3C"/>
    <w:rsid w:val="00AD77B2"/>
    <w:rsid w:val="00AF0E7D"/>
    <w:rsid w:val="00AF7BB4"/>
    <w:rsid w:val="00B00952"/>
    <w:rsid w:val="00B01F6F"/>
    <w:rsid w:val="00B04FFD"/>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7B2"/>
    <w:rsid w:val="00BC1772"/>
    <w:rsid w:val="00BD7B98"/>
    <w:rsid w:val="00BE0422"/>
    <w:rsid w:val="00BF08A8"/>
    <w:rsid w:val="00BF24C3"/>
    <w:rsid w:val="00C133E8"/>
    <w:rsid w:val="00C301A4"/>
    <w:rsid w:val="00C34755"/>
    <w:rsid w:val="00C36F42"/>
    <w:rsid w:val="00C537FD"/>
    <w:rsid w:val="00C674A1"/>
    <w:rsid w:val="00C70F1C"/>
    <w:rsid w:val="00C75503"/>
    <w:rsid w:val="00C87DDD"/>
    <w:rsid w:val="00C90A36"/>
    <w:rsid w:val="00CA51F0"/>
    <w:rsid w:val="00CA7668"/>
    <w:rsid w:val="00CB2AFE"/>
    <w:rsid w:val="00CC03A0"/>
    <w:rsid w:val="00CC7C68"/>
    <w:rsid w:val="00CD382E"/>
    <w:rsid w:val="00CD7645"/>
    <w:rsid w:val="00CE2A7B"/>
    <w:rsid w:val="00CE5623"/>
    <w:rsid w:val="00CF026A"/>
    <w:rsid w:val="00CF2A6C"/>
    <w:rsid w:val="00D043F4"/>
    <w:rsid w:val="00D1144E"/>
    <w:rsid w:val="00D17BEC"/>
    <w:rsid w:val="00D23BAE"/>
    <w:rsid w:val="00D32F68"/>
    <w:rsid w:val="00D33985"/>
    <w:rsid w:val="00D344D8"/>
    <w:rsid w:val="00D45354"/>
    <w:rsid w:val="00D50386"/>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37D4A"/>
    <w:rsid w:val="00E42DEF"/>
    <w:rsid w:val="00E44545"/>
    <w:rsid w:val="00E445BB"/>
    <w:rsid w:val="00E66B3E"/>
    <w:rsid w:val="00E72980"/>
    <w:rsid w:val="00E76BAA"/>
    <w:rsid w:val="00E90881"/>
    <w:rsid w:val="00E96C3E"/>
    <w:rsid w:val="00EA33EF"/>
    <w:rsid w:val="00EA738F"/>
    <w:rsid w:val="00EA793C"/>
    <w:rsid w:val="00EA7973"/>
    <w:rsid w:val="00EB0471"/>
    <w:rsid w:val="00EB04E4"/>
    <w:rsid w:val="00EB1127"/>
    <w:rsid w:val="00EB4271"/>
    <w:rsid w:val="00EB7FC6"/>
    <w:rsid w:val="00EC029F"/>
    <w:rsid w:val="00EC047F"/>
    <w:rsid w:val="00EC0613"/>
    <w:rsid w:val="00EC4135"/>
    <w:rsid w:val="00F32A3A"/>
    <w:rsid w:val="00F42DBD"/>
    <w:rsid w:val="00F474E8"/>
    <w:rsid w:val="00F52B5F"/>
    <w:rsid w:val="00F53E5A"/>
    <w:rsid w:val="00F54BA9"/>
    <w:rsid w:val="00F55CE4"/>
    <w:rsid w:val="00F613F1"/>
    <w:rsid w:val="00F701D7"/>
    <w:rsid w:val="00F7681F"/>
    <w:rsid w:val="00F84C19"/>
    <w:rsid w:val="00F8705F"/>
    <w:rsid w:val="00F9593A"/>
    <w:rsid w:val="00FB64A8"/>
    <w:rsid w:val="00FC1467"/>
    <w:rsid w:val="00FC15AE"/>
    <w:rsid w:val="00FD328C"/>
    <w:rsid w:val="00FF06F8"/>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B6E22"/>
    <w:rsid w:val="002C081E"/>
    <w:rsid w:val="002C0B9A"/>
    <w:rsid w:val="003F0918"/>
    <w:rsid w:val="00485C98"/>
    <w:rsid w:val="004B3649"/>
    <w:rsid w:val="0068713F"/>
    <w:rsid w:val="00793C32"/>
    <w:rsid w:val="008651AE"/>
    <w:rsid w:val="0098531E"/>
    <w:rsid w:val="00B5088B"/>
    <w:rsid w:val="00BD7B98"/>
    <w:rsid w:val="00C32E1E"/>
    <w:rsid w:val="00C4429B"/>
    <w:rsid w:val="00CC0068"/>
    <w:rsid w:val="00D5147D"/>
    <w:rsid w:val="00DA6EC6"/>
    <w:rsid w:val="00E70013"/>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isTemporary&quot;:false}]},{&quot;citationID&quot;:&quot;MENDELEY_CITATION_4baaeb8b-5b5c-4f1f-b9ac-c144712c2043&quot;,&quot;properties&quot;:{&quot;noteIndex&quot;:0},&quot;isEdited&quot;:false,&quot;manualOverride&quot;:{&quot;isManuallyOverridden&quot;:false,&quot;citeprocText&quot;:&quot;(2)&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I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container-title-short&quot;:&quot;Eur J Intern Med&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isTemporary&quot;:false}]},{&quot;citationID&quot;:&quot;MENDELEY_CITATION_4b512d4e-a2df-47e6-988c-57391c2554d6&quot;,&quot;properties&quot;:{&quot;noteIndex&quot;:0},&quot;isEdited&quot;:false,&quot;manualOverride&quot;:{&quot;isManuallyOverridden&quot;:false,&quot;citeprocText&quot;:&quot;(3)&quot;,&quot;manualOverrideText&quot;:&quot;&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D&quot;:&quot;MENDELEY_CITATION_c11ab618-1f24-4198-be60-0031a1d6c571&quot;,&quot;properties&quot;:{&quot;noteIndex&quot;:0},&quot;isEdited&quot;:false,&quot;manualOverride&quot;:{&quot;isManuallyOverridden&quot;:false,&quot;citeprocText&quot;:&quot;(4)&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ID&quot;:&quot;MENDELEY_CITATION_f0202d52-e98a-47cc-b8eb-c911f061a3cc&quot;,&quot;properties&quot;:{&quot;noteIndex&quot;:0},&quot;isEdited&quot;:false,&quot;manualOverride&quot;:{&quot;isManuallyOverridden&quot;:false,&quot;citeprocText&quot;:&quot;(5)&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container-title-short&quot;:&quot;Arch Intern Med&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isTemporary&quot;:false}]},{&quot;citationID&quot;:&quot;MENDELEY_CITATION_088c4e5e-1f0c-4eb9-b9ad-3c42eabaeaf2&quot;,&quot;properties&quot;:{&quot;noteIndex&quot;:0},&quot;isEdited&quot;:false,&quot;manualOverride&quot;:{&quot;isManuallyOverridden&quot;:false,&quot;citeprocText&quot;:&quot;(6)&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7,8)&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container-title-short&quot;:&quot;Hum Exp Toxicol&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4,9)&quot;,&quot;manualOverrideText&quot;:&quot;&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container-title-short&quot;:&quot;Clin Toxicol&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isTemporary&quot;:false}],&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&quot;},{&quot;citationID&quot;:&quot;MENDELEY_CITATION_bb3a1479-cd14-4c23-81ef-6525df102270&quot;,&quot;properties&quot;:{&quot;noteIndex&quot;:0},&quot;isEdited&quot;:false,&quot;manualOverride&quot;:{&quot;isManuallyOverridden&quot;:false,&quot;citeprocText&quot;:&quot;(10,11)&quot;,&quot;manualOverrideText&quot;:&quot;&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isTemporary&quot;:false}],&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wLDEx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n0sImlzVGVtcG9yYXJ5IjpmYWxzZX1dfQ==&quot;},{&quot;citationID&quot;:&quot;MENDELEY_CITATION_0a26a587-3b69-43dd-9661-0f2597324bbe&quot;,&quot;properties&quot;:{&quot;noteIndex&quot;:0},&quot;isEdited&quot;:false,&quot;manualOverride&quot;:{&quot;isManuallyOverridden&quot;:false,&quot;citeprocText&quot;:&quot;(12)&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cd5748-4c93-4adb-8b3e-0c21e9c9b912&quot;,&quot;properties&quot;:{&quot;noteIndex&quot;:0},&quot;isEdited&quot;:false,&quot;manualOverride&quot;:{&quot;isManuallyOverridden&quot;:false,&quot;citeprocText&quot;:&quot;(13,14)&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zLDE0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15)&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e2a5a02a-e8de-46e6-9df5-cf55454c10fe&quot;,&quot;properties&quot;:{&quot;noteIndex&quot;:0},&quot;isEdited&quot;:false,&quot;manualOverride&quot;:{&quot;isManuallyOverridden&quot;:false,&quot;citeprocText&quot;:&quot;(16)&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E2KSIsIm1hbnVhbE92ZXJyaWRlVGV4dCI6IiJ9LCJjaXRhdGlvbkl0ZW1zIjpbeyJpZCI6IjUwNTU2MDlhLTU0YjEtMzVhNi1hYTZiLTNiNmU1MGE2NGIzMCIsIml0ZW1EYXRhIjp7InR5cGUiOiJhcnRpY2xlLWpvdXJuYWwiLCJpZCI6IjUwNTU2MDlhLTU0YjEtMzVhNi1hYTZiLTNiNmU1MGE2NGIzM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97c35b-e060-4916-8349-168c751fa0df&quot;,&quot;properties&quot;:{&quot;noteIndex&quot;:0},&quot;isEdited&quot;:false,&quot;manualOverride&quot;:{&quot;isManuallyOverridden&quot;:false,&quot;citeprocText&quot;:&quot;(12)&quot;,&quot;manualOverrideText&quot;:&quot;&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container-title-short&quot;:&quot;Clin Toxicol&quot;,&quot;DOI&quot;:&quot;10.1080/15563650.2016.1222616&quot;,&quot;ISSN&quot;:&quot;1556-3650&quot;,&quot;issued&quot;:{&quot;date-parts&quot;:[[2017,1,2]]},&quot;page&quot;:&quot;4-11&quot;,&quot;issue&quot;:&quot;1&quot;,&quot;volume&quot;:&quot;55&quot;},&quot;isTemporary&quot;:false}],&quot;citationTag&quot;:&quot;MENDELEY_CITATION_v3_eyJjaXRhdGlvbklEIjoiTUVOREVMRVlfQ0lUQVRJT05fY2Y5N2MzNWItZTA2MC00OTE2LTgzNDktMTY4Yzc1MWZhMGRm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Y29udGFpbmVyLXRpdGxlLXNob3J0IjoiQ2xpbiBUb3hpY29sIiwiRE9JIjoiMTAuMTA4MC8xNTU2MzY1MC4yMDE2LjEyMjI2MTYiLCJJU1NOIjoiMTU1Ni0zNjUwIiwiaXNzdWVkIjp7ImRhdGUtcGFydHMiOltbMjAxNywxLDJdXX0sInBhZ2UiOiI0LTExIiwiaXNzdWUiOiIxIiwidm9sdW1lIjoiNTUifSwiaXNUZW1wb3JhcnkiOmZhbHNlfV19&quot;},{&quot;citationID&quot;:&quot;MENDELEY_CITATION_508f4072-cb3a-4f53-b2e4-638b158d2fdd&quot;,&quot;properties&quot;:{&quot;noteIndex&quot;:0},&quot;isEdited&quot;:false,&quot;manualOverride&quot;:{&quot;isManuallyOverridden&quot;:false,&quot;citeprocText&quot;:&quot;(17,18)&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17</Pages>
  <Words>3561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52</cp:revision>
  <cp:lastPrinted>2025-02-14T19:47:00Z</cp:lastPrinted>
  <dcterms:created xsi:type="dcterms:W3CDTF">2025-02-17T14:29:00Z</dcterms:created>
  <dcterms:modified xsi:type="dcterms:W3CDTF">2025-02-19T15:32:00Z</dcterms:modified>
</cp:coreProperties>
</file>