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commentRangeStart w:id="0"/>
      <w:r w:rsidRPr="00B149C3">
        <w:rPr>
          <w:b/>
          <w:i/>
          <w:lang w:val="en-US"/>
        </w:rPr>
        <w:lastRenderedPageBreak/>
        <w:t xml:space="preserve">Introduction: </w:t>
      </w:r>
      <w:commentRangeEnd w:id="0"/>
      <w:r w:rsidR="00970E9C">
        <w:rPr>
          <w:rStyle w:val="CommentReference"/>
        </w:rPr>
        <w:commentReference w:id="0"/>
      </w:r>
    </w:p>
    <w:p w14:paraId="4C92E510" w14:textId="17E83685"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2,483,183 calls to Poison Control in the United States</w:t>
      </w:r>
      <w:r w:rsidR="00EC029F">
        <w:rPr>
          <w:lang w:val="en-US"/>
        </w:rPr>
        <w:t xml:space="preserve"> in 2022</w:t>
      </w:r>
      <w:r w:rsidR="00FF06F8">
        <w:rPr>
          <w:lang w:val="en-US"/>
        </w:rPr>
        <w:t xml:space="preserve">, 2,622 (0.1%) involved a fatality and 38, 739 (1.88%) had a major clinical effect </w:t>
      </w:r>
      <w:sdt>
        <w:sdtPr>
          <w:rPr>
            <w:color w:val="000000"/>
            <w:vertAlign w:val="superscript"/>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PHN1cD4xPC9zdXA+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
          <w:id w:val="1390840746"/>
          <w:placeholder>
            <w:docPart w:val="DefaultPlaceholder_-1854013440"/>
          </w:placeholder>
        </w:sdtPr>
        <w:sdtContent>
          <w:r w:rsidR="001E072F" w:rsidRPr="001E072F">
            <w:rPr>
              <w:color w:val="000000"/>
              <w:vertAlign w:val="superscript"/>
              <w:lang w:val="en-US"/>
            </w:rPr>
            <w:t>1</w:t>
          </w:r>
        </w:sdtContent>
      </w:sdt>
      <w:r w:rsidR="00FF06F8">
        <w:rPr>
          <w:lang w:val="en-US"/>
        </w:rPr>
        <w:t>.</w:t>
      </w:r>
      <w:r w:rsidR="00F51600">
        <w:rPr>
          <w:lang w:val="en-US"/>
        </w:rPr>
        <w:t xml:space="preserve"> The mortality rate of patients hospitalized for poisoning is 0.6%</w:t>
      </w:r>
      <w:sdt>
        <w:sdtPr>
          <w:rPr>
            <w:color w:val="000000"/>
            <w:vertAlign w:val="superscript"/>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PHN1cD4yPC9zdXA+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1E072F" w:rsidRPr="001E072F">
            <w:rPr>
              <w:color w:val="000000"/>
              <w:vertAlign w:val="superscript"/>
              <w:lang w:val="en-US"/>
            </w:rPr>
            <w:t>2</w:t>
          </w:r>
        </w:sdtContent>
      </w:sdt>
      <w:r w:rsidR="00F51600">
        <w:rPr>
          <w:lang w:val="en-US"/>
        </w:rPr>
        <w:t>.</w:t>
      </w:r>
      <w:r w:rsidR="001A190F">
        <w:rPr>
          <w:lang w:val="en-US"/>
        </w:rPr>
        <w:t xml:space="preserve"> Approximately 25% of poisoned patients admitted to the hospital for medical treatment require no medical treatment</w:t>
      </w:r>
      <w:sdt>
        <w:sdtPr>
          <w:rPr>
            <w:color w:val="000000"/>
            <w:vertAlign w:val="superscript"/>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PHN1cD4zPC9zdXA+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"/>
          <w:id w:val="370730654"/>
          <w:placeholder>
            <w:docPart w:val="DefaultPlaceholder_-1854013440"/>
          </w:placeholder>
        </w:sdtPr>
        <w:sdtContent>
          <w:r w:rsidR="001E072F" w:rsidRPr="001E072F">
            <w:rPr>
              <w:color w:val="000000"/>
              <w:vertAlign w:val="superscript"/>
              <w:lang w:val="en-US"/>
            </w:rPr>
            <w:t>3</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vertAlign w:val="superscript"/>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PHN1cD40PC9zdXA+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1E072F" w:rsidRPr="001E072F">
            <w:rPr>
              <w:bCs/>
              <w:color w:val="000000"/>
              <w:vertAlign w:val="superscript"/>
              <w:lang w:val="en-US"/>
            </w:rPr>
            <w:t>4</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 pointlessly consuming resources.</w:t>
      </w:r>
    </w:p>
    <w:p w14:paraId="2CE5FF12" w14:textId="35D0CD6E" w:rsidR="00DB2EAD" w:rsidRDefault="00CC3C99">
      <w:pPr>
        <w:spacing w:before="240" w:line="360" w:lineRule="auto"/>
        <w:rPr>
          <w:lang w:val="en-US"/>
        </w:rPr>
      </w:pPr>
      <w:r>
        <w:rPr>
          <w:lang w:val="en-US"/>
        </w:rPr>
        <w:t>C</w:t>
      </w:r>
      <w:r w:rsidR="00453736">
        <w:rPr>
          <w:lang w:val="en-US"/>
        </w:rPr>
        <w:t xml:space="preserve">linical decision tools for acetaminophen </w:t>
      </w:r>
      <w:sdt>
        <w:sdtPr>
          <w:rPr>
            <w:color w:val="000000"/>
            <w:vertAlign w:val="superscript"/>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PHN1cD41PC9zdXA+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1E072F" w:rsidRPr="001E072F">
            <w:rPr>
              <w:color w:val="000000"/>
              <w:vertAlign w:val="superscript"/>
              <w:lang w:val="en-US"/>
            </w:rPr>
            <w:t>5</w:t>
          </w:r>
        </w:sdtContent>
      </w:sdt>
      <w:r w:rsidR="00453736">
        <w:rPr>
          <w:lang w:val="en-US"/>
        </w:rPr>
        <w:t xml:space="preserve">, tricyclic antidepressants </w:t>
      </w:r>
      <w:sdt>
        <w:sdtPr>
          <w:rPr>
            <w:color w:val="000000"/>
            <w:vertAlign w:val="superscript"/>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PHN1cD42PC9zdXA+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1E072F" w:rsidRPr="001E072F">
            <w:rPr>
              <w:color w:val="000000"/>
              <w:vertAlign w:val="superscript"/>
              <w:lang w:val="en-US"/>
            </w:rPr>
            <w:t>6</w:t>
          </w:r>
        </w:sdtContent>
      </w:sdt>
      <w:r w:rsidR="00453736">
        <w:rPr>
          <w:lang w:val="en-US"/>
        </w:rPr>
        <w:t xml:space="preserve">, paraquat </w:t>
      </w:r>
      <w:sdt>
        <w:sdtPr>
          <w:rPr>
            <w:color w:val="000000"/>
            <w:vertAlign w:val="superscript"/>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PHN1cD43LDg8L3N1cD4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1E072F" w:rsidRPr="001E072F">
            <w:rPr>
              <w:color w:val="000000"/>
              <w:vertAlign w:val="superscript"/>
              <w:lang w:val="en-US"/>
            </w:rPr>
            <w:t>7,8</w:t>
          </w:r>
        </w:sdtContent>
      </w:sdt>
      <w:r w:rsidR="00453736">
        <w:rPr>
          <w:lang w:val="en-US"/>
        </w:rPr>
        <w:t xml:space="preserve">, and bupropion </w:t>
      </w:r>
      <w:sdt>
        <w:sdtPr>
          <w:rPr>
            <w:color w:val="000000"/>
            <w:vertAlign w:val="superscript"/>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PHN1cD45LDEwPC9zdXA+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"/>
          <w:id w:val="-1612661734"/>
          <w:placeholder>
            <w:docPart w:val="6C90DA15371748448AF5B1E67FBB0F88"/>
          </w:placeholder>
        </w:sdtPr>
        <w:sdtContent>
          <w:r w:rsidR="001E072F" w:rsidRPr="001E072F">
            <w:rPr>
              <w:color w:val="000000"/>
              <w:vertAlign w:val="superscript"/>
              <w:lang w:val="en-US"/>
            </w:rPr>
            <w:t>9,10</w:t>
          </w:r>
        </w:sdtContent>
      </w:sdt>
      <w:r>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EC029F">
        <w:rPr>
          <w:lang w:val="en-US"/>
        </w:rPr>
        <w:t xml:space="preserve"> and improve resource utilization</w:t>
      </w:r>
      <w:r w:rsidR="00453736">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vertAlign w:val="superscript"/>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PHN1cD45PC9zdXA+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RE9JIjoiMTAuMTA4MC8xNTU2MzY1MC4yMDIzLjIyMjc5OTciLCJJU1NOIjoiMTU1Ni0zNjUwIiwiaXNzdWVkIjp7ImRhdGUtcGFydHMiOltbMjAyMyw3LDNdXX0sInBhZ2UiOiI1MjktNTM1IiwiaXNzdWUiOiI3Iiwidm9sdW1lIjoiNjEiLCJjb250YWluZXItdGl0bGUtc2hvcnQiOiJDbGluIFRveGljb2wifSwiaXNUZW1wb3JhcnkiOmZhbHNlfV19"/>
          <w:id w:val="236598664"/>
          <w:placeholder>
            <w:docPart w:val="D3D6BAF4CA32D64EAF09A537B9E1700E"/>
          </w:placeholder>
        </w:sdtPr>
        <w:sdtContent>
          <w:r w:rsidR="001E072F" w:rsidRPr="001E072F">
            <w:rPr>
              <w:color w:val="000000"/>
              <w:vertAlign w:val="superscript"/>
              <w:lang w:val="en-US"/>
            </w:rPr>
            <w:t>9</w:t>
          </w:r>
        </w:sdtContent>
      </w:sdt>
      <w:r w:rsidR="009269C3">
        <w:rPr>
          <w:lang w:val="en-US"/>
        </w:rPr>
        <w:t xml:space="preserve">. </w:t>
      </w:r>
    </w:p>
    <w:p w14:paraId="031BADF0" w14:textId="3FB3F400"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vertAlign w:val="superscript"/>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PHN1cD4xMSwxMjwvc3VwPi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1E072F" w:rsidRPr="001E072F">
            <w:rPr>
              <w:color w:val="000000"/>
              <w:vertAlign w:val="superscript"/>
              <w:lang w:val="en-US"/>
            </w:rPr>
            <w:t>11,12</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w:t>
      </w:r>
      <w:r w:rsidR="005C602F">
        <w:rPr>
          <w:lang w:val="en-US"/>
        </w:rPr>
        <w:t>hich patients admitted to the ICU for suspected poisoning</w:t>
      </w:r>
      <w:r w:rsidRPr="00B149C3">
        <w:rPr>
          <w:lang w:val="en-US"/>
        </w:rPr>
        <w:t xml:space="preserve"> could be safely managed on a general medical floor</w:t>
      </w:r>
      <w:sdt>
        <w:sdtPr>
          <w:rPr>
            <w:color w:val="000000"/>
            <w:vertAlign w:val="superscript"/>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PHN1cD4xMzwvc3VwPi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1E072F" w:rsidRPr="001E072F">
            <w:rPr>
              <w:color w:val="000000"/>
              <w:vertAlign w:val="superscript"/>
              <w:lang w:val="en-US"/>
            </w:rPr>
            <w:t>13</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77F0CF36"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EF7BB9">
        <w:rPr>
          <w:lang w:val="en-US"/>
        </w:rPr>
        <w:t xml:space="preserve">generalizes to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to </w:t>
      </w:r>
      <w:r w:rsidR="001F2A7F">
        <w:rPr>
          <w:lang w:val="en-US"/>
        </w:rPr>
        <w:t>evaluate the agreement between</w:t>
      </w:r>
      <w:r w:rsidR="001627D9">
        <w:rPr>
          <w:lang w:val="en-US"/>
        </w:rPr>
        <w:t xml:space="preserve"> the </w:t>
      </w:r>
      <w:r w:rsidR="001627D9">
        <w:rPr>
          <w:lang w:val="en-US"/>
        </w:rPr>
        <w:t>recommendations</w:t>
      </w:r>
      <w:r w:rsidR="001627D9">
        <w:rPr>
          <w:lang w:val="en-US"/>
        </w:rPr>
        <w:t xml:space="preserve">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patients presenting to the Emergency Department</w:t>
      </w:r>
      <w:r w:rsidR="00244ADE">
        <w:rPr>
          <w:lang w:val="en-US"/>
        </w:rPr>
        <w:t xml:space="preserve"> with suspected poisoning</w:t>
      </w:r>
      <w:r w:rsidR="00C62544">
        <w:rPr>
          <w:lang w:val="en-US"/>
        </w:rPr>
        <w:t xml:space="preserve">. Our </w:t>
      </w:r>
      <w:r w:rsidR="00C62544">
        <w:rPr>
          <w:lang w:val="en-US"/>
        </w:rPr>
        <w:lastRenderedPageBreak/>
        <w:t xml:space="preserve">motivation for comparing INTOXICATE to bedside toxicologists was to determine whether </w:t>
      </w:r>
      <w:r w:rsidR="00D73A60">
        <w:rPr>
          <w:lang w:val="en-US"/>
        </w:rPr>
        <w:t>INTOXICATE’s decision r</w:t>
      </w:r>
      <w:r w:rsidR="00C62544">
        <w:rPr>
          <w:lang w:val="en-US"/>
        </w:rPr>
        <w:t xml:space="preserve">eflected sound medical decision making. 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76D97602"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vertAlign w:val="superscript"/>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1E072F" w:rsidRPr="001E072F">
            <w:rPr>
              <w:color w:val="000000"/>
              <w:vertAlign w:val="superscript"/>
              <w:lang w:val="en-US"/>
            </w:rPr>
            <w:t>14</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r w:rsidR="00BC31AA">
        <w:rPr>
          <w:lang w:val="en-US"/>
        </w:rPr>
        <w:t xml:space="preserve"> </w:t>
      </w:r>
      <w:sdt>
        <w:sdtPr>
          <w:rPr>
            <w:color w:val="000000"/>
            <w:vertAlign w:val="superscript"/>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PHN1cD4xNSwxNjwvc3VwPi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1E072F" w:rsidRPr="001E072F">
            <w:rPr>
              <w:color w:val="000000"/>
              <w:vertAlign w:val="superscript"/>
              <w:lang w:val="en-US"/>
            </w:rPr>
            <w:t>15,16</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2DFFC2D8"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vertAlign w:val="superscript"/>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1E072F" w:rsidRPr="001E072F">
            <w:rPr>
              <w:color w:val="000000"/>
              <w:vertAlign w:val="superscript"/>
              <w:lang w:val="en-US"/>
            </w:rPr>
            <w:t>14</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vertAlign w:val="superscript"/>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1E072F" w:rsidRPr="001E072F">
            <w:rPr>
              <w:color w:val="000000"/>
              <w:vertAlign w:val="superscript"/>
              <w:lang w:val="en-US"/>
            </w:rPr>
            <w:t>14</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vertAlign w:val="superscript"/>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1E072F" w:rsidRPr="001E072F">
            <w:rPr>
              <w:color w:val="000000"/>
              <w:vertAlign w:val="superscript"/>
              <w:lang w:val="en-US"/>
            </w:rPr>
            <w:t>14</w:t>
          </w:r>
        </w:sdtContent>
      </w:sdt>
      <w:r w:rsidR="000A5139">
        <w:rPr>
          <w:color w:val="000000"/>
          <w:lang w:val="en-US"/>
        </w:rPr>
        <w:t xml:space="preserve"> </w:t>
      </w:r>
      <w:r w:rsidR="00AD6D3C">
        <w:rPr>
          <w:color w:val="000000"/>
          <w:lang w:val="en-US"/>
        </w:rPr>
        <w:t>and derived from patients in the INTOXICATE cohort.</w:t>
      </w:r>
    </w:p>
    <w:p w14:paraId="172D42DA" w14:textId="6983C486" w:rsidR="003C56C3" w:rsidRPr="003C56C3" w:rsidRDefault="0028017F">
      <w:pPr>
        <w:spacing w:before="240" w:line="360" w:lineRule="auto"/>
        <w:rPr>
          <w:color w:val="000000"/>
          <w:lang w:val="en-US"/>
        </w:rPr>
      </w:pPr>
      <w:r>
        <w:rPr>
          <w:color w:val="000000"/>
          <w:lang w:val="en-US"/>
        </w:rPr>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lastRenderedPageBreak/>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need for supplemental oxygen.</w:t>
      </w:r>
    </w:p>
    <w:p w14:paraId="70A9254D" w14:textId="32F2EA10" w:rsidR="00B00952" w:rsidRPr="00F42DBD" w:rsidRDefault="00320148">
      <w:pPr>
        <w:spacing w:before="240" w:line="360" w:lineRule="auto"/>
        <w:rPr>
          <w:b/>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154E5F0C"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w:t>
      </w:r>
      <w:r w:rsidR="000F7D9B">
        <w:rPr>
          <w:lang w:val="en-US"/>
        </w:rPr>
        <w:t>or</w:t>
      </w:r>
      <w:r>
        <w:rPr>
          <w:lang w:val="en-US"/>
        </w:rPr>
        <w:t xml:space="preserve"> die during admission. </w:t>
      </w:r>
      <w:r w:rsidR="00EC6069">
        <w:rPr>
          <w:lang w:val="en-US"/>
        </w:rPr>
        <w:t xml:space="preserve">Our outcome measure for INTOXICATE’s performance in </w:t>
      </w:r>
      <w:r w:rsidR="00EC6069">
        <w:rPr>
          <w:lang w:val="en-US"/>
        </w:rPr>
        <w:t>Emergency Department patients was the same.</w:t>
      </w:r>
    </w:p>
    <w:p w14:paraId="6C9AF790" w14:textId="3E232EBA"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w:t>
      </w:r>
      <w:r w:rsidR="002830F6">
        <w:rPr>
          <w:lang w:val="en-US"/>
        </w:rPr>
        <w:t>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5D4E5D41"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with no protected health information is available at the GitHub repository: </w:t>
      </w:r>
      <w:r w:rsidR="00CE18D7" w:rsidRPr="00CE18D7">
        <w:rPr>
          <w:lang w:val="en-US"/>
        </w:rPr>
        <w:t>https://github.com/mac389/INTOXICATE</w:t>
      </w:r>
      <w:r w:rsidR="00CE18D7">
        <w:rPr>
          <w:lang w:val="en-US"/>
        </w:rPr>
        <w:t>.</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77C64AB4"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commentRangeStart w:id="1"/>
      <w:r w:rsidR="007D6620" w:rsidRPr="00B149C3">
        <w:rPr>
          <w:color w:val="000000" w:themeColor="text1"/>
        </w:rPr>
        <w:t>Figure 1</w:t>
      </w:r>
      <w:commentRangeEnd w:id="1"/>
      <w:r w:rsidR="00182C8F">
        <w:rPr>
          <w:rStyle w:val="CommentReference"/>
        </w:rPr>
        <w:commentReference w:id="1"/>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250A5B">
        <w:rPr>
          <w:iCs/>
          <w:lang w:val="en-US"/>
        </w:rPr>
        <w:t xml:space="preserve">Adults were more </w:t>
      </w:r>
      <w:r w:rsidR="002374AA">
        <w:rPr>
          <w:iCs/>
          <w:lang w:val="en-US"/>
        </w:rPr>
        <w:t>commonly</w:t>
      </w:r>
      <w:r w:rsidR="00250A5B">
        <w:rPr>
          <w:iCs/>
          <w:lang w:val="en-US"/>
        </w:rPr>
        <w:t xml:space="preserv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2374AA">
        <w:rPr>
          <w:iCs/>
          <w:lang w:val="en-US"/>
        </w:rPr>
        <w:t xml:space="preserve"> and</w:t>
      </w:r>
      <w:r w:rsidR="00250A5B">
        <w:rPr>
          <w:iCs/>
          <w:lang w:val="en-US"/>
        </w:rPr>
        <w:t xml:space="preserve"> </w:t>
      </w:r>
      <w:r w:rsidR="002374AA">
        <w:rPr>
          <w:iCs/>
          <w:lang w:val="en-US"/>
        </w:rPr>
        <w:t>a</w:t>
      </w:r>
      <w:r w:rsidR="00250A5B">
        <w:rPr>
          <w:iCs/>
          <w:lang w:val="en-US"/>
        </w:rPr>
        <w:t>dolescents</w:t>
      </w:r>
      <w:r w:rsidR="002374AA">
        <w:rPr>
          <w:iCs/>
          <w:lang w:val="en-US"/>
        </w:rPr>
        <w:t xml:space="preserve"> </w:t>
      </w:r>
      <w:r w:rsidR="00250A5B">
        <w:rPr>
          <w:iCs/>
          <w:lang w:val="en-US"/>
        </w:rPr>
        <w:t>more</w:t>
      </w:r>
      <w:r w:rsidR="002374AA">
        <w:rPr>
          <w:iCs/>
          <w:lang w:val="en-US"/>
        </w:rPr>
        <w:t xml:space="preserve"> commonly</w:t>
      </w:r>
      <w:r w:rsidR="00250A5B">
        <w:rPr>
          <w:iCs/>
          <w:lang w:val="en-US"/>
        </w:rPr>
        <w:t xml:space="preserve"> discharged</w:t>
      </w:r>
      <w:r w:rsidR="00A407F7">
        <w:rPr>
          <w:iCs/>
          <w:lang w:val="en-US"/>
        </w:rPr>
        <w:t>. Neither tendency</w:t>
      </w:r>
      <w:r w:rsidR="002374AA">
        <w:rPr>
          <w:iCs/>
          <w:lang w:val="en-US"/>
        </w:rPr>
        <w:t xml:space="preserve"> reach</w:t>
      </w:r>
      <w:r w:rsidR="00A407F7">
        <w:rPr>
          <w:iCs/>
          <w:lang w:val="en-US"/>
        </w:rPr>
        <w:t>ed</w:t>
      </w:r>
      <w:r w:rsidR="002374AA">
        <w:rPr>
          <w:iCs/>
          <w:lang w:val="en-US"/>
        </w:rPr>
        <w:t xml:space="preserve"> statistical significance</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t>
      </w:r>
      <w:r w:rsidR="00B62118" w:rsidRPr="00857310">
        <w:rPr>
          <w:lang w:val="en-US"/>
        </w:rPr>
        <w:lastRenderedPageBreak/>
        <w:t xml:space="preserve">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28082D2A"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Of the 20 patients admitted to the ICU, 16 (80%) were older than 18.</w:t>
      </w:r>
    </w:p>
    <w:p w14:paraId="3AE13527" w14:textId="1ECBDC3F" w:rsidR="002C4943" w:rsidRPr="002C4943" w:rsidRDefault="00C620EB">
      <w:pPr>
        <w:spacing w:before="240" w:line="360" w:lineRule="auto"/>
        <w:rPr>
          <w:bCs/>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 xml:space="preserve">adult </w:t>
      </w:r>
      <w:r w:rsidR="00A27852">
        <w:rPr>
          <w:bCs/>
          <w:lang w:val="en-US"/>
        </w:rPr>
        <w:t xml:space="preserve">patients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 xml:space="preserve">reatment and 3 </w:t>
      </w:r>
      <w:r w:rsidR="004D153A">
        <w:rPr>
          <w:bCs/>
          <w:lang w:val="en-US"/>
        </w:rPr>
        <w:t>[]. In the authors’ institution, any patient who receives hyperbaric oxygen is admitted to the ICU. The hyperbaric chamber is in the ICU.</w:t>
      </w:r>
      <w:r w:rsidR="00C06EB8">
        <w:rPr>
          <w:bCs/>
          <w:lang w:val="en-US"/>
        </w:rPr>
        <w:t xml:space="preserve"> </w:t>
      </w:r>
      <w:r w:rsidR="00C06EB8">
        <w:rPr>
          <w:lang w:val="en-US"/>
        </w:rPr>
        <w:t xml:space="preserve">For the remaining 5, INTOXICATE considered them lower risk than the toxicologist did because it considered the </w:t>
      </w:r>
      <w:commentRangeStart w:id="2"/>
      <w:r w:rsidR="00C06EB8">
        <w:rPr>
          <w:lang w:val="en-US"/>
        </w:rPr>
        <w:t xml:space="preserve">reported </w:t>
      </w:r>
      <w:proofErr w:type="spellStart"/>
      <w:r w:rsidR="00C06EB8">
        <w:rPr>
          <w:lang w:val="en-US"/>
        </w:rPr>
        <w:t>ingestants</w:t>
      </w:r>
      <w:proofErr w:type="spellEnd"/>
      <w:r w:rsidR="00C06EB8">
        <w:rPr>
          <w:lang w:val="en-US"/>
        </w:rPr>
        <w:t xml:space="preserve"> lower risk</w:t>
      </w:r>
      <w:commentRangeEnd w:id="2"/>
      <w:r w:rsidR="00C06EB8">
        <w:rPr>
          <w:rStyle w:val="CommentReference"/>
        </w:rPr>
        <w:commentReference w:id="2"/>
      </w:r>
      <w:r w:rsidR="00C06EB8">
        <w:rPr>
          <w:lang w:val="en-US"/>
        </w:rPr>
        <w:t>, there was no respiratory insufficiency or dysrhythmia, and their GCS scores were 15.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These differences in age and heart rate were not statistically significant.  Taking the toxicologist’s recommendation as the gold standard, the sensitivity and specificity of INTOXICATE for patients aged 18-65 were 69% [41-89] and 38% [26-51], respectively, expressed as estimate [95% confidence interval].</w:t>
      </w:r>
    </w:p>
    <w:p w14:paraId="61FA2F26" w14:textId="3BC14A38" w:rsidR="00F8705F" w:rsidRPr="00FE1048" w:rsidRDefault="005D0D4D">
      <w:pPr>
        <w:spacing w:before="240" w:line="360" w:lineRule="auto"/>
        <w:rPr>
          <w:b/>
          <w:i/>
          <w:color w:val="FF0000"/>
        </w:rPr>
      </w:pPr>
      <w:r>
        <w:rPr>
          <w:b/>
          <w:bCs/>
          <w:lang w:val="en-US"/>
        </w:rPr>
        <w:t xml:space="preserve">Performance in the ED poisoned population. </w:t>
      </w:r>
      <w:r w:rsidR="009B1F9E">
        <w:rPr>
          <w:lang w:val="en-US"/>
        </w:rPr>
        <w:t xml:space="preserve">Of the 103 patients included in the analysis, </w:t>
      </w:r>
      <w:r w:rsidR="00F54BA9">
        <w:rPr>
          <w:lang w:val="en-US"/>
        </w:rPr>
        <w:t xml:space="preserve">INTOXICATE </w:t>
      </w:r>
      <w:r w:rsidR="009B1F9E">
        <w:rPr>
          <w:lang w:val="en-US"/>
        </w:rPr>
        <w:t>recommended</w:t>
      </w:r>
      <w:r w:rsidR="00F54BA9">
        <w:rPr>
          <w:lang w:val="en-US"/>
        </w:rPr>
        <w:t xml:space="preserve"> admitting 61 (59%) to the ICU. </w:t>
      </w:r>
      <w:r w:rsidR="00000000" w:rsidRPr="00B149C3">
        <w:rPr>
          <w:lang w:val="en-US"/>
        </w:rPr>
        <w:t>I</w:t>
      </w:r>
      <w:r w:rsidR="00F54BA9">
        <w:rPr>
          <w:lang w:val="en-US"/>
        </w:rPr>
        <w:t xml:space="preserve">t </w:t>
      </w:r>
      <w:r w:rsidR="00000000" w:rsidRPr="00B149C3">
        <w:rPr>
          <w:lang w:val="en-US"/>
        </w:rPr>
        <w:t>recommended ICU admission for 1</w:t>
      </w:r>
      <w:r w:rsidR="00EB0471">
        <w:rPr>
          <w:lang w:val="en-US"/>
        </w:rPr>
        <w:t>3</w:t>
      </w:r>
      <w:r w:rsidR="00000000" w:rsidRPr="00B149C3">
        <w:rPr>
          <w:lang w:val="en-US"/>
        </w:rPr>
        <w:t>/2</w:t>
      </w:r>
      <w:r w:rsidR="00EB0471">
        <w:rPr>
          <w:lang w:val="en-US"/>
        </w:rPr>
        <w:t>0</w:t>
      </w:r>
      <w:r w:rsidR="00000000" w:rsidRPr="00B149C3">
        <w:rPr>
          <w:lang w:val="en-US"/>
        </w:rPr>
        <w:t xml:space="preserve"> (6</w:t>
      </w:r>
      <w:r w:rsidR="00EB0471">
        <w:rPr>
          <w:lang w:val="en-US"/>
        </w:rPr>
        <w:t>5</w:t>
      </w:r>
      <w:r w:rsidR="00000000" w:rsidRPr="00B149C3">
        <w:rPr>
          <w:lang w:val="en-US"/>
        </w:rPr>
        <w:t>%) of patients for whom the toxicologist recommended ICU admission</w:t>
      </w:r>
      <w:r w:rsidR="00DB60AD">
        <w:rPr>
          <w:lang w:val="en-US"/>
        </w:rPr>
        <w:t xml:space="preserve">, </w:t>
      </w:r>
      <w:r w:rsidR="00000000" w:rsidRPr="00B149C3">
        <w:rPr>
          <w:lang w:val="en-US"/>
        </w:rPr>
        <w:t>for 12</w:t>
      </w:r>
      <w:r w:rsidR="00DB60AD">
        <w:rPr>
          <w:lang w:val="en-US"/>
        </w:rPr>
        <w:t>/</w:t>
      </w:r>
      <w:r w:rsidR="00000000" w:rsidRPr="00B149C3">
        <w:rPr>
          <w:lang w:val="en-US"/>
        </w:rPr>
        <w:t>16 (75%) patients for whom admission the toxicologist recommended a general medical floor, an</w:t>
      </w:r>
      <w:r w:rsidR="00DB60AD">
        <w:rPr>
          <w:lang w:val="en-US"/>
        </w:rPr>
        <w:t>d</w:t>
      </w:r>
      <w:r w:rsidR="00000000" w:rsidRPr="00B149C3">
        <w:rPr>
          <w:lang w:val="en-US"/>
        </w:rPr>
        <w:t xml:space="preserve"> for 3</w:t>
      </w:r>
      <w:r w:rsidR="00766752">
        <w:rPr>
          <w:lang w:val="en-US"/>
        </w:rPr>
        <w:t>6</w:t>
      </w:r>
      <w:r w:rsidR="00DB60AD">
        <w:rPr>
          <w:lang w:val="en-US"/>
        </w:rPr>
        <w:t>/</w:t>
      </w:r>
      <w:r w:rsidR="00766752">
        <w:rPr>
          <w:lang w:val="en-US"/>
        </w:rPr>
        <w:t>75</w:t>
      </w:r>
      <w:r w:rsidR="00000000" w:rsidRPr="00B149C3">
        <w:rPr>
          <w:lang w:val="en-US"/>
        </w:rPr>
        <w:t xml:space="preserve"> (</w:t>
      </w:r>
      <w:r w:rsidR="00766752">
        <w:rPr>
          <w:lang w:val="en-US"/>
        </w:rPr>
        <w:t>4</w:t>
      </w:r>
      <w:r w:rsidR="00000000" w:rsidRPr="00B149C3">
        <w:rPr>
          <w:lang w:val="en-US"/>
        </w:rPr>
        <w:t xml:space="preserve">8%) patients for whom the toxicologist recommended discharge. </w:t>
      </w:r>
      <w:r w:rsidR="00000000">
        <w:rPr>
          <w:b/>
          <w:i/>
          <w:color w:val="FF0000"/>
        </w:rPr>
        <w:t xml:space="preserve"> </w:t>
      </w:r>
      <w:r w:rsidR="00DB60AD">
        <w:rPr>
          <w:lang w:val="en-US"/>
        </w:rPr>
        <w:t>The inter-rater agreement between INTOXICATE’s predictions and the bedside toxicologists’ recommendations was not statistically significantly different than chance for either adolescents or adults (</w:t>
      </w:r>
      <w:r w:rsidR="00DB60AD" w:rsidRPr="00A7004B">
        <w:t xml:space="preserve">Table </w:t>
      </w:r>
      <w:r w:rsidR="00DB60AD" w:rsidRPr="00A7004B">
        <w:rPr>
          <w:noProof/>
        </w:rPr>
        <w:t>2</w:t>
      </w:r>
      <w:r w:rsidR="00DB60AD">
        <w:rPr>
          <w:lang w:val="en-US"/>
        </w:rPr>
        <w:t xml:space="preserve">). </w:t>
      </w:r>
      <w:r w:rsidR="00DB60AD" w:rsidRPr="00B149C3">
        <w:rPr>
          <w:lang w:val="en-US"/>
        </w:rPr>
        <w:lastRenderedPageBreak/>
        <w:t>No patients for whom toxicology recommended a floor admission were admitted to a floor and then transferred to the ICU. No patients who were discharged but for whom INTOXICATE recommended admission returned to any hospital in the metropolitan area in 48 hours</w:t>
      </w:r>
      <w:r w:rsidR="00C06EB8">
        <w:rPr>
          <w:lang w:val="en-US"/>
        </w:rPr>
        <w:t xml:space="preserve">. </w:t>
      </w:r>
    </w:p>
    <w:p w14:paraId="41D244D0" w14:textId="77777777" w:rsidR="00E905A3"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 xml:space="preserve">/79 (49%) of </w:t>
      </w:r>
      <w:r w:rsidR="00993836">
        <w:rPr>
          <w:lang w:val="en-US"/>
        </w:rPr>
        <w:t>adults</w:t>
      </w:r>
      <w:r w:rsidR="00DC5955">
        <w:rPr>
          <w:lang w:val="en-US"/>
        </w:rPr>
        <w:t xml:space="preserve"> whom the bedside toxicologist did not</w:t>
      </w:r>
      <w:r w:rsidR="00CA7668">
        <w:rPr>
          <w:lang w:val="en-US"/>
        </w:rPr>
        <w:t>. INTOXICATE considered them higher risk</w:t>
      </w:r>
      <w:r w:rsidR="00DC5955">
        <w:rPr>
          <w:lang w:val="en-US"/>
        </w:rPr>
        <w:t xml:space="preserve"> </w:t>
      </w:r>
      <w:r w:rsidR="00F93924">
        <w:rPr>
          <w:lang w:val="en-US"/>
        </w:rPr>
        <w:t xml:space="preserve">than the toxicologist did </w:t>
      </w:r>
      <w:r w:rsidR="00DC5955">
        <w:rPr>
          <w:lang w:val="en-US"/>
        </w:rPr>
        <w:t>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r w:rsidR="003B0E2D">
        <w:rPr>
          <w:lang w:val="en-US"/>
        </w:rPr>
        <w:t xml:space="preserve"> </w:t>
      </w:r>
    </w:p>
    <w:p w14:paraId="0B44F441" w14:textId="0F29BBE9"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6A795D">
        <w:rPr>
          <w:lang w:val="en-US"/>
        </w:rPr>
        <w:t>and</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712D6C52" w14:textId="02C0F8B3" w:rsidR="00BA001C" w:rsidRDefault="00BA001C" w:rsidP="00BA001C">
      <w:pPr>
        <w:spacing w:before="240" w:line="360" w:lineRule="auto"/>
        <w:rPr>
          <w:lang w:val="en-US"/>
        </w:rPr>
      </w:pPr>
      <w:r>
        <w:rPr>
          <w:b/>
          <w:bCs/>
          <w:lang w:val="en-US"/>
        </w:rPr>
        <w:t xml:space="preserve">Threshold Adjustment for ED Population. </w:t>
      </w:r>
      <w:r>
        <w:rPr>
          <w:lang w:val="en-US"/>
        </w:rPr>
        <w:t xml:space="preserve">The threshold in INTOXICATE </w:t>
      </w:r>
      <w:r w:rsidR="008375DA">
        <w:rPr>
          <w:lang w:val="en-US"/>
        </w:rPr>
        <w:t xml:space="preserve">accounts for how poisoned patients who are not critically ill may still have a concerning exposure and abnormal clinical findings. The numerical value of the threshold expresses the </w:t>
      </w:r>
      <w:r w:rsidR="008375DA">
        <w:rPr>
          <w:lang w:val="en-US"/>
        </w:rPr>
        <w:lastRenderedPageBreak/>
        <w:t>relative prevalence of these concerning clinical features in the critically poisoned patient and non-critically poisoned patient</w:t>
      </w:r>
      <w:r w:rsidR="00272F56">
        <w:rPr>
          <w:lang w:val="en-US"/>
        </w:rPr>
        <w:t xml:space="preserve">. This ratio may differ in the ED population than in one preselected for the ICU. </w:t>
      </w:r>
      <w:r>
        <w:rPr>
          <w:lang w:val="en-US"/>
        </w:rPr>
        <w:t xml:space="preserve">To determine the impact of adjusting INTOXICATE’s threshold, we performed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Pr>
          <w:color w:val="000000"/>
          <w:lang w:val="en-US"/>
        </w:rPr>
        <w:fldChar w:fldCharType="begin"/>
      </w:r>
      <w:r>
        <w:rPr>
          <w:color w:val="000000"/>
          <w:lang w:val="en-US"/>
        </w:rPr>
        <w:instrText xml:space="preserve"> REF _Ref191127785 </w:instrText>
      </w:r>
      <w:r>
        <w:rPr>
          <w:color w:val="000000"/>
          <w:lang w:val="en-US"/>
        </w:rPr>
        <w:fldChar w:fldCharType="separate"/>
      </w:r>
      <w:r>
        <w:t xml:space="preserve">Figure </w:t>
      </w:r>
      <w:r>
        <w:rPr>
          <w:noProof/>
        </w:rPr>
        <w:t>2</w:t>
      </w:r>
      <w:r>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increased from 0.04 [</w:t>
      </w:r>
      <w:r w:rsidRPr="00991744">
        <w:rPr>
          <w:color w:val="000000"/>
        </w:rPr>
        <w:t>-0.092 to 0.173</w:t>
      </w:r>
      <w:r>
        <w:rPr>
          <w:color w:val="000000"/>
          <w:lang w:val="en-US"/>
        </w:rPr>
        <w:t>] (no agreement) to 0.49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w:t>
      </w:r>
      <w:r w:rsidR="00802BE6">
        <w:rPr>
          <w:color w:val="000000"/>
          <w:lang w:val="en-US"/>
        </w:rPr>
        <w:t xml:space="preserve">the overall ICU admission rate </w:t>
      </w:r>
      <w:r w:rsidR="00802BE6">
        <w:rPr>
          <w:color w:val="000000"/>
          <w:lang w:val="en-US"/>
        </w:rPr>
        <w:t xml:space="preserve">fell </w:t>
      </w:r>
      <w:r w:rsidR="00802BE6">
        <w:rPr>
          <w:color w:val="000000"/>
          <w:lang w:val="en-US"/>
        </w:rPr>
        <w:t>from 49% to 9%.</w:t>
      </w:r>
      <w:r w:rsidR="00802BE6">
        <w:rPr>
          <w:color w:val="000000"/>
          <w:lang w:val="en-US"/>
        </w:rPr>
        <w:t xml:space="preserve"> </w:t>
      </w:r>
      <w:commentRangeStart w:id="3"/>
      <w:r>
        <w:rPr>
          <w:color w:val="000000"/>
          <w:lang w:val="en-US"/>
        </w:rPr>
        <w:t>INTOXICATE recommended ICU admission in 8/79 (10%) of adults and 1/24 (4%) of adolescents</w:t>
      </w:r>
      <w:r w:rsidR="00802BE6">
        <w:rPr>
          <w:color w:val="000000"/>
          <w:lang w:val="en-US"/>
        </w:rPr>
        <w:t>.</w:t>
      </w:r>
      <w:commentRangeEnd w:id="3"/>
      <w:r w:rsidR="008D2833">
        <w:rPr>
          <w:rStyle w:val="CommentReference"/>
        </w:rPr>
        <w:commentReference w:id="3"/>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68B53CA8" w:rsidR="008D2833"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consistent with the</w:t>
      </w:r>
      <w:r w:rsidR="006E7BDE">
        <w:rPr>
          <w:lang w:val="en-US"/>
        </w:rPr>
        <w:t xml:space="preserve"> effect size in </w:t>
      </w:r>
      <w:sdt>
        <w:sdtPr>
          <w:rPr>
            <w:color w:val="000000"/>
            <w:vertAlign w:val="superscript"/>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1E072F" w:rsidRPr="001E072F">
            <w:rPr>
              <w:color w:val="000000"/>
              <w:vertAlign w:val="superscript"/>
              <w:lang w:val="en-US"/>
            </w:rPr>
            <w:t>14</w:t>
          </w:r>
        </w:sdtContent>
      </w:sdt>
      <w:r w:rsidR="004605B2">
        <w:rPr>
          <w:lang w:val="en-US"/>
        </w:rPr>
        <w:t>.</w:t>
      </w:r>
      <w:r w:rsidR="003F3BA6">
        <w:rPr>
          <w:lang w:val="en-US"/>
        </w:rPr>
        <w:t xml:space="preserve"> </w:t>
      </w:r>
      <w:commentRangeStart w:id="4"/>
      <w:r w:rsidR="006E7BDE">
        <w:rPr>
          <w:lang w:val="en-US"/>
        </w:rPr>
        <w:t xml:space="preserve">Including adolescents, the reduction becomes 35% (7/20). </w:t>
      </w:r>
      <w:commentRangeEnd w:id="4"/>
      <w:r w:rsidR="006E7BDE">
        <w:rPr>
          <w:rStyle w:val="CommentReference"/>
        </w:rPr>
        <w:commentReference w:id="4"/>
      </w:r>
      <w:r w:rsidR="006E7BDE">
        <w:rPr>
          <w:lang w:val="en-US"/>
        </w:rPr>
        <w:t xml:space="preserve">There were too few adolescents to estimate the effect size in this subgroup. </w:t>
      </w:r>
    </w:p>
    <w:p w14:paraId="7828CC0C" w14:textId="380B3CC2" w:rsidR="008D2833" w:rsidRDefault="006E7BDE">
      <w:pPr>
        <w:spacing w:before="240" w:line="360" w:lineRule="auto"/>
        <w:rPr>
          <w:lang w:val="en-US"/>
        </w:rPr>
      </w:pPr>
      <w:r>
        <w:rPr>
          <w:lang w:val="en-US"/>
        </w:rPr>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the recommendations of bedside toxicologists. </w:t>
      </w:r>
      <w:r w:rsidR="005F0D70">
        <w:rPr>
          <w:lang w:val="en-US"/>
        </w:rPr>
        <w:t xml:space="preserve"> </w:t>
      </w:r>
      <w:r w:rsidR="008D2833">
        <w:rPr>
          <w:lang w:val="en-US"/>
        </w:rPr>
        <w:t>If the threshold for admission is increased to 17, INTOXICATE would have reduced ICU admissions by 40% (8/20</w:t>
      </w:r>
      <w:r w:rsidR="006B337C">
        <w:rPr>
          <w:lang w:val="en-US"/>
        </w:rPr>
        <w:t>) with</w:t>
      </w:r>
      <w:r w:rsidR="008D2833">
        <w:rPr>
          <w:lang w:val="en-US"/>
        </w:rPr>
        <w:t xml:space="preserve"> a rationale that had fair agreement with the bedside toxicologist. </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w:t>
      </w:r>
      <w:r w:rsidR="00F14646">
        <w:rPr>
          <w:lang w:val="en-US"/>
        </w:rPr>
        <w:lastRenderedPageBreak/>
        <w:t xml:space="preserve">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3F98600A" w:rsidR="007C6408" w:rsidRDefault="00A2374F">
      <w:pPr>
        <w:spacing w:before="240" w:line="360" w:lineRule="auto"/>
        <w:rPr>
          <w:b/>
          <w:i/>
          <w:color w:val="FF0000"/>
        </w:rPr>
      </w:pPr>
      <w:r>
        <w:rPr>
          <w:lang w:val="en-US"/>
        </w:rPr>
        <w:t xml:space="preserve">The architecture of INTOXICATE may predispose it to disagree with toxicologists. </w:t>
      </w:r>
      <w:r w:rsidR="00000000" w:rsidRPr="00B149C3">
        <w:rPr>
          <w:lang w:val="en-US"/>
        </w:rPr>
        <w:t>INTOXICATE us</w:t>
      </w:r>
      <w:r w:rsidR="007C6408">
        <w:rPr>
          <w:lang w:val="en-US"/>
        </w:rPr>
        <w:t>es</w:t>
      </w:r>
      <w:r w:rsidR="00000000"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00000000" w:rsidRPr="00B149C3">
        <w:rPr>
          <w:i/>
          <w:lang w:val="en-US"/>
        </w:rPr>
        <w:t>Antidepressants</w:t>
      </w:r>
      <w:r w:rsidR="00F53E5A">
        <w:rPr>
          <w:lang w:val="en-US"/>
        </w:rPr>
        <w:t xml:space="preserve"> </w:t>
      </w:r>
      <w:r w:rsidR="00E87528">
        <w:rPr>
          <w:lang w:val="en-US"/>
        </w:rPr>
        <w:t>includes</w:t>
      </w:r>
      <w:r w:rsidR="00000000"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00000000"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w:t>
      </w:r>
      <w:r w:rsidR="00C4301E">
        <w:rPr>
          <w:lang w:val="en-US"/>
        </w:rPr>
        <w:t xml:space="preserve"> </w:t>
      </w:r>
      <w:r w:rsidR="00C4301E">
        <w:rPr>
          <w:i/>
          <w:iCs/>
          <w:lang w:val="en-US"/>
        </w:rPr>
        <w:t>Analgesic</w:t>
      </w:r>
      <w:r w:rsidR="00C4301E">
        <w:rPr>
          <w:lang w:val="en-US"/>
        </w:rPr>
        <w:t>. I</w:t>
      </w:r>
      <w:r w:rsidR="00E22DF5">
        <w:rPr>
          <w:lang w:val="en-US"/>
        </w:rPr>
        <w:t>t is not clear how to classify diverted opioids used to self-medicate for pain</w:t>
      </w:r>
      <w:r w:rsidR="00471A61">
        <w:rPr>
          <w:lang w:val="en-US"/>
        </w:rPr>
        <w:t>.</w:t>
      </w:r>
      <w:sdt>
        <w:sdtPr>
          <w:rPr>
            <w:color w:val="000000"/>
            <w:vertAlign w:val="superscript"/>
            <w:lang w:val="en-US"/>
          </w:rPr>
          <w:tag w:val="MENDELEY_CITATION_v3_eyJjaXRhdGlvbklEIjoiTUVOREVMRVlfQ0lUQVRJT05fMzJkM2JhMTYtZjRkZC00NmMxLTg2MzktYzA2NDI4ZDc5Mzg3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789008905"/>
          <w:placeholder>
            <w:docPart w:val="DefaultPlaceholder_-1854013440"/>
          </w:placeholder>
        </w:sdtPr>
        <w:sdtContent>
          <w:r w:rsidR="001E072F" w:rsidRPr="001E072F">
            <w:rPr>
              <w:color w:val="000000"/>
              <w:vertAlign w:val="superscript"/>
              <w:lang w:val="en-US"/>
            </w:rPr>
            <w:t>14</w:t>
          </w:r>
        </w:sdtContent>
      </w:sdt>
      <w:r w:rsidR="00000000" w:rsidRPr="00B149C3">
        <w:rPr>
          <w:lang w:val="en-US"/>
        </w:rPr>
        <w:t xml:space="preserve"> </w:t>
      </w:r>
      <w:r w:rsidR="00416538">
        <w:rPr>
          <w:lang w:val="en-US"/>
        </w:rPr>
        <w:t xml:space="preserve">INTOXICATE </w:t>
      </w:r>
      <w:r w:rsidR="00000000" w:rsidRPr="00B149C3">
        <w:rPr>
          <w:lang w:val="en-US"/>
        </w:rPr>
        <w:t>d</w:t>
      </w:r>
      <w:r w:rsidR="00416538">
        <w:rPr>
          <w:lang w:val="en-US"/>
        </w:rPr>
        <w:t>oes</w:t>
      </w:r>
      <w:r w:rsidR="00000000"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00000000" w:rsidRPr="00B149C3">
        <w:rPr>
          <w:lang w:val="en-US"/>
        </w:rPr>
        <w:t xml:space="preserve"> </w:t>
      </w:r>
      <w:r w:rsidR="00953D1D">
        <w:rPr>
          <w:lang w:val="en-US"/>
        </w:rPr>
        <w:t>are</w:t>
      </w:r>
      <w:r w:rsidR="00000000" w:rsidRPr="00B149C3">
        <w:rPr>
          <w:lang w:val="en-US"/>
        </w:rPr>
        <w:t xml:space="preserve"> implicated in 48-58% of </w:t>
      </w:r>
      <w:r w:rsidR="00953D1D">
        <w:rPr>
          <w:lang w:val="en-US"/>
        </w:rPr>
        <w:t xml:space="preserve">unintentional </w:t>
      </w:r>
      <w:r w:rsidR="00000000" w:rsidRPr="00B149C3">
        <w:rPr>
          <w:lang w:val="en-US"/>
        </w:rPr>
        <w:t>overdose deaths</w:t>
      </w:r>
      <w:sdt>
        <w:sdtPr>
          <w:rPr>
            <w:color w:val="000000"/>
            <w:vertAlign w:val="superscript"/>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PHN1cD4xNywxODwvc3VwPi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1E072F" w:rsidRPr="001E072F">
            <w:rPr>
              <w:color w:val="000000"/>
              <w:vertAlign w:val="superscript"/>
              <w:lang w:val="en-US"/>
            </w:rPr>
            <w:t>17,18</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sidR="00000000">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50C1EEFB"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w:t>
      </w:r>
      <w:r w:rsidR="001F22DA">
        <w:rPr>
          <w:bCs/>
          <w:lang w:val="en-US"/>
        </w:rPr>
        <w:lastRenderedPageBreak/>
        <w:t xml:space="preserve">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sdt>
      <w:sdtPr>
        <w:rPr>
          <w:bCs/>
          <w:color w:val="000000"/>
          <w:lang w:val="en-US"/>
        </w:rPr>
        <w:tag w:val="MENDELEY_BIBLIOGRAPHY"/>
        <w:id w:val="-1758668832"/>
        <w:placeholder>
          <w:docPart w:val="DefaultPlaceholder_-1854013440"/>
        </w:placeholder>
      </w:sdtPr>
      <w:sdtContent>
        <w:p w14:paraId="150ED768" w14:textId="77777777" w:rsidR="001E072F" w:rsidRDefault="001E072F">
          <w:pPr>
            <w:autoSpaceDE w:val="0"/>
            <w:autoSpaceDN w:val="0"/>
            <w:ind w:hanging="640"/>
            <w:divId w:val="1355305481"/>
          </w:pPr>
          <w:r>
            <w:t>[1]</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et al. 2022 Annual Report of the National Poison Data System® (NPDS) from America’s Poison </w:t>
          </w:r>
          <w:proofErr w:type="spellStart"/>
          <w:r>
            <w:t>Centers</w:t>
          </w:r>
          <w:proofErr w:type="spellEnd"/>
          <w:r>
            <w:t xml:space="preserve">®: 40th Annual Report. </w:t>
          </w:r>
          <w:r>
            <w:rPr>
              <w:i/>
              <w:iCs/>
            </w:rPr>
            <w:t xml:space="preserve">Clin </w:t>
          </w:r>
          <w:proofErr w:type="spellStart"/>
          <w:r>
            <w:rPr>
              <w:i/>
              <w:iCs/>
            </w:rPr>
            <w:t>Toxicol</w:t>
          </w:r>
          <w:proofErr w:type="spellEnd"/>
          <w:r>
            <w:t>. 2023;61(10):717-939. doi:10.1080/15563650.2023.2268981</w:t>
          </w:r>
        </w:p>
        <w:p w14:paraId="756A7C15" w14:textId="77777777" w:rsidR="001E072F" w:rsidRDefault="001E072F">
          <w:pPr>
            <w:autoSpaceDE w:val="0"/>
            <w:autoSpaceDN w:val="0"/>
            <w:ind w:hanging="640"/>
            <w:divId w:val="848981878"/>
          </w:pPr>
          <w:r>
            <w:t>[2]</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w:t>
          </w:r>
          <w:r>
            <w:rPr>
              <w:i/>
              <w:iCs/>
            </w:rPr>
            <w:t xml:space="preserve">Clin </w:t>
          </w:r>
          <w:proofErr w:type="spellStart"/>
          <w:r>
            <w:rPr>
              <w:i/>
              <w:iCs/>
            </w:rPr>
            <w:t>Toxicol</w:t>
          </w:r>
          <w:proofErr w:type="spellEnd"/>
          <w:r>
            <w:t>. 2012;50(4):254-257. doi:10.3109/15563650.2012.670245</w:t>
          </w:r>
        </w:p>
        <w:p w14:paraId="11272087" w14:textId="77777777" w:rsidR="001E072F" w:rsidRDefault="001E072F">
          <w:pPr>
            <w:autoSpaceDE w:val="0"/>
            <w:autoSpaceDN w:val="0"/>
            <w:ind w:hanging="640"/>
            <w:divId w:val="461389325"/>
          </w:pPr>
          <w:r>
            <w:t>[3]</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et al. A quarter of admitted poisoned patients have a mild poisoning and require no treatment: An observational study. </w:t>
          </w:r>
          <w:proofErr w:type="spellStart"/>
          <w:r>
            <w:rPr>
              <w:i/>
              <w:iCs/>
            </w:rPr>
            <w:t>Eur</w:t>
          </w:r>
          <w:proofErr w:type="spellEnd"/>
          <w:r>
            <w:rPr>
              <w:i/>
              <w:iCs/>
            </w:rPr>
            <w:t xml:space="preserve"> J Intern Med</w:t>
          </w:r>
          <w:r>
            <w:t xml:space="preserve">. </w:t>
          </w:r>
          <w:proofErr w:type="gramStart"/>
          <w:r>
            <w:t>2019;66:41</w:t>
          </w:r>
          <w:proofErr w:type="gramEnd"/>
          <w:r>
            <w:t xml:space="preserve">-47. </w:t>
          </w:r>
          <w:proofErr w:type="gramStart"/>
          <w:r>
            <w:t>doi:10.1016/J.EJIM</w:t>
          </w:r>
          <w:proofErr w:type="gramEnd"/>
          <w:r>
            <w:t>.2019.05.012</w:t>
          </w:r>
        </w:p>
        <w:p w14:paraId="251787ED" w14:textId="77777777" w:rsidR="001E072F" w:rsidRDefault="001E072F">
          <w:pPr>
            <w:autoSpaceDE w:val="0"/>
            <w:autoSpaceDN w:val="0"/>
            <w:ind w:hanging="640"/>
            <w:divId w:val="65930154"/>
          </w:pPr>
          <w:r>
            <w:t>[4]</w:t>
          </w:r>
          <w:r>
            <w:tab/>
            <w:t xml:space="preserve">Brandenburg R, Brinkman S, … NDKC care, 2014 undefined. In-hospital mortality and long-term survival of patients with acute intoxication admitted to the ICU. </w:t>
          </w:r>
          <w:proofErr w:type="spellStart"/>
          <w:proofErr w:type="gramStart"/>
          <w:r>
            <w:rPr>
              <w:i/>
              <w:iCs/>
            </w:rPr>
            <w:t>journals.lww.comR</w:t>
          </w:r>
          <w:proofErr w:type="spellEnd"/>
          <w:proofErr w:type="gramEnd"/>
          <w:r>
            <w:rPr>
              <w:i/>
              <w:iCs/>
            </w:rPr>
            <w:t xml:space="preserve"> Brandenburg, S Brinkman, NF De Keizer, J </w:t>
          </w:r>
          <w:proofErr w:type="spellStart"/>
          <w:r>
            <w:rPr>
              <w:i/>
              <w:iCs/>
            </w:rPr>
            <w:t>Meulenbelt</w:t>
          </w:r>
          <w:proofErr w:type="spellEnd"/>
          <w:r>
            <w:rPr>
              <w:i/>
              <w:iCs/>
            </w:rPr>
            <w:t xml:space="preserve">, DW De </w:t>
          </w:r>
          <w:proofErr w:type="spellStart"/>
          <w:r>
            <w:rPr>
              <w:i/>
              <w:iCs/>
            </w:rPr>
            <w:t>LangeCritical</w:t>
          </w:r>
          <w:proofErr w:type="spellEnd"/>
          <w:r>
            <w:rPr>
              <w:i/>
              <w:iCs/>
            </w:rPr>
            <w:t xml:space="preserve"> care medicine, 2014•journals.lww.com</w:t>
          </w:r>
          <w:r>
            <w:t>. 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t>
          </w:r>
          <w:r>
            <w:lastRenderedPageBreak/>
            <w:t>Wf9tWDoukVXzhcadEoeGSv-vi3uQKjVrVNbSmXr9Q0W5b. Accessed February 14, 2025</w:t>
          </w:r>
        </w:p>
        <w:p w14:paraId="12C6615F" w14:textId="77777777" w:rsidR="001E072F" w:rsidRDefault="001E072F">
          <w:pPr>
            <w:autoSpaceDE w:val="0"/>
            <w:autoSpaceDN w:val="0"/>
            <w:ind w:hanging="640"/>
            <w:divId w:val="325255347"/>
          </w:pPr>
          <w:r>
            <w:t>[5]</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w:t>
          </w:r>
          <w:r>
            <w:rPr>
              <w:i/>
              <w:iCs/>
            </w:rPr>
            <w:t>Arch Intern Med</w:t>
          </w:r>
          <w:r>
            <w:t>. 1981;141(3):380-385. doi:10.1001/ARCHINTE.1981.00340030112020</w:t>
          </w:r>
        </w:p>
        <w:p w14:paraId="5F923DEB" w14:textId="77777777" w:rsidR="001E072F" w:rsidRDefault="001E072F">
          <w:pPr>
            <w:autoSpaceDE w:val="0"/>
            <w:autoSpaceDN w:val="0"/>
            <w:ind w:hanging="640"/>
            <w:divId w:val="1415741353"/>
          </w:pPr>
          <w:r>
            <w:t>[6]</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w:t>
          </w:r>
          <w:r>
            <w:rPr>
              <w:i/>
              <w:iCs/>
            </w:rPr>
            <w:t>New England Journal of Medicine</w:t>
          </w:r>
          <w:r>
            <w:t>. 1985;313(8):474-479.</w:t>
          </w:r>
        </w:p>
        <w:p w14:paraId="085E5A5C" w14:textId="77777777" w:rsidR="001E072F" w:rsidRDefault="001E072F">
          <w:pPr>
            <w:autoSpaceDE w:val="0"/>
            <w:autoSpaceDN w:val="0"/>
            <w:ind w:hanging="640"/>
            <w:divId w:val="537284070"/>
          </w:pPr>
          <w:r>
            <w:t>[7]</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w:t>
          </w:r>
          <w:r>
            <w:rPr>
              <w:i/>
              <w:iCs/>
            </w:rPr>
            <w:t xml:space="preserve">Hum Exp </w:t>
          </w:r>
          <w:proofErr w:type="spellStart"/>
          <w:r>
            <w:rPr>
              <w:i/>
              <w:iCs/>
            </w:rPr>
            <w:t>Toxicol</w:t>
          </w:r>
          <w:proofErr w:type="spellEnd"/>
          <w:r>
            <w:t>. 1987;6(1):91-93. doi:10.1177/096032718700600116</w:t>
          </w:r>
        </w:p>
        <w:p w14:paraId="26BD23CF" w14:textId="77777777" w:rsidR="001E072F" w:rsidRDefault="001E072F">
          <w:pPr>
            <w:autoSpaceDE w:val="0"/>
            <w:autoSpaceDN w:val="0"/>
            <w:ind w:hanging="640"/>
            <w:divId w:val="316307397"/>
          </w:pPr>
          <w:r>
            <w:t>[8]</w:t>
          </w:r>
          <w:r>
            <w:tab/>
            <w:t xml:space="preserve">Proudfoot AT, Stewart MS, Levitt T, </w:t>
          </w:r>
          <w:proofErr w:type="spellStart"/>
          <w:r>
            <w:t>Widdop</w:t>
          </w:r>
          <w:proofErr w:type="spellEnd"/>
          <w:r>
            <w:t xml:space="preserve"> B. PARAQUAT POISONING: SIGNIFICANCE OF PLASMA-PARAQUAT CONCENTRATIONS. </w:t>
          </w:r>
          <w:r>
            <w:rPr>
              <w:i/>
              <w:iCs/>
            </w:rPr>
            <w:t>The Lancet</w:t>
          </w:r>
          <w:r>
            <w:t>. 1979;314(8138):330-332. doi:10.1016/S0140-6736(79)90345-3</w:t>
          </w:r>
        </w:p>
        <w:p w14:paraId="4113925E" w14:textId="77777777" w:rsidR="001E072F" w:rsidRDefault="001E072F">
          <w:pPr>
            <w:autoSpaceDE w:val="0"/>
            <w:autoSpaceDN w:val="0"/>
            <w:ind w:hanging="640"/>
            <w:divId w:val="1690444135"/>
          </w:pPr>
          <w:r>
            <w:t>[9]</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w:t>
          </w:r>
          <w:r>
            <w:rPr>
              <w:i/>
              <w:iCs/>
            </w:rPr>
            <w:t xml:space="preserve">Clin </w:t>
          </w:r>
          <w:proofErr w:type="spellStart"/>
          <w:r>
            <w:rPr>
              <w:i/>
              <w:iCs/>
            </w:rPr>
            <w:t>Toxicol</w:t>
          </w:r>
          <w:proofErr w:type="spellEnd"/>
          <w:r>
            <w:t>. 2023;61(7):529-535. doi:10.1080/15563650.2023.2227997</w:t>
          </w:r>
        </w:p>
        <w:p w14:paraId="26E2F5A5" w14:textId="77777777" w:rsidR="001E072F" w:rsidRDefault="001E072F">
          <w:pPr>
            <w:autoSpaceDE w:val="0"/>
            <w:autoSpaceDN w:val="0"/>
            <w:ind w:hanging="640"/>
            <w:divId w:val="269902174"/>
          </w:pPr>
          <w:r>
            <w:t>[10]</w:t>
          </w:r>
          <w:r>
            <w:tab/>
            <w:t xml:space="preserve">Idowu D, </w:t>
          </w:r>
          <w:proofErr w:type="spellStart"/>
          <w:r>
            <w:t>Ezema</w:t>
          </w:r>
          <w:proofErr w:type="spellEnd"/>
          <w:r>
            <w:t xml:space="preserve"> K, Corcoran J, Farkas A. The predictive value of heart rate in determining clinical course after a bupropion overdose. </w:t>
          </w:r>
          <w:r>
            <w:rPr>
              <w:i/>
              <w:iCs/>
            </w:rPr>
            <w:t xml:space="preserve">Clin </w:t>
          </w:r>
          <w:proofErr w:type="spellStart"/>
          <w:r>
            <w:rPr>
              <w:i/>
              <w:iCs/>
            </w:rPr>
            <w:t>Toxicol</w:t>
          </w:r>
          <w:proofErr w:type="spellEnd"/>
          <w:r>
            <w:t>. 2024;62(5):296-302. doi:10.1080/15563650.2024.2347514</w:t>
          </w:r>
        </w:p>
        <w:p w14:paraId="6BF67815" w14:textId="77777777" w:rsidR="001E072F" w:rsidRDefault="001E072F">
          <w:pPr>
            <w:autoSpaceDE w:val="0"/>
            <w:autoSpaceDN w:val="0"/>
            <w:ind w:hanging="640"/>
            <w:divId w:val="1712343826"/>
          </w:pPr>
          <w:r>
            <w:t>[11]</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w:t>
          </w:r>
          <w:r>
            <w:rPr>
              <w:i/>
              <w:iCs/>
            </w:rPr>
            <w:t xml:space="preserve">J </w:t>
          </w:r>
          <w:proofErr w:type="spellStart"/>
          <w:r>
            <w:rPr>
              <w:i/>
              <w:iCs/>
            </w:rPr>
            <w:t>Toxicol</w:t>
          </w:r>
          <w:proofErr w:type="spellEnd"/>
          <w:r>
            <w:rPr>
              <w:i/>
              <w:iCs/>
            </w:rPr>
            <w:t xml:space="preserve"> Clin </w:t>
          </w:r>
          <w:proofErr w:type="spellStart"/>
          <w:r>
            <w:rPr>
              <w:i/>
              <w:iCs/>
            </w:rPr>
            <w:t>Toxicol</w:t>
          </w:r>
          <w:proofErr w:type="spellEnd"/>
          <w:r>
            <w:t>. 1998;36(3):205-213. doi:10.3109/15563659809028940</w:t>
          </w:r>
        </w:p>
        <w:p w14:paraId="69699FDC" w14:textId="77777777" w:rsidR="001E072F" w:rsidRDefault="001E072F">
          <w:pPr>
            <w:autoSpaceDE w:val="0"/>
            <w:autoSpaceDN w:val="0"/>
            <w:ind w:hanging="640"/>
            <w:divId w:val="550575550"/>
          </w:pPr>
          <w:r>
            <w:lastRenderedPageBreak/>
            <w:t>[12]</w:t>
          </w:r>
          <w:r>
            <w:tab/>
            <w:t xml:space="preserve">Han K, Kim S, Lee E, Shin J, Lee J, Care SLC, et al. Development and validation of new poisoning mortality score system for patients with acute poisoning at the emergency department. </w:t>
          </w:r>
          <w:proofErr w:type="spellStart"/>
          <w:r>
            <w:rPr>
              <w:i/>
              <w:iCs/>
            </w:rPr>
            <w:t>SpringerKS</w:t>
          </w:r>
          <w:proofErr w:type="spellEnd"/>
          <w:r>
            <w:rPr>
              <w:i/>
              <w:iCs/>
            </w:rPr>
            <w:t xml:space="preserve"> Han, SJ Kim, EJ Lee, JH Shin, JS Lee, SW </w:t>
          </w:r>
          <w:proofErr w:type="spellStart"/>
          <w:r>
            <w:rPr>
              <w:i/>
              <w:iCs/>
            </w:rPr>
            <w:t>LeeCritical</w:t>
          </w:r>
          <w:proofErr w:type="spellEnd"/>
          <w:r>
            <w:rPr>
              <w:i/>
              <w:iCs/>
            </w:rPr>
            <w:t xml:space="preserve"> Care, 2021•Springer</w:t>
          </w:r>
          <w:r>
            <w:t>. 2020;25(1). doi:10.1186/s13054-020-03408-1</w:t>
          </w:r>
        </w:p>
        <w:p w14:paraId="142699DC" w14:textId="77777777" w:rsidR="001E072F" w:rsidRDefault="001E072F">
          <w:pPr>
            <w:autoSpaceDE w:val="0"/>
            <w:autoSpaceDN w:val="0"/>
            <w:ind w:hanging="640"/>
            <w:divId w:val="346098159"/>
          </w:pPr>
          <w:r>
            <w:t>[13]</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w:t>
          </w:r>
          <w:r>
            <w:rPr>
              <w:i/>
              <w:iCs/>
            </w:rPr>
            <w:t xml:space="preserve">Clin </w:t>
          </w:r>
          <w:proofErr w:type="spellStart"/>
          <w:r>
            <w:rPr>
              <w:i/>
              <w:iCs/>
            </w:rPr>
            <w:t>Toxicol</w:t>
          </w:r>
          <w:proofErr w:type="spellEnd"/>
          <w:r>
            <w:t>. 2017;55(1):4-11. doi:10.1080/15563650.2016.1222616</w:t>
          </w:r>
        </w:p>
        <w:p w14:paraId="27E945B8" w14:textId="77777777" w:rsidR="001E072F" w:rsidRDefault="001E072F">
          <w:pPr>
            <w:autoSpaceDE w:val="0"/>
            <w:autoSpaceDN w:val="0"/>
            <w:ind w:hanging="640"/>
            <w:divId w:val="576785743"/>
          </w:pPr>
          <w:r>
            <w:t>[14]</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w:t>
          </w:r>
          <w:r>
            <w:rPr>
              <w:i/>
              <w:iCs/>
            </w:rPr>
            <w:t xml:space="preserve">Taylor &amp; </w:t>
          </w:r>
          <w:proofErr w:type="spellStart"/>
          <w:r>
            <w:rPr>
              <w:i/>
              <w:iCs/>
            </w:rPr>
            <w:t>FrancisR</w:t>
          </w:r>
          <w:proofErr w:type="spellEnd"/>
          <w:r>
            <w:rPr>
              <w:i/>
              <w:iCs/>
            </w:rPr>
            <w:t xml:space="preserve"> Brandenburg, S Brinkman, NF De Keizer, J </w:t>
          </w:r>
          <w:proofErr w:type="spellStart"/>
          <w:r>
            <w:rPr>
              <w:i/>
              <w:iCs/>
            </w:rPr>
            <w:t>Kesecioglu</w:t>
          </w:r>
          <w:proofErr w:type="spellEnd"/>
          <w:r>
            <w:rPr>
              <w:i/>
              <w:iCs/>
            </w:rPr>
            <w:t xml:space="preserve">, J </w:t>
          </w:r>
          <w:proofErr w:type="spellStart"/>
          <w:r>
            <w:rPr>
              <w:i/>
              <w:iCs/>
            </w:rPr>
            <w:t>Meulenbelt</w:t>
          </w:r>
          <w:proofErr w:type="spellEnd"/>
          <w:r>
            <w:rPr>
              <w:i/>
              <w:iCs/>
            </w:rPr>
            <w:t xml:space="preserve">, DW de </w:t>
          </w:r>
          <w:proofErr w:type="spellStart"/>
          <w:r>
            <w:rPr>
              <w:i/>
              <w:iCs/>
            </w:rPr>
            <w:t>LangeClinical</w:t>
          </w:r>
          <w:proofErr w:type="spellEnd"/>
          <w:r>
            <w:rPr>
              <w:i/>
              <w:iCs/>
            </w:rPr>
            <w:t xml:space="preserve"> toxicology, 2017•Taylor &amp; Francis</w:t>
          </w:r>
          <w:r>
            <w:t>. 2017;55(1):4-11. doi:10.1080/15563650.2016.1222616</w:t>
          </w:r>
        </w:p>
        <w:p w14:paraId="3B24718C" w14:textId="77777777" w:rsidR="001E072F" w:rsidRDefault="001E072F">
          <w:pPr>
            <w:autoSpaceDE w:val="0"/>
            <w:autoSpaceDN w:val="0"/>
            <w:ind w:hanging="640"/>
            <w:divId w:val="543979696"/>
          </w:pPr>
          <w:r>
            <w:t>[15]</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et al.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w:t>
          </w:r>
          <w:r>
            <w:rPr>
              <w:i/>
              <w:iCs/>
            </w:rPr>
            <w:t xml:space="preserve">Clin </w:t>
          </w:r>
          <w:proofErr w:type="spellStart"/>
          <w:r>
            <w:rPr>
              <w:i/>
              <w:iCs/>
            </w:rPr>
            <w:t>Toxicol</w:t>
          </w:r>
          <w:proofErr w:type="spellEnd"/>
          <w:r>
            <w:t>. 2023;61(10):717-939. doi:10.1080/15563650.2023.2268981</w:t>
          </w:r>
        </w:p>
        <w:p w14:paraId="0024C933" w14:textId="77777777" w:rsidR="001E072F" w:rsidRDefault="001E072F">
          <w:pPr>
            <w:autoSpaceDE w:val="0"/>
            <w:autoSpaceDN w:val="0"/>
            <w:ind w:hanging="640"/>
            <w:divId w:val="879362742"/>
          </w:pPr>
          <w:r>
            <w:t>[16]</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et al. 2020 annual report of the American association of poison control </w:t>
          </w:r>
          <w:proofErr w:type="spellStart"/>
          <w:r>
            <w:t>centers’</w:t>
          </w:r>
          <w:proofErr w:type="spellEnd"/>
          <w:r>
            <w:t xml:space="preserve"> national poison data system (NPDS): 38th annual report. </w:t>
          </w:r>
          <w:r>
            <w:rPr>
              <w:i/>
              <w:iCs/>
            </w:rPr>
            <w:t xml:space="preserve">Clin </w:t>
          </w:r>
          <w:proofErr w:type="spellStart"/>
          <w:r>
            <w:rPr>
              <w:i/>
              <w:iCs/>
            </w:rPr>
            <w:t>Toxicol</w:t>
          </w:r>
          <w:proofErr w:type="spellEnd"/>
          <w:r>
            <w:t>. 2021;59(12):1282-1501.</w:t>
          </w:r>
        </w:p>
        <w:p w14:paraId="1E476BFE" w14:textId="77777777" w:rsidR="001E072F" w:rsidRDefault="001E072F">
          <w:pPr>
            <w:autoSpaceDE w:val="0"/>
            <w:autoSpaceDN w:val="0"/>
            <w:ind w:hanging="640"/>
            <w:divId w:val="394278898"/>
          </w:pPr>
          <w:r>
            <w:t>[17]</w:t>
          </w:r>
          <w:r>
            <w:tab/>
            <w:t xml:space="preserve">Jones AA, Shearer RD, </w:t>
          </w:r>
          <w:proofErr w:type="spellStart"/>
          <w:r>
            <w:t>Segel</w:t>
          </w:r>
          <w:proofErr w:type="spellEnd"/>
          <w:r>
            <w:t xml:space="preserve"> JE, Santos-Lozada A, Strong-Jones S, Vest N, et al. Opioid and stimulant attributed treatment </w:t>
          </w:r>
          <w:proofErr w:type="gramStart"/>
          <w:r>
            <w:t>admissions</w:t>
          </w:r>
          <w:proofErr w:type="gramEnd"/>
          <w:r>
            <w:t xml:space="preserve"> and fatal overdoses: Using national surveillance data to examine the intersection of race, sex, and polysubstance use, 1992–2020. </w:t>
          </w:r>
          <w:r>
            <w:rPr>
              <w:i/>
              <w:iCs/>
            </w:rPr>
            <w:t>Drug Alcohol Depend</w:t>
          </w:r>
          <w:r>
            <w:t xml:space="preserve">. </w:t>
          </w:r>
          <w:proofErr w:type="gramStart"/>
          <w:r>
            <w:t>2023;249:109946</w:t>
          </w:r>
          <w:proofErr w:type="gramEnd"/>
          <w:r>
            <w:t xml:space="preserve">. </w:t>
          </w:r>
          <w:proofErr w:type="gramStart"/>
          <w:r>
            <w:t>doi:10.1016/j.drugalcdep</w:t>
          </w:r>
          <w:proofErr w:type="gramEnd"/>
          <w:r>
            <w:t>.2023.109946</w:t>
          </w:r>
        </w:p>
        <w:p w14:paraId="3506A72C" w14:textId="77777777" w:rsidR="001E072F" w:rsidRDefault="001E072F">
          <w:pPr>
            <w:autoSpaceDE w:val="0"/>
            <w:autoSpaceDN w:val="0"/>
            <w:ind w:hanging="640"/>
            <w:divId w:val="1718359224"/>
          </w:pPr>
          <w:r>
            <w:lastRenderedPageBreak/>
            <w:t>[18]</w:t>
          </w:r>
          <w:r>
            <w:tab/>
          </w:r>
          <w:proofErr w:type="spellStart"/>
          <w:r>
            <w:t>Peppin</w:t>
          </w:r>
          <w:proofErr w:type="spellEnd"/>
          <w:r>
            <w:t xml:space="preserve"> JF, Raffa RB, </w:t>
          </w:r>
          <w:proofErr w:type="spellStart"/>
          <w:r>
            <w:t>Schatman</w:t>
          </w:r>
          <w:proofErr w:type="spellEnd"/>
          <w:r>
            <w:t xml:space="preserve"> ME. The Polysubstance Overdose-Death Crisis. </w:t>
          </w:r>
          <w:r>
            <w:rPr>
              <w:i/>
              <w:iCs/>
            </w:rPr>
            <w:t>J Pain Res</w:t>
          </w:r>
          <w:r>
            <w:t xml:space="preserve">. </w:t>
          </w:r>
          <w:proofErr w:type="gramStart"/>
          <w:r>
            <w:t>2020;13:3405</w:t>
          </w:r>
          <w:proofErr w:type="gramEnd"/>
          <w:r>
            <w:t>. doi:10.2147/JPR.S295715</w:t>
          </w:r>
        </w:p>
        <w:p w14:paraId="10895DC3" w14:textId="5B48182D" w:rsidR="00364278" w:rsidRDefault="001E072F" w:rsidP="00F477CF">
          <w:pPr>
            <w:spacing w:before="240" w:line="360" w:lineRule="auto"/>
            <w:rPr>
              <w:bCs/>
              <w:lang w:val="en-US"/>
            </w:rPr>
          </w:pPr>
          <w:r>
            <w:t> </w:t>
          </w:r>
        </w:p>
      </w:sdtContent>
    </w:sdt>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5A6560AB" w:rsidR="00EC5524" w:rsidRPr="00EC5524" w:rsidRDefault="00EC5524" w:rsidP="006C2EA3">
      <w:pPr>
        <w:pStyle w:val="Caption"/>
      </w:pPr>
      <w:r>
        <w:t xml:space="preserve">Figure </w:t>
      </w:r>
      <w:fldSimple w:instr=" SEQ Figure \* ARABIC ">
        <w:r>
          <w:rPr>
            <w:noProof/>
          </w:rPr>
          <w:t>1</w:t>
        </w:r>
      </w:fldSimple>
      <w:r>
        <w:t xml:space="preserve"> </w:t>
      </w:r>
      <w:r w:rsidR="006C2EA3">
        <w:rPr>
          <w:i w:val="0"/>
          <w:iCs w:val="0"/>
          <w:color w:val="000000" w:themeColor="text1"/>
        </w:rPr>
        <w:t xml:space="preserve">Screening and Inclusion of Patients. </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2EE1A670" w:rsidR="001C0570" w:rsidRDefault="00EC5524" w:rsidP="00EC5524">
      <w:pPr>
        <w:pStyle w:val="Caption"/>
        <w:rPr>
          <w:i w:val="0"/>
          <w:iCs w:val="0"/>
          <w:color w:val="000000" w:themeColor="text1"/>
        </w:rPr>
      </w:pPr>
      <w:bookmarkStart w:id="5" w:name="_Ref191127785"/>
      <w:r>
        <w:t xml:space="preserve">Figure </w:t>
      </w:r>
      <w:fldSimple w:instr=" SEQ Figure \* ARABIC ">
        <w:r>
          <w:rPr>
            <w:noProof/>
          </w:rPr>
          <w:t>2</w:t>
        </w:r>
      </w:fldSimple>
      <w:bookmarkEnd w:id="5"/>
      <w:r>
        <w:t xml:space="preserve"> ROC</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6"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6"/>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093559BC" w:rsidR="00EF703F" w:rsidRDefault="0071067C" w:rsidP="0071067C">
      <w:pPr>
        <w:pStyle w:val="Caption"/>
        <w:rPr>
          <w:i w:val="0"/>
          <w:iCs w:val="0"/>
        </w:rPr>
      </w:pPr>
      <w:bookmarkStart w:id="7" w:name="_Ref170123244"/>
      <w:r w:rsidRPr="00B149C3">
        <w:rPr>
          <w:i w:val="0"/>
          <w:iCs w:val="0"/>
        </w:rPr>
        <w:t xml:space="preserve">Table </w:t>
      </w:r>
      <w:r w:rsidRPr="00B149C3">
        <w:rPr>
          <w:i w:val="0"/>
          <w:iCs w:val="0"/>
          <w:noProof/>
        </w:rPr>
        <w:t>2</w:t>
      </w:r>
      <w:bookmarkEnd w:id="7"/>
      <w:r>
        <w:rPr>
          <w:i w:val="0"/>
          <w:iCs w:val="0"/>
        </w:rPr>
        <w:t>. Cohen’s</w:t>
      </w:r>
    </w:p>
    <w:p w14:paraId="5EC03E10" w14:textId="77777777" w:rsidR="00EF703F" w:rsidRDefault="00EF703F">
      <w:pPr>
        <w:rPr>
          <w:color w:val="1F497D" w:themeColor="text2"/>
          <w:sz w:val="18"/>
          <w:szCs w:val="18"/>
        </w:rPr>
      </w:pPr>
      <w:r>
        <w:rPr>
          <w:i/>
          <w:iCs/>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580"/>
        <w:gridCol w:w="725"/>
        <w:gridCol w:w="670"/>
        <w:gridCol w:w="980"/>
        <w:gridCol w:w="670"/>
        <w:gridCol w:w="692"/>
        <w:gridCol w:w="720"/>
        <w:gridCol w:w="670"/>
        <w:gridCol w:w="980"/>
        <w:gridCol w:w="1007"/>
      </w:tblGrid>
      <w:tr w:rsidR="00EF703F" w:rsidRPr="00A1242D"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B149C3" w:rsidRDefault="00EF703F" w:rsidP="00C318A2">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Adult</w:t>
            </w:r>
          </w:p>
        </w:tc>
      </w:tr>
      <w:tr w:rsidR="008C6A81" w:rsidRPr="00A1242D"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A1242D" w:rsidRDefault="00EF703F" w:rsidP="00C318A2">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A1242D" w:rsidRDefault="00EF703F" w:rsidP="00C318A2">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A1242D" w:rsidRDefault="00EF703F" w:rsidP="00C318A2">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A1242D" w:rsidRDefault="00EF703F" w:rsidP="00C318A2">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A1242D" w:rsidRDefault="00EF703F" w:rsidP="00C318A2">
            <w:pPr>
              <w:spacing w:line="240" w:lineRule="auto"/>
              <w:jc w:val="center"/>
              <w:rPr>
                <w:b/>
                <w:bCs/>
                <w:color w:val="333333"/>
                <w:sz w:val="22"/>
                <w:szCs w:val="22"/>
                <w:lang w:val="en-US"/>
              </w:rPr>
            </w:pPr>
          </w:p>
        </w:tc>
      </w:tr>
      <w:tr w:rsidR="008C6A81" w:rsidRPr="00A7004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B149C3" w:rsidRDefault="00EF703F" w:rsidP="00C318A2">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B149C3" w:rsidRDefault="008C6A81" w:rsidP="00C318A2">
            <w:pPr>
              <w:spacing w:line="240" w:lineRule="auto"/>
              <w:jc w:val="center"/>
              <w:rPr>
                <w:color w:val="333333"/>
                <w:sz w:val="22"/>
                <w:szCs w:val="22"/>
                <w:lang w:val="en-US"/>
              </w:rPr>
            </w:pPr>
            <w:r>
              <w:rPr>
                <w:color w:val="333333"/>
                <w:sz w:val="22"/>
                <w:szCs w:val="22"/>
                <w:lang w:val="en-US"/>
              </w:rPr>
              <w:t>CI</w:t>
            </w:r>
          </w:p>
        </w:tc>
      </w:tr>
      <w:tr w:rsidR="008C6A81" w:rsidRPr="00A7004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B149C3" w:rsidRDefault="00EF703F" w:rsidP="00C318A2">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47E7553B"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7AB36C46" w:rsidR="00EF703F" w:rsidRPr="00B149C3" w:rsidRDefault="00EF703F" w:rsidP="008C6A81">
            <w:pPr>
              <w:spacing w:line="240" w:lineRule="auto"/>
              <w:ind w:left="150" w:right="150"/>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43164D73" w:rsidR="00EF703F" w:rsidRPr="00B149C3" w:rsidRDefault="00EF703F" w:rsidP="00C318A2">
            <w:pPr>
              <w:spacing w:line="240" w:lineRule="auto"/>
              <w:ind w:left="150" w:right="150"/>
              <w:jc w:val="center"/>
              <w:rPr>
                <w:color w:val="333333"/>
                <w:sz w:val="22"/>
                <w:szCs w:val="22"/>
                <w:lang w:val="en-US"/>
              </w:rPr>
            </w:pPr>
            <w:r w:rsidRPr="00B149C3">
              <w:rPr>
                <w:color w:val="333333"/>
                <w:sz w:val="22"/>
                <w:szCs w:val="22"/>
                <w:lang w:val="en-US"/>
              </w:rPr>
              <w:t>0.</w:t>
            </w:r>
            <w:r w:rsidR="008C6A81">
              <w:rPr>
                <w:color w:val="333333"/>
                <w:sz w:val="22"/>
                <w:szCs w:val="22"/>
                <w:lang w:val="en-US"/>
              </w:rPr>
              <w:t>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4CFCA9D5" w:rsidR="00EF703F" w:rsidRPr="00B149C3" w:rsidRDefault="008C6A81" w:rsidP="00C318A2">
            <w:pPr>
              <w:spacing w:line="240" w:lineRule="auto"/>
              <w:ind w:left="150" w:right="150"/>
              <w:jc w:val="center"/>
              <w:rPr>
                <w:color w:val="333333"/>
                <w:sz w:val="22"/>
                <w:szCs w:val="22"/>
                <w:lang w:val="en-US"/>
              </w:rPr>
            </w:pPr>
            <w:r>
              <w:rPr>
                <w:color w:val="333333"/>
                <w:sz w:val="22"/>
                <w:szCs w:val="22"/>
                <w:lang w:val="en-US"/>
              </w:rPr>
              <w:t>0</w:t>
            </w:r>
            <w:r w:rsidRPr="008C6A81">
              <w:rPr>
                <w:color w:val="333333"/>
                <w:sz w:val="22"/>
                <w:szCs w:val="22"/>
                <w:lang w:val="en-US"/>
              </w:rPr>
              <w:t xml:space="preserve">.263 </w:t>
            </w:r>
            <w:r>
              <w:rPr>
                <w:color w:val="333333"/>
                <w:sz w:val="22"/>
                <w:szCs w:val="22"/>
                <w:lang w:val="en-US"/>
              </w:rPr>
              <w:t>-</w:t>
            </w:r>
            <w:r w:rsidRPr="008C6A81">
              <w:rPr>
                <w:color w:val="333333"/>
                <w:sz w:val="22"/>
                <w:szCs w:val="22"/>
                <w:lang w:val="en-US"/>
              </w:rPr>
              <w:t xml:space="preserve"> 0.718</w:t>
            </w:r>
          </w:p>
        </w:tc>
      </w:tr>
      <w:tr w:rsidR="00991744" w:rsidRPr="00A7004B" w14:paraId="6D67995D" w14:textId="77777777" w:rsidTr="0035764A">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B149C3" w:rsidRDefault="00991744" w:rsidP="00991744">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7B7BC3AD" w14:textId="1F45A800"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560EAB19" w14:textId="287C35A7"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B149C3" w:rsidRDefault="00991744" w:rsidP="00991744">
            <w:pPr>
              <w:spacing w:line="240" w:lineRule="auto"/>
              <w:ind w:left="150" w:right="150"/>
              <w:jc w:val="center"/>
              <w:rPr>
                <w:color w:val="333333"/>
                <w:sz w:val="22"/>
                <w:szCs w:val="22"/>
                <w:lang w:val="en-US"/>
              </w:rPr>
            </w:pPr>
          </w:p>
        </w:tc>
      </w:tr>
      <w:tr w:rsidR="00991744" w:rsidRPr="00A7004B" w14:paraId="7F6971B9" w14:textId="77777777" w:rsidTr="0035764A">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B149C3" w:rsidRDefault="00991744" w:rsidP="00991744">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B149C3" w:rsidRDefault="00991744" w:rsidP="00991744">
            <w:pPr>
              <w:spacing w:line="240" w:lineRule="auto"/>
              <w:ind w:left="150" w:right="150"/>
              <w:jc w:val="center"/>
              <w:rPr>
                <w:color w:val="333333"/>
                <w:sz w:val="22"/>
                <w:szCs w:val="22"/>
                <w:lang w:val="en-US"/>
              </w:rPr>
            </w:pPr>
            <w:r w:rsidRPr="00B149C3">
              <w:rPr>
                <w:color w:val="333333"/>
                <w:sz w:val="22"/>
                <w:szCs w:val="22"/>
                <w:lang w:val="en-US"/>
              </w:rPr>
              <w:t>2</w:t>
            </w:r>
            <w:r>
              <w:rPr>
                <w:color w:val="333333"/>
                <w:sz w:val="22"/>
                <w:szCs w:val="22"/>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7DA64DBD" w14:textId="1B00957C"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70013442" w14:textId="67BADECE"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B149C3" w:rsidRDefault="00991744" w:rsidP="00991744">
            <w:pPr>
              <w:spacing w:line="240" w:lineRule="auto"/>
              <w:ind w:left="150" w:right="150"/>
              <w:jc w:val="center"/>
              <w:rPr>
                <w:color w:val="333333"/>
                <w:sz w:val="22"/>
                <w:szCs w:val="22"/>
                <w:lang w:val="en-US"/>
              </w:rPr>
            </w:pPr>
          </w:p>
        </w:tc>
      </w:tr>
      <w:tr w:rsidR="008C6A81" w:rsidRPr="00A7004B" w14:paraId="160C7329" w14:textId="77777777" w:rsidTr="00C318A2">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B149C3" w:rsidRDefault="00EF703F" w:rsidP="00C318A2">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B149C3" w:rsidRDefault="00EF703F" w:rsidP="00C318A2">
            <w:pPr>
              <w:spacing w:line="240" w:lineRule="auto"/>
              <w:ind w:left="150" w:right="150"/>
              <w:jc w:val="center"/>
              <w:rPr>
                <w:color w:val="333333"/>
                <w:sz w:val="22"/>
                <w:szCs w:val="22"/>
                <w:lang w:val="en-US"/>
              </w:rPr>
            </w:pPr>
            <w:r>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B149C3" w:rsidRDefault="00EF703F" w:rsidP="00C318A2">
            <w:pPr>
              <w:spacing w:line="240" w:lineRule="auto"/>
              <w:ind w:left="150" w:right="150"/>
              <w:jc w:val="center"/>
              <w:rPr>
                <w:color w:val="333333"/>
                <w:sz w:val="22"/>
                <w:szCs w:val="22"/>
                <w:lang w:val="en-US"/>
              </w:rPr>
            </w:pPr>
            <w:r>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B149C3" w:rsidRDefault="00EF703F" w:rsidP="00C318A2">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B149C3" w:rsidRDefault="00991744" w:rsidP="00C318A2">
            <w:pPr>
              <w:spacing w:line="240" w:lineRule="auto"/>
              <w:ind w:left="150" w:right="150"/>
              <w:jc w:val="center"/>
              <w:rPr>
                <w:color w:val="333333"/>
                <w:sz w:val="22"/>
                <w:szCs w:val="22"/>
                <w:lang w:val="en-US"/>
              </w:rPr>
            </w:pPr>
            <w:r>
              <w:rPr>
                <w:color w:val="333333"/>
                <w:sz w:val="22"/>
                <w:szCs w:val="22"/>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B149C3" w:rsidRDefault="00991744" w:rsidP="00C318A2">
            <w:pPr>
              <w:spacing w:line="240" w:lineRule="auto"/>
              <w:ind w:left="150" w:right="150"/>
              <w:jc w:val="center"/>
              <w:rPr>
                <w:color w:val="333333"/>
                <w:sz w:val="22"/>
                <w:szCs w:val="22"/>
                <w:lang w:val="en-US"/>
              </w:rPr>
            </w:pPr>
            <w:r>
              <w:rPr>
                <w:color w:val="333333"/>
                <w:sz w:val="22"/>
                <w:szCs w:val="22"/>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B149C3" w:rsidRDefault="00EF703F" w:rsidP="00C318A2">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B149C3" w:rsidRDefault="00EF703F" w:rsidP="00C318A2">
            <w:pPr>
              <w:keepNext/>
              <w:spacing w:line="240" w:lineRule="auto"/>
              <w:ind w:left="150" w:right="150"/>
              <w:jc w:val="center"/>
              <w:rPr>
                <w:color w:val="333333"/>
                <w:sz w:val="22"/>
                <w:szCs w:val="22"/>
                <w:lang w:val="en-US"/>
              </w:rPr>
            </w:pPr>
          </w:p>
        </w:tc>
      </w:tr>
    </w:tbl>
    <w:p w14:paraId="37BA82B6" w14:textId="77777777" w:rsidR="00D33985" w:rsidRDefault="00D33985" w:rsidP="0071067C">
      <w:pPr>
        <w:pStyle w:val="Caption"/>
        <w:rPr>
          <w:i w:val="0"/>
          <w:iCs w:val="0"/>
        </w:rPr>
      </w:pP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5-02-20T09:17:00Z" w:initials="MC">
    <w:p w14:paraId="28266E01" w14:textId="77777777" w:rsidR="00970E9C" w:rsidRDefault="00970E9C" w:rsidP="00970E9C">
      <w:r>
        <w:rPr>
          <w:rStyle w:val="CommentReference"/>
        </w:rPr>
        <w:annotationRef/>
      </w:r>
      <w:r>
        <w:rPr>
          <w:color w:val="000000"/>
          <w:sz w:val="20"/>
          <w:szCs w:val="20"/>
        </w:rPr>
        <w:t xml:space="preserve">Bring out comparing performance is not enough, need to further look at MDM. </w:t>
      </w:r>
    </w:p>
  </w:comment>
  <w:comment w:id="1" w:author="Michael Chary" w:date="2025-02-21T17:50:00Z" w:initials="MC">
    <w:p w14:paraId="471FA302" w14:textId="77777777" w:rsidR="00182C8F" w:rsidRDefault="00182C8F" w:rsidP="00182C8F">
      <w:r>
        <w:rPr>
          <w:rStyle w:val="CommentReference"/>
        </w:rPr>
        <w:annotationRef/>
      </w:r>
      <w:r>
        <w:rPr>
          <w:color w:val="000000"/>
          <w:sz w:val="20"/>
          <w:szCs w:val="20"/>
        </w:rPr>
        <w:t>Update exclusions</w:t>
      </w:r>
    </w:p>
  </w:comment>
  <w:comment w:id="2" w:author="Michael Chary" w:date="2025-02-20T08:56:00Z" w:initials="MC">
    <w:p w14:paraId="0DCD0CFE" w14:textId="77777777" w:rsidR="00C06EB8" w:rsidRDefault="00C06EB8" w:rsidP="00C06EB8">
      <w:r>
        <w:rPr>
          <w:rStyle w:val="CommentReference"/>
        </w:rPr>
        <w:annotationRef/>
      </w:r>
      <w:r>
        <w:rPr>
          <w:color w:val="000000"/>
          <w:sz w:val="20"/>
          <w:szCs w:val="20"/>
        </w:rPr>
        <w:t>What were the ingestants?</w:t>
      </w:r>
    </w:p>
  </w:comment>
  <w:comment w:id="3" w:author="Michael Chary" w:date="2025-02-22T15:12:00Z" w:initials="MC">
    <w:p w14:paraId="5A8C61F6" w14:textId="77777777" w:rsidR="008D2833" w:rsidRDefault="008D2833" w:rsidP="008D2833">
      <w:r>
        <w:rPr>
          <w:rStyle w:val="CommentReference"/>
        </w:rPr>
        <w:annotationRef/>
      </w:r>
      <w:r>
        <w:rPr>
          <w:color w:val="000000"/>
          <w:sz w:val="20"/>
          <w:szCs w:val="20"/>
        </w:rPr>
        <w:t>Analyze these cases.</w:t>
      </w:r>
    </w:p>
  </w:comment>
  <w:comment w:id="4" w:author="Michael Chary" w:date="2025-02-22T14:21:00Z" w:initials="MC">
    <w:p w14:paraId="7301C0B4" w14:textId="499D78C6" w:rsidR="006E7BDE" w:rsidRDefault="006E7BDE" w:rsidP="006E7BDE">
      <w:r>
        <w:rPr>
          <w:rStyle w:val="CommentReference"/>
        </w:rPr>
        <w:annotationRef/>
      </w:r>
      <w:r>
        <w:rPr>
          <w:color w:val="000000"/>
          <w:sz w:val="20"/>
          <w:szCs w:val="20"/>
        </w:rPr>
        <w:t>Were these safe downgrades?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66E01" w15:done="0"/>
  <w15:commentEx w15:paraId="471FA302" w15:done="0"/>
  <w15:commentEx w15:paraId="0DCD0CFE" w15:done="0"/>
  <w15:commentEx w15:paraId="5A8C61F6" w15:done="0"/>
  <w15:commentEx w15:paraId="7301C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0D87C3" w16cex:dateUtc="2025-02-20T14:17:00Z"/>
  <w16cex:commentExtensible w16cex:durableId="0D80066E" w16cex:dateUtc="2025-02-21T22:50:00Z"/>
  <w16cex:commentExtensible w16cex:durableId="03C61829" w16cex:dateUtc="2025-02-20T13:56:00Z"/>
  <w16cex:commentExtensible w16cex:durableId="0FCBEB9D" w16cex:dateUtc="2025-02-22T20:12:00Z"/>
  <w16cex:commentExtensible w16cex:durableId="47CCDDE0" w16cex:dateUtc="2025-02-22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66E01" w16cid:durableId="170D87C3"/>
  <w16cid:commentId w16cid:paraId="471FA302" w16cid:durableId="0D80066E"/>
  <w16cid:commentId w16cid:paraId="0DCD0CFE" w16cid:durableId="03C61829"/>
  <w16cid:commentId w16cid:paraId="5A8C61F6" w16cid:durableId="0FCBEB9D"/>
  <w16cid:commentId w16cid:paraId="7301C0B4" w16cid:durableId="47CCDD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A46"/>
    <w:rsid w:val="00010012"/>
    <w:rsid w:val="00012A62"/>
    <w:rsid w:val="00014E56"/>
    <w:rsid w:val="000155D3"/>
    <w:rsid w:val="00017A01"/>
    <w:rsid w:val="00020F41"/>
    <w:rsid w:val="00033001"/>
    <w:rsid w:val="00035DC7"/>
    <w:rsid w:val="00040CAE"/>
    <w:rsid w:val="00050D48"/>
    <w:rsid w:val="00064EA5"/>
    <w:rsid w:val="0007336A"/>
    <w:rsid w:val="00084F80"/>
    <w:rsid w:val="000850A5"/>
    <w:rsid w:val="00090339"/>
    <w:rsid w:val="000976B6"/>
    <w:rsid w:val="00097872"/>
    <w:rsid w:val="000A5139"/>
    <w:rsid w:val="000D2DA7"/>
    <w:rsid w:val="000D45CC"/>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81869"/>
    <w:rsid w:val="00182C8F"/>
    <w:rsid w:val="001953AF"/>
    <w:rsid w:val="001A190F"/>
    <w:rsid w:val="001C0570"/>
    <w:rsid w:val="001C1218"/>
    <w:rsid w:val="001D01BB"/>
    <w:rsid w:val="001D190B"/>
    <w:rsid w:val="001D5602"/>
    <w:rsid w:val="001E072F"/>
    <w:rsid w:val="001E36F9"/>
    <w:rsid w:val="001E5763"/>
    <w:rsid w:val="001F22DA"/>
    <w:rsid w:val="001F2A7F"/>
    <w:rsid w:val="001F3297"/>
    <w:rsid w:val="001F4979"/>
    <w:rsid w:val="001F73F8"/>
    <w:rsid w:val="002157E1"/>
    <w:rsid w:val="0023650E"/>
    <w:rsid w:val="002374AA"/>
    <w:rsid w:val="002439CC"/>
    <w:rsid w:val="00244ADE"/>
    <w:rsid w:val="002455E2"/>
    <w:rsid w:val="00250A5B"/>
    <w:rsid w:val="00251335"/>
    <w:rsid w:val="00252EA9"/>
    <w:rsid w:val="00272F56"/>
    <w:rsid w:val="002734B5"/>
    <w:rsid w:val="0028017F"/>
    <w:rsid w:val="002825C8"/>
    <w:rsid w:val="002830F6"/>
    <w:rsid w:val="00297977"/>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64278"/>
    <w:rsid w:val="003679C3"/>
    <w:rsid w:val="00381F94"/>
    <w:rsid w:val="003869B9"/>
    <w:rsid w:val="003902BE"/>
    <w:rsid w:val="003907F3"/>
    <w:rsid w:val="003A21C5"/>
    <w:rsid w:val="003B0E2D"/>
    <w:rsid w:val="003B4D1D"/>
    <w:rsid w:val="003B5E3B"/>
    <w:rsid w:val="003C56C3"/>
    <w:rsid w:val="003C6FD2"/>
    <w:rsid w:val="003E4490"/>
    <w:rsid w:val="003F3BA6"/>
    <w:rsid w:val="003F40B2"/>
    <w:rsid w:val="003F4A69"/>
    <w:rsid w:val="003F5E63"/>
    <w:rsid w:val="00401520"/>
    <w:rsid w:val="00404347"/>
    <w:rsid w:val="004078AF"/>
    <w:rsid w:val="00416538"/>
    <w:rsid w:val="00421ECA"/>
    <w:rsid w:val="00424DE6"/>
    <w:rsid w:val="004329AB"/>
    <w:rsid w:val="00433C44"/>
    <w:rsid w:val="004405AA"/>
    <w:rsid w:val="00451779"/>
    <w:rsid w:val="00453736"/>
    <w:rsid w:val="004540AA"/>
    <w:rsid w:val="004605B2"/>
    <w:rsid w:val="00471A61"/>
    <w:rsid w:val="004821E6"/>
    <w:rsid w:val="004A1318"/>
    <w:rsid w:val="004A2D30"/>
    <w:rsid w:val="004B7C8C"/>
    <w:rsid w:val="004C58F6"/>
    <w:rsid w:val="004D153A"/>
    <w:rsid w:val="004F0C5C"/>
    <w:rsid w:val="004F40E0"/>
    <w:rsid w:val="004F4254"/>
    <w:rsid w:val="004F60D9"/>
    <w:rsid w:val="00500D87"/>
    <w:rsid w:val="00507B42"/>
    <w:rsid w:val="005166AB"/>
    <w:rsid w:val="00521FA8"/>
    <w:rsid w:val="00522A6A"/>
    <w:rsid w:val="00527F5E"/>
    <w:rsid w:val="00535718"/>
    <w:rsid w:val="005408B1"/>
    <w:rsid w:val="00541179"/>
    <w:rsid w:val="005435FD"/>
    <w:rsid w:val="0055165C"/>
    <w:rsid w:val="005517D4"/>
    <w:rsid w:val="00553585"/>
    <w:rsid w:val="00555206"/>
    <w:rsid w:val="00565EDD"/>
    <w:rsid w:val="00570AC5"/>
    <w:rsid w:val="00574FE8"/>
    <w:rsid w:val="0058189D"/>
    <w:rsid w:val="005977F9"/>
    <w:rsid w:val="00597A8B"/>
    <w:rsid w:val="005A1CA6"/>
    <w:rsid w:val="005A6771"/>
    <w:rsid w:val="005A7D5D"/>
    <w:rsid w:val="005B2091"/>
    <w:rsid w:val="005C602F"/>
    <w:rsid w:val="005D0D4D"/>
    <w:rsid w:val="005D2FE0"/>
    <w:rsid w:val="005D37FD"/>
    <w:rsid w:val="005F0D70"/>
    <w:rsid w:val="006126AE"/>
    <w:rsid w:val="006137A9"/>
    <w:rsid w:val="00614AF2"/>
    <w:rsid w:val="006225C7"/>
    <w:rsid w:val="0063223C"/>
    <w:rsid w:val="00633201"/>
    <w:rsid w:val="0063602E"/>
    <w:rsid w:val="006407E3"/>
    <w:rsid w:val="006424E7"/>
    <w:rsid w:val="00647E8F"/>
    <w:rsid w:val="00647FF3"/>
    <w:rsid w:val="006650C9"/>
    <w:rsid w:val="00682D1E"/>
    <w:rsid w:val="0068713F"/>
    <w:rsid w:val="00694F95"/>
    <w:rsid w:val="00696BB0"/>
    <w:rsid w:val="006A45CB"/>
    <w:rsid w:val="006A5162"/>
    <w:rsid w:val="006A795D"/>
    <w:rsid w:val="006B337C"/>
    <w:rsid w:val="006B450E"/>
    <w:rsid w:val="006B714E"/>
    <w:rsid w:val="006C1F43"/>
    <w:rsid w:val="006C2EA3"/>
    <w:rsid w:val="006C5E6E"/>
    <w:rsid w:val="006C77B8"/>
    <w:rsid w:val="006E7BDE"/>
    <w:rsid w:val="00706B10"/>
    <w:rsid w:val="0071067C"/>
    <w:rsid w:val="00711FE1"/>
    <w:rsid w:val="00713FEA"/>
    <w:rsid w:val="00725422"/>
    <w:rsid w:val="0072552F"/>
    <w:rsid w:val="007256CB"/>
    <w:rsid w:val="007410F1"/>
    <w:rsid w:val="0074440C"/>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6014"/>
    <w:rsid w:val="007A73B2"/>
    <w:rsid w:val="007B1BD3"/>
    <w:rsid w:val="007B45BB"/>
    <w:rsid w:val="007C6408"/>
    <w:rsid w:val="007D6620"/>
    <w:rsid w:val="007E1ED5"/>
    <w:rsid w:val="007F6232"/>
    <w:rsid w:val="00800E75"/>
    <w:rsid w:val="00802BE6"/>
    <w:rsid w:val="00805F8D"/>
    <w:rsid w:val="00810A9E"/>
    <w:rsid w:val="0081354A"/>
    <w:rsid w:val="008138CF"/>
    <w:rsid w:val="008201B0"/>
    <w:rsid w:val="00821EDE"/>
    <w:rsid w:val="00826F00"/>
    <w:rsid w:val="008375DA"/>
    <w:rsid w:val="008467F1"/>
    <w:rsid w:val="00855A66"/>
    <w:rsid w:val="00857310"/>
    <w:rsid w:val="00865211"/>
    <w:rsid w:val="00877456"/>
    <w:rsid w:val="008829EF"/>
    <w:rsid w:val="00883400"/>
    <w:rsid w:val="00891FD8"/>
    <w:rsid w:val="0089758A"/>
    <w:rsid w:val="008A2956"/>
    <w:rsid w:val="008A714B"/>
    <w:rsid w:val="008B1629"/>
    <w:rsid w:val="008B1986"/>
    <w:rsid w:val="008C1DCF"/>
    <w:rsid w:val="008C2F43"/>
    <w:rsid w:val="008C3496"/>
    <w:rsid w:val="008C6A81"/>
    <w:rsid w:val="008C6EE3"/>
    <w:rsid w:val="008D0D2E"/>
    <w:rsid w:val="008D172A"/>
    <w:rsid w:val="008D2833"/>
    <w:rsid w:val="008D37CF"/>
    <w:rsid w:val="008D5B41"/>
    <w:rsid w:val="008D6EED"/>
    <w:rsid w:val="008E25D2"/>
    <w:rsid w:val="008F77DD"/>
    <w:rsid w:val="0090351E"/>
    <w:rsid w:val="009100AF"/>
    <w:rsid w:val="009130F2"/>
    <w:rsid w:val="00920503"/>
    <w:rsid w:val="00920577"/>
    <w:rsid w:val="009240C5"/>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D32C7"/>
    <w:rsid w:val="009F0C4A"/>
    <w:rsid w:val="00A1242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01C"/>
    <w:rsid w:val="00BA07B2"/>
    <w:rsid w:val="00BB6E3B"/>
    <w:rsid w:val="00BC1772"/>
    <w:rsid w:val="00BC31AA"/>
    <w:rsid w:val="00BD2625"/>
    <w:rsid w:val="00BD69E3"/>
    <w:rsid w:val="00BD7B98"/>
    <w:rsid w:val="00BE0422"/>
    <w:rsid w:val="00BF08A8"/>
    <w:rsid w:val="00BF24C3"/>
    <w:rsid w:val="00C03849"/>
    <w:rsid w:val="00C06EB8"/>
    <w:rsid w:val="00C133E8"/>
    <w:rsid w:val="00C301A4"/>
    <w:rsid w:val="00C34755"/>
    <w:rsid w:val="00C36F42"/>
    <w:rsid w:val="00C4301E"/>
    <w:rsid w:val="00C537FD"/>
    <w:rsid w:val="00C620EB"/>
    <w:rsid w:val="00C62544"/>
    <w:rsid w:val="00C674A1"/>
    <w:rsid w:val="00C70F1C"/>
    <w:rsid w:val="00C75503"/>
    <w:rsid w:val="00C87DDD"/>
    <w:rsid w:val="00C90A36"/>
    <w:rsid w:val="00CA51F0"/>
    <w:rsid w:val="00CA7668"/>
    <w:rsid w:val="00CB2AFE"/>
    <w:rsid w:val="00CC03A0"/>
    <w:rsid w:val="00CC3C99"/>
    <w:rsid w:val="00CC6499"/>
    <w:rsid w:val="00CC7C68"/>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6F64"/>
    <w:rsid w:val="00D45354"/>
    <w:rsid w:val="00D50386"/>
    <w:rsid w:val="00D73A60"/>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6B3E"/>
    <w:rsid w:val="00E72980"/>
    <w:rsid w:val="00E76BAA"/>
    <w:rsid w:val="00E83EAE"/>
    <w:rsid w:val="00E87528"/>
    <w:rsid w:val="00E905A3"/>
    <w:rsid w:val="00E90881"/>
    <w:rsid w:val="00E96C3E"/>
    <w:rsid w:val="00EA33EF"/>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703F"/>
    <w:rsid w:val="00EF7BB9"/>
    <w:rsid w:val="00F123FE"/>
    <w:rsid w:val="00F12574"/>
    <w:rsid w:val="00F14646"/>
    <w:rsid w:val="00F32A3A"/>
    <w:rsid w:val="00F34386"/>
    <w:rsid w:val="00F41810"/>
    <w:rsid w:val="00F42DBD"/>
    <w:rsid w:val="00F474E8"/>
    <w:rsid w:val="00F477CF"/>
    <w:rsid w:val="00F51600"/>
    <w:rsid w:val="00F52B5F"/>
    <w:rsid w:val="00F53E5A"/>
    <w:rsid w:val="00F54BA9"/>
    <w:rsid w:val="00F55CE4"/>
    <w:rsid w:val="00F613F1"/>
    <w:rsid w:val="00F701D7"/>
    <w:rsid w:val="00F7681F"/>
    <w:rsid w:val="00F84C19"/>
    <w:rsid w:val="00F8705F"/>
    <w:rsid w:val="00F93924"/>
    <w:rsid w:val="00F9593A"/>
    <w:rsid w:val="00FB64A8"/>
    <w:rsid w:val="00FC1467"/>
    <w:rsid w:val="00FC15AE"/>
    <w:rsid w:val="00FC38AC"/>
    <w:rsid w:val="00FD328C"/>
    <w:rsid w:val="00FD4C2E"/>
    <w:rsid w:val="00FD5C34"/>
    <w:rsid w:val="00FE0D8A"/>
    <w:rsid w:val="00FE1048"/>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68713F"/>
    <w:rsid w:val="00793C32"/>
    <w:rsid w:val="008651AE"/>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PHN1cD4xPC9zdXA+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container-title-short&quot;:&quot;Clin Toxicol&quot;},&quot;isTemporary&quot;:false}]},{&quot;citationID&quot;:&quot;MENDELEY_CITATION_472f9d3d-5a6b-44a5-a688-cf4806b75fc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PHN1cD4yPC9zdXA+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PHN1cD4zPC9zdXA+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citationID&quot;:&quot;MENDELEY_CITATION_4b512d4e-a2df-47e6-988c-57391c2554d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PHN1cD40PC9zdXA+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f0202d52-e98a-47cc-b8eb-c911f061a3cc&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PHN1cD41PC9zdXA+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PHN1cD42PC9zdXA+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PHN1cD43LDg8L3N1cD4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PHN1cD45LDEwPC9zdXA+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&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PHN1cD45PC9zdXA+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RE9JIjoiMTAuMTA4MC8xNTU2MzY1MC4yMDIzLjIyMjc5OTciLCJJU1NOIjoiMTU1Ni0zNjUwIiwiaXNzdWVkIjp7ImRhdGUtcGFydHMiOltbMjAyMyw3LDNdXX0sInBhZ2UiOiI1MjktNTM1IiwiaXNzdWUiOiI3Iiwidm9sdW1lIjoiNjE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PHN1cD4xMSwxMjwvc3VwPi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0a26a587-3b69-43dd-9661-0f2597324bb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PHN1cD4xMzwvc3VwPi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ea07245-9009-4600-b523-93254911cd62&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fcd5748-4c93-4adb-8b3e-0c21e9c9b912&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PHN1cD4xNSwxNjwvc3VwPi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32d3ba16-f4dd-46c1-8639-c06428d79387&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JkM2JhMTYtZjRkZC00NmMxLTg2MzktYzA2NDI4ZDc5Mzg3IiwicHJvcGVydGllcyI6eyJub3RlSW5kZXgiOjB9LCJpc0VkaXRlZCI6ZmFsc2UsIm1hbnVhbE92ZXJyaWRlIjp7ImlzTWFudWFsbHlPdmVycmlkZGVuIjpmYWxzZSwiY2l0ZXByb2NUZXh0IjoiPHN1cD4xNDwvc3VwPi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PHN1cD4xNywxODwvc3VwPi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ama&quot;,&quot;title&quot;:&quot;Taylor &amp; Francis - AM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20</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82</cp:revision>
  <cp:lastPrinted>2025-02-14T19:47:00Z</cp:lastPrinted>
  <dcterms:created xsi:type="dcterms:W3CDTF">2025-02-21T20:58:00Z</dcterms:created>
  <dcterms:modified xsi:type="dcterms:W3CDTF">2025-02-22T20:45:00Z</dcterms:modified>
</cp:coreProperties>
</file>