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696"/>
      </w:tblGrid>
      <w:tr>
        <w:tc>
          <w:tcPr>
            <w:tcW w:type="dxa" w:w="3384"/>
            <w:vAlign w:val="center"/>
            <w:tcMar>
              <w:top w:w="10" w:type="dxa"/>
              <w:start w:w="0" w:type="dxa"/>
              <w:bottom w:w="1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4519" cy="4955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95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6"/>
            <w:vAlign w:val="center"/>
            <w:tcMar>
              <w:top w:w="10" w:type="dxa"/>
              <w:start w:w="0" w:type="dxa"/>
              <w:bottom w:w="1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 w:val="0"/>
              <w:widowControl/>
              <w:spacing w:before="0" w:after="0" w:line="240" w:lineRule="auto"/>
              <w:jc w:val="right"/>
            </w:pPr>
            <w:r>
              <w:rPr>
                <w:rFonts w:ascii="Numans" w:hAnsi="Numans" w:eastAsia="Numans" w:cs="Numans"/>
                <w:b/>
                <w:i w:val="0"/>
                <w:color w:val="0C3FE8"/>
                <w:sz w:val="18"/>
              </w:rPr>
              <w:t>PLUSQUAM  /  STAGING</w:t>
            </w: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br/>
              <w:t>USER ACCEPTANCE TESTING</w:t>
            </w:r>
          </w:p>
        </w:tc>
      </w:tr>
    </w:tbl>
    <w:p>
      <w:pPr>
        <w:pStyle w:val="Title"/>
        <w:keepLines/>
        <w:widowControl/>
        <w:spacing w:before="480" w:after="280" w:line="240" w:lineRule="auto"/>
      </w:pPr>
      <w:r>
        <w:rPr>
          <w:rFonts w:ascii="Numans" w:hAnsi="Numans" w:eastAsia="Numans" w:cs="Numans"/>
          <w:b/>
          <w:i w:val="0"/>
          <w:color w:val="000000"/>
          <w:sz w:val="44"/>
        </w:rPr>
        <w:t>Plusquam Staging UAT Sign Off</w:t>
      </w:r>
    </w:p>
    <w:p>
      <w:pPr>
        <w:keepLines/>
        <w:widowControl/>
        <w:spacing w:before="0" w:after="280" w:line="240" w:lineRule="auto"/>
      </w:pPr>
      <w:r>
        <w:rPr>
          <w:rFonts w:ascii="Numans" w:hAnsi="Numans" w:eastAsia="Numans" w:cs="Numans"/>
          <w:b w:val="0"/>
          <w:i w:val="0"/>
          <w:color w:val="5E6B85"/>
          <w:sz w:val="21"/>
        </w:rPr>
        <w:t>Completed execution record and client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00" w:type="dxa"/>
              <w:start w:w="200" w:type="dxa"/>
              <w:bottom w:w="100" w:type="dxa"/>
              <w:end w:w="200" w:type="dxa"/>
            </w:tcMar>
            <w:shd w:fill="EDF2FF" w:val="clear"/>
            <w:tcBorders>
              <w:top w:val="single" w:sz="4" w:color="E0E7FA"/>
              <w:left w:val="single" w:sz="4" w:color="E0E7FA"/>
              <w:bottom w:val="single" w:sz="4" w:color="E0E7FA"/>
              <w:right w:val="single" w:sz="4" w:color="E0E7FA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071A52"/>
                <w:sz w:val="26"/>
              </w:rPr>
              <w:t>12 / 12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RECORDED OUTCOMES</w:t>
            </w:r>
          </w:p>
        </w:tc>
        <w:tc>
          <w:tcPr>
            <w:tcW w:type="dxa" w:w="2520"/>
            <w:vAlign w:val="center"/>
            <w:tcMar>
              <w:top w:w="100" w:type="dxa"/>
              <w:start w:w="200" w:type="dxa"/>
              <w:bottom w:w="100" w:type="dxa"/>
              <w:end w:w="200" w:type="dxa"/>
            </w:tcMar>
            <w:shd w:fill="EDF2FF" w:val="clear"/>
            <w:tcBorders>
              <w:top w:val="single" w:sz="4" w:color="E0E7FA"/>
              <w:left w:val="single" w:sz="4" w:color="E0E7FA"/>
              <w:bottom w:val="single" w:sz="4" w:color="E0E7FA"/>
              <w:right w:val="single" w:sz="4" w:color="E0E7FA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071A52"/>
                <w:sz w:val="26"/>
              </w:rPr>
              <w:t>12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PASS</w:t>
            </w:r>
          </w:p>
        </w:tc>
        <w:tc>
          <w:tcPr>
            <w:tcW w:type="dxa" w:w="2520"/>
            <w:vAlign w:val="center"/>
            <w:tcMar>
              <w:top w:w="100" w:type="dxa"/>
              <w:start w:w="200" w:type="dxa"/>
              <w:bottom w:w="100" w:type="dxa"/>
              <w:end w:w="200" w:type="dxa"/>
            </w:tcMar>
            <w:shd w:fill="EDF2FF" w:val="clear"/>
            <w:tcBorders>
              <w:top w:val="single" w:sz="4" w:color="E0E7FA"/>
              <w:left w:val="single" w:sz="4" w:color="E0E7FA"/>
              <w:bottom w:val="single" w:sz="4" w:color="E0E7FA"/>
              <w:right w:val="single" w:sz="4" w:color="E0E7FA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071A52"/>
                <w:sz w:val="26"/>
              </w:rPr>
              <w:t>STAGING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ENVIRONMENT</w:t>
            </w:r>
          </w:p>
        </w:tc>
        <w:tc>
          <w:tcPr>
            <w:tcW w:type="dxa" w:w="2520"/>
            <w:vAlign w:val="center"/>
            <w:tcMar>
              <w:top w:w="100" w:type="dxa"/>
              <w:start w:w="200" w:type="dxa"/>
              <w:bottom w:w="100" w:type="dxa"/>
              <w:end w:w="200" w:type="dxa"/>
            </w:tcMar>
            <w:shd w:fill="F2F5FC" w:val="clear"/>
            <w:tcBorders>
              <w:top w:val="single" w:sz="4" w:color="E0E7FA"/>
              <w:left w:val="single" w:sz="4" w:color="E0E7FA"/>
              <w:bottom w:val="single" w:sz="4" w:color="E0E7FA"/>
              <w:right w:val="single" w:sz="4" w:color="E0E7FA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071A52"/>
                <w:sz w:val="19"/>
              </w:rPr>
              <w:t>26th October 2026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SIGN OFF DATE</w:t>
            </w:r>
          </w:p>
        </w:tc>
      </w:tr>
    </w:tbl>
    <w:p>
      <w:pPr>
        <w:keepLines w:val="0"/>
        <w:widowControl/>
        <w:spacing w:before="240" w:after="140" w:line="240" w:lineRule="auto"/>
      </w:pPr>
      <w:r>
        <w:rPr>
          <w:rFonts w:ascii="Numans" w:hAnsi="Numans" w:eastAsia="Numans" w:cs="Numans"/>
          <w:b w:val="0"/>
          <w:i w:val="0"/>
          <w:color w:val="17233F"/>
          <w:sz w:val="18"/>
        </w:rPr>
        <w:t>KRKL completed the recorded scenarios in staging using synthetic test data.</w:t>
      </w:r>
    </w:p>
    <w:p>
      <w:pPr>
        <w:pStyle w:val="Heading2"/>
        <w:keepLines/>
        <w:widowControl/>
        <w:spacing w:before="120" w:after="120" w:line="240" w:lineRule="auto"/>
      </w:pPr>
      <w:r>
        <w:rPr>
          <w:rFonts w:ascii="Numans" w:hAnsi="Numans" w:eastAsia="Numans" w:cs="Numans"/>
          <w:b/>
          <w:i w:val="0"/>
          <w:color w:val="0C3FE8"/>
          <w:sz w:val="22"/>
        </w:rPr>
        <w:t>UAT execution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6984"/>
        <w:gridCol w:w="1915"/>
      </w:tblGrid>
      <w:tr>
        <w:trPr>
          <w:tblHeader w:val="true"/>
        </w:trPr>
        <w:tc>
          <w:tcPr>
            <w:tcW w:type="dxa" w:w="1181"/>
            <w:vAlign w:val="center"/>
            <w:tcMar>
              <w:top w:w="65" w:type="dxa"/>
              <w:start w:w="205" w:type="dxa"/>
              <w:bottom w:w="65" w:type="dxa"/>
              <w:end w:w="20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  <w:shd w:fill="071A52" w:val="clear"/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6984"/>
            <w:vAlign w:val="center"/>
            <w:tcMar>
              <w:top w:w="65" w:type="dxa"/>
              <w:start w:w="205" w:type="dxa"/>
              <w:bottom w:w="65" w:type="dxa"/>
              <w:end w:w="20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  <w:shd w:fill="071A52" w:val="clear"/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FFFFFF"/>
                <w:sz w:val="15"/>
              </w:rPr>
              <w:t>SCENARIO</w:t>
            </w:r>
          </w:p>
        </w:tc>
        <w:tc>
          <w:tcPr>
            <w:tcW w:type="dxa" w:w="1915"/>
            <w:vAlign w:val="center"/>
            <w:tcMar>
              <w:top w:w="65" w:type="dxa"/>
              <w:start w:w="205" w:type="dxa"/>
              <w:bottom w:w="65" w:type="dxa"/>
              <w:end w:w="20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  <w:shd w:fill="071A52" w:val="clear"/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UAT-01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Sign in and reach the expected workspace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UAT-02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Create a new project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UAT-03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Upload and read a valid document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UAT-04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Run assessment and follow progress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UAT-05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Confirm Qwen returns a usable assessment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UAT-06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Review the results page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UAT-07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Find and reopen a project in owner History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UAT-08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Download the report PDF as the project owner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UAT-09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Review admin records and test account password reset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UAT-10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Check required fields and invalid upload messages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UAT-11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Check duplicate-run protection after processing starts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81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6"/>
              </w:rPr>
              <w:t>UAT-13</w:t>
            </w:r>
          </w:p>
        </w:tc>
        <w:tc>
          <w:tcPr>
            <w:tcW w:type="dxa" w:w="6984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8"/>
              </w:rPr>
              <w:t>Verify Qwen staging integration</w:t>
            </w:r>
          </w:p>
        </w:tc>
        <w:tc>
          <w:tcPr>
            <w:tcW w:type="dxa" w:w="1915"/>
            <w:tcMar>
              <w:top w:w="42" w:type="dxa"/>
              <w:start w:w="205" w:type="dxa"/>
              <w:bottom w:w="42" w:type="dxa"/>
              <w:end w:w="205" w:type="dxa"/>
            </w:tcMar>
            <w:tcBorders>
              <w:left w:val="single" w:sz="4" w:color="D9E1F2"/>
              <w:bottom w:val="single" w:sz="4" w:color="D9E1F2"/>
              <w:right w:val="single" w:sz="4" w:color="D9E1F2"/>
            </w:tcBorders>
            <w:shd w:fill="EAF6EE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umans" w:hAnsi="Numans" w:eastAsia="Numans" w:cs="Numans"/>
                <w:b/>
                <w:i w:val="0"/>
                <w:color w:val="21643A"/>
                <w:sz w:val="16"/>
              </w:rPr>
              <w:t>PASS</w:t>
            </w:r>
          </w:p>
        </w:tc>
      </w:tr>
    </w:tbl>
    <w:p>
      <w:pPr>
        <w:keepLines w:val="0"/>
        <w:widowControl/>
        <w:spacing w:before="10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100" w:type="dxa"/>
              <w:start w:w="215" w:type="dxa"/>
              <w:bottom w:w="100" w:type="dxa"/>
              <w:end w:w="215" w:type="dxa"/>
            </w:tcMar>
            <w:tcBorders>
              <w:top w:val="single" w:sz="4" w:color="E1E7F3"/>
              <w:left w:val="single" w:sz="4" w:color="E1E7F3"/>
              <w:bottom w:val="single" w:sz="4" w:color="E1E7F3"/>
              <w:right w:val="single" w:sz="4" w:color="E1E7F3"/>
            </w:tcBorders>
            <w:shd w:fill="F2F5FC" w:val="clear"/>
          </w:tcPr>
          <w:p>
            <w:pPr>
              <w:keepLines w:val="0"/>
              <w:widowControl/>
              <w:spacing w:before="0" w:after="8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0C3FE8"/>
                <w:sz w:val="15"/>
              </w:rPr>
              <w:t>SCOPE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7"/>
              </w:rPr>
              <w:t>Staging only. Synthetic test data was used. Production behavior is outside this sign off.</w:t>
            </w:r>
          </w:p>
        </w:tc>
        <w:tc>
          <w:tcPr>
            <w:tcW w:type="dxa" w:w="5040"/>
            <w:vAlign w:val="center"/>
            <w:tcMar>
              <w:top w:w="100" w:type="dxa"/>
              <w:start w:w="215" w:type="dxa"/>
              <w:bottom w:w="100" w:type="dxa"/>
              <w:end w:w="215" w:type="dxa"/>
            </w:tcMar>
            <w:tcBorders>
              <w:top w:val="single" w:sz="4" w:color="E1E7F3"/>
              <w:left w:val="single" w:sz="4" w:color="E1E7F3"/>
              <w:bottom w:val="single" w:sz="4" w:color="E1E7F3"/>
              <w:right w:val="single" w:sz="4" w:color="E1E7F3"/>
            </w:tcBorders>
            <w:shd w:fill="EDF2FF" w:val="clear"/>
          </w:tcPr>
          <w:p>
            <w:pPr>
              <w:keepLines w:val="0"/>
              <w:widowControl/>
              <w:spacing w:before="0" w:after="8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0C3FE8"/>
                <w:sz w:val="15"/>
              </w:rPr>
              <w:t>QWEN BASELINE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17233F"/>
                <w:sz w:val="17"/>
              </w:rPr>
              <w:t>Qwen integration was verified in staging. A confirmed prior model baseline was not available, so no side by side comparison is included.</w:t>
            </w:r>
          </w:p>
        </w:tc>
      </w:tr>
    </w:tbl>
    <w:p>
      <w:pPr>
        <w:pStyle w:val="Heading2"/>
        <w:keepLines/>
        <w:widowControl/>
        <w:spacing w:before="140" w:after="100" w:line="240" w:lineRule="auto"/>
      </w:pPr>
      <w:r>
        <w:rPr>
          <w:rFonts w:ascii="Numans" w:hAnsi="Numans" w:eastAsia="Numans" w:cs="Numans"/>
          <w:b/>
          <w:i w:val="0"/>
          <w:color w:val="0C3FE8"/>
          <w:sz w:val="22"/>
        </w:rPr>
        <w:t>Client acceptance</w:t>
      </w:r>
    </w:p>
    <w:p>
      <w:pPr>
        <w:keepLines w:val="0"/>
        <w:widowControl/>
        <w:spacing w:before="0" w:after="80" w:line="240" w:lineRule="auto"/>
      </w:pPr>
      <w:r>
        <w:rPr>
          <w:rFonts w:ascii="Numans" w:hAnsi="Numans" w:eastAsia="Numans"/>
          <w:sz w:val="17"/>
        </w:rPr>
        <w:t>Select your decision below, then complete the acceptance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528"/>
        <w:gridCol w:w="3240"/>
      </w:tblGrid>
      <w:tr>
        <w:tc>
          <w:tcPr>
            <w:tcW w:type="dxa" w:w="3312"/>
            <w:vAlign w:val="center"/>
            <w:tcMar>
              <w:top w:w="70" w:type="dxa"/>
              <w:start w:w="155" w:type="dxa"/>
              <w:bottom w:w="70" w:type="dxa"/>
              <w:end w:w="15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071A52"/>
                <w:sz w:val="20"/>
              </w:rPr>
              <w:t>☐</w:t>
            </w:r>
            <w:r>
              <w:rPr>
                <w:rFonts w:ascii="Numans" w:hAnsi="Numans" w:eastAsia="Numans" w:cs="Numans"/>
                <w:b/>
                <w:i w:val="0"/>
                <w:color w:val="17233F"/>
                <w:sz w:val="16"/>
              </w:rPr>
              <w:t xml:space="preserve"> Accepted</w:t>
            </w:r>
          </w:p>
        </w:tc>
        <w:tc>
          <w:tcPr>
            <w:tcW w:type="dxa" w:w="3528"/>
            <w:vAlign w:val="center"/>
            <w:tcMar>
              <w:top w:w="70" w:type="dxa"/>
              <w:start w:w="155" w:type="dxa"/>
              <w:bottom w:w="70" w:type="dxa"/>
              <w:end w:w="15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071A52"/>
                <w:sz w:val="20"/>
              </w:rPr>
              <w:t>☐</w:t>
            </w:r>
            <w:r>
              <w:rPr>
                <w:rFonts w:ascii="Numans" w:hAnsi="Numans" w:eastAsia="Numans" w:cs="Numans"/>
                <w:b w:val="0"/>
                <w:i w:val="0"/>
                <w:color w:val="17233F"/>
                <w:sz w:val="16"/>
              </w:rPr>
              <w:t xml:space="preserve"> Accepted with conditions</w:t>
            </w:r>
          </w:p>
        </w:tc>
        <w:tc>
          <w:tcPr>
            <w:tcW w:type="dxa" w:w="3240"/>
            <w:vAlign w:val="center"/>
            <w:tcMar>
              <w:top w:w="70" w:type="dxa"/>
              <w:start w:w="155" w:type="dxa"/>
              <w:bottom w:w="70" w:type="dxa"/>
              <w:end w:w="15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071A52"/>
                <w:sz w:val="20"/>
              </w:rPr>
              <w:t>☐</w:t>
            </w:r>
            <w:r>
              <w:rPr>
                <w:rFonts w:ascii="Numans" w:hAnsi="Numans" w:eastAsia="Numans" w:cs="Numans"/>
                <w:b w:val="0"/>
                <w:i w:val="0"/>
                <w:color w:val="17233F"/>
                <w:sz w:val="16"/>
              </w:rPr>
              <w:t xml:space="preserve"> Not accepted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205" w:type="dxa"/>
              <w:bottom w:w="80" w:type="dxa"/>
              <w:end w:w="20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  <w:shd w:fill="FFFFFF" w:val="clear"/>
          </w:tcPr>
          <w:p>
            <w:pPr>
              <w:keepLines w:val="0"/>
              <w:widowControl/>
              <w:spacing w:before="0" w:after="8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FULL NAME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A8B1C4"/>
                <w:sz w:val="17"/>
              </w:rPr>
              <w:t>________________________________</w:t>
            </w:r>
          </w:p>
        </w:tc>
        <w:tc>
          <w:tcPr>
            <w:tcW w:type="dxa" w:w="5040"/>
            <w:vAlign w:val="center"/>
            <w:tcMar>
              <w:top w:w="80" w:type="dxa"/>
              <w:start w:w="205" w:type="dxa"/>
              <w:bottom w:w="80" w:type="dxa"/>
              <w:end w:w="20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  <w:shd w:fill="FFFFFF" w:val="clear"/>
          </w:tcPr>
          <w:p>
            <w:pPr>
              <w:keepLines w:val="0"/>
              <w:widowControl/>
              <w:spacing w:before="0" w:after="8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ROLE / TITLE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A8B1C4"/>
                <w:sz w:val="17"/>
              </w:rPr>
              <w:t>________________________________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205" w:type="dxa"/>
              <w:bottom w:w="80" w:type="dxa"/>
              <w:end w:w="20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  <w:shd w:fill="FFFFFF" w:val="clear"/>
          </w:tcPr>
          <w:p>
            <w:pPr>
              <w:keepLines w:val="0"/>
              <w:widowControl/>
              <w:spacing w:before="0" w:after="8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ORGANIZATION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A8B1C4"/>
                <w:sz w:val="17"/>
              </w:rPr>
              <w:t>________________________________</w:t>
            </w:r>
          </w:p>
        </w:tc>
        <w:tc>
          <w:tcPr>
            <w:tcW w:type="dxa" w:w="5040"/>
            <w:vAlign w:val="center"/>
            <w:tcMar>
              <w:top w:w="80" w:type="dxa"/>
              <w:start w:w="205" w:type="dxa"/>
              <w:bottom w:w="80" w:type="dxa"/>
              <w:end w:w="205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  <w:shd w:fill="FFFFFF" w:val="clear"/>
          </w:tcPr>
          <w:p>
            <w:pPr>
              <w:keepLines w:val="0"/>
              <w:widowControl/>
              <w:spacing w:before="0" w:after="80" w:line="240" w:lineRule="auto"/>
            </w:pPr>
            <w:r>
              <w:rPr>
                <w:rFonts w:ascii="Numans" w:hAnsi="Numans" w:eastAsia="Numans" w:cs="Numans"/>
                <w:b/>
                <w:i w:val="0"/>
                <w:color w:val="5E6B85"/>
                <w:sz w:val="14"/>
              </w:rPr>
              <w:t>DATE</w:t>
            </w:r>
          </w:p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Numans" w:hAnsi="Numans" w:eastAsia="Numans" w:cs="Numans"/>
                <w:b w:val="0"/>
                <w:i w:val="0"/>
                <w:color w:val="A8B1C4"/>
                <w:sz w:val="17"/>
              </w:rPr>
              <w:t>________________________________</w:t>
            </w:r>
          </w:p>
        </w:tc>
      </w:tr>
    </w:tbl>
    <w:p>
      <w:pPr>
        <w:keepLines w:val="0"/>
        <w:widowControl/>
        <w:spacing w:before="140" w:after="60" w:line="240" w:lineRule="auto"/>
      </w:pPr>
      <w:r>
        <w:rPr>
          <w:rFonts w:ascii="Numans" w:hAnsi="Numans" w:eastAsia="Numans" w:cs="Numans"/>
          <w:b/>
          <w:i w:val="0"/>
          <w:color w:val="5E6B85"/>
          <w:sz w:val="15"/>
        </w:rPr>
        <w:t>Conditions or comments (if applicable)</w:t>
      </w:r>
    </w:p>
    <w:p>
      <w:pPr>
        <w:keepLines w:val="0"/>
        <w:widowControl/>
        <w:spacing w:before="0" w:after="60" w:line="240" w:lineRule="auto"/>
      </w:pPr>
      <w:r>
        <w:rPr>
          <w:rFonts w:ascii="Numans" w:hAnsi="Numans" w:eastAsia="Numans" w:cs="Numans"/>
          <w:b w:val="0"/>
          <w:i w:val="0"/>
          <w:color w:val="A8B1C4"/>
          <w:sz w:val="16"/>
        </w:rPr>
        <w:t>________________________________________________________________________________</w:t>
      </w:r>
    </w:p>
    <w:p>
      <w:pPr>
        <w:keepLines w:val="0"/>
        <w:widowControl/>
        <w:spacing w:before="0" w:after="0" w:line="240" w:lineRule="auto"/>
      </w:pPr>
      <w:r>
        <w:rPr>
          <w:rFonts w:ascii="Numans" w:hAnsi="Numans" w:eastAsia="Numans" w:cs="Numans"/>
          <w:b/>
          <w:i w:val="0"/>
          <w:color w:val="5E6B85"/>
          <w:sz w:val="15"/>
        </w:rPr>
        <w:t xml:space="preserve">Signature or approval reference: </w:t>
      </w:r>
      <w:r>
        <w:rPr>
          <w:rFonts w:ascii="Numans" w:hAnsi="Numans" w:eastAsia="Numans" w:cs="Numans"/>
          <w:b w:val="0"/>
          <w:i w:val="0"/>
          <w:color w:val="A8B1C4"/>
          <w:sz w:val="16"/>
        </w:rPr>
        <w:t>______________________________________________</w:t>
      </w:r>
    </w:p>
    <w:p>
      <w:pPr>
        <w:keepLines w:val="0"/>
        <w:widowControl/>
        <w:spacing w:before="24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5040"/>
            <w:vAlign w:val="center"/>
            <w:tcMar>
              <w:top w:w="100" w:type="dxa"/>
              <w:start w:w="215" w:type="dxa"/>
              <w:bottom w:w="100" w:type="dxa"/>
              <w:end w:w="215" w:type="dxa"/>
            </w:tcMar>
            <w:shd w:fill="F2F5FC" w:val="clear"/>
            <w:tcBorders>
              <w:top w:val="single" w:sz="4" w:color="E1E7F3"/>
              <w:left w:val="single" w:sz="4" w:color="E1E7F3"/>
              <w:bottom w:val="single" w:sz="4" w:color="E1E7F3"/>
              <w:right w:val="single" w:sz="4" w:color="E1E7F3"/>
            </w:tcBorders>
          </w:tcPr>
          <w:p>
            <w:pPr>
              <w:spacing w:after="100" w:line="240" w:lineRule="auto"/>
            </w:pPr>
            <w:r>
              <w:rPr>
                <w:rFonts w:ascii="Numans" w:hAnsi="Numans" w:eastAsia="Numans" w:cs="Numans"/>
                <w:b/>
                <w:color w:val="0C3FE8"/>
                <w:sz w:val="15"/>
              </w:rPr>
              <w:t>UAT EXECUTION</w:t>
            </w:r>
          </w:p>
          <w:p>
            <w:pPr>
              <w:spacing w:before="20" w:after="0" w:line="240" w:lineRule="auto"/>
            </w:pPr>
            <w:r>
              <w:rPr>
                <w:rFonts w:ascii="Numans" w:hAnsi="Numans" w:eastAsia="Numans" w:cs="Numans"/>
                <w:color w:val="17233F"/>
                <w:sz w:val="17"/>
              </w:rPr>
              <w:t>Prepared by KRKL on 26th October 2026</w:t>
            </w:r>
          </w:p>
        </w:tc>
        <w:tc>
          <w:tcPr>
            <w:tcW w:type="dxa" w:w="5040"/>
            <w:vAlign w:val="center"/>
            <w:tcMar>
              <w:top w:w="100" w:type="dxa"/>
              <w:start w:w="215" w:type="dxa"/>
              <w:bottom w:w="100" w:type="dxa"/>
              <w:end w:w="215" w:type="dxa"/>
            </w:tcMar>
            <w:shd w:fill="F2F5FC" w:val="clear"/>
            <w:tcBorders>
              <w:top w:val="single" w:sz="4" w:color="E1E7F3"/>
              <w:left w:val="single" w:sz="4" w:color="E1E7F3"/>
              <w:bottom w:val="single" w:sz="4" w:color="E1E7F3"/>
              <w:right w:val="single" w:sz="4" w:color="E1E7F3"/>
            </w:tcBorders>
          </w:tcPr>
          <w:p>
            <w:pPr>
              <w:spacing w:after="100" w:line="240" w:lineRule="auto"/>
            </w:pPr>
            <w:r>
              <w:rPr>
                <w:rFonts w:ascii="Numans" w:hAnsi="Numans" w:eastAsia="Numans" w:cs="Numans"/>
                <w:b/>
                <w:color w:val="0C3FE8"/>
                <w:sz w:val="15"/>
              </w:rPr>
              <w:t>EVIDENCE</w:t>
            </w:r>
          </w:p>
          <w:p>
            <w:pPr>
              <w:spacing w:before="20" w:after="0" w:line="240" w:lineRule="auto"/>
            </w:pPr>
            <w:r>
              <w:rPr>
                <w:rFonts w:ascii="Numans" w:hAnsi="Numans" w:eastAsia="Numans" w:cs="Numans"/>
                <w:color w:val="17233F"/>
                <w:sz w:val="17"/>
              </w:rPr>
              <w:t>Plusquam Staging UAT Final Report, dated 25 October 2026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691" w:right="893" w:bottom="691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widowControl/>
      <w:spacing w:before="0" w:after="0" w:line="240" w:lineRule="auto"/>
      <w:jc w:val="right"/>
    </w:pPr>
    <w:r>
      <w:rPr>
        <w:rFonts w:ascii="Numans" w:hAnsi="Numans" w:eastAsia="Numans" w:cs="Numans"/>
        <w:b w:val="0"/>
        <w:i w:val="0"/>
        <w:color w:val="5E6B85"/>
        <w:sz w:val="15"/>
      </w:rPr>
      <w:t xml:space="preserve">Plusquam staging UAT   </w:t>
    </w:r>
    <w:r>
      <w:rPr>
        <w:rFonts w:ascii="Numans" w:hAnsi="Numans" w:eastAsia="Numans" w:cs="Numans"/>
        <w:b w:val="0"/>
        <w:i w:val="0"/>
        <w:color w:val="5E6B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umans" w:hAnsi="Numans" w:eastAsia="Numans" w:cs="Num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Numans" w:hAnsi="Numans" w:eastAsia="Numans" w:cs="Numans"/>
      <w:color w:val="17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Numans" w:hAnsi="Numans" w:eastAsia="Numans" w:cs="Numans"/>
      <w:b/>
      <w:bCs/>
      <w:color w:val="071A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Numans" w:hAnsi="Numans" w:eastAsia="Numans" w:cs="Numans"/>
      <w:b/>
      <w:bCs/>
      <w:color w:val="0C3FE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umans" w:hAnsi="Numans" w:eastAsia="Numans" w:cs="Num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umans" w:hAnsi="Numans" w:eastAsia="Numans" w:cs="Num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umans" w:hAnsi="Numans" w:eastAsia="Numans" w:cs="Num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umans" w:hAnsi="Numans" w:eastAsia="Numans" w:cs="Num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umans" w:hAnsi="Numans" w:eastAsia="Numans" w:cs="Num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umans" w:hAnsi="Numans" w:eastAsia="Numans" w:cs="Num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umans" w:hAnsi="Numans" w:eastAsia="Numans" w:cs="Num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umans" w:hAnsi="Numans" w:eastAsia="Numans" w:cs="Num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umans" w:hAnsi="Numans" w:eastAsia="Numans" w:cs="Num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umans" w:hAnsi="Numans" w:eastAsia="Numans" w:cs="Num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="Numans" w:hAnsi="Numans" w:eastAsia="Numans" w:cs="Num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umans" w:hAnsi="Numans" w:eastAsia="Numans" w:cs="Num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umans" w:hAnsi="Numans" w:eastAsia="Numans" w:cs="Num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umans" w:hAnsi="Numans" w:eastAsia="Numans" w:cs="Num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umans" w:hAnsi="Numans" w:eastAsia="Numans" w:cs="Num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umans" w:hAnsi="Numans" w:eastAsia="Numans" w:cs="Num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umans" w:hAnsi="Numans" w:eastAsia="Numans" w:cs="Num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umans" w:hAnsi="Numans" w:eastAsia="Numans" w:cs="Num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umans" w:hAnsi="Numans" w:eastAsia="Numans" w:cs="Num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umans" w:hAnsi="Numans" w:eastAsia="Numans" w:cs="Num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umans" w:hAnsi="Numans" w:eastAsia="Numans" w:cs="Num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umans" w:hAnsi="Numans" w:eastAsia="Numans" w:cs="Num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umans" w:hAnsi="Numans" w:eastAsia="Numans" w:cs="Numans"/>
        <w:b/>
        <w:bCs/>
      </w:rPr>
    </w:tblStylePr>
    <w:tblStylePr w:type="lastCol">
      <w:rPr>
        <w:rFonts w:ascii="Numans" w:hAnsi="Numans" w:eastAsia="Numans" w:cs="Num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umans" w:hAnsi="Numans" w:eastAsia="Numans" w:cs="Numans"/>
        <w:b/>
        <w:bCs/>
      </w:rPr>
    </w:tblStylePr>
    <w:tblStylePr w:type="lastCol">
      <w:rPr>
        <w:rFonts w:ascii="Numans" w:hAnsi="Numans" w:eastAsia="Numans" w:cs="Num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umans" w:hAnsi="Numans" w:eastAsia="Numans" w:cs="Numans"/>
        <w:b/>
        <w:bCs/>
      </w:rPr>
    </w:tblStylePr>
    <w:tblStylePr w:type="lastCol">
      <w:rPr>
        <w:rFonts w:ascii="Numans" w:hAnsi="Numans" w:eastAsia="Numans" w:cs="Num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umans" w:hAnsi="Numans" w:eastAsia="Numans" w:cs="Numans"/>
        <w:b/>
        <w:bCs/>
      </w:rPr>
    </w:tblStylePr>
    <w:tblStylePr w:type="lastCol">
      <w:rPr>
        <w:rFonts w:ascii="Numans" w:hAnsi="Numans" w:eastAsia="Numans" w:cs="Num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umans" w:hAnsi="Numans" w:eastAsia="Numans" w:cs="Numans"/>
        <w:b/>
        <w:bCs/>
      </w:rPr>
    </w:tblStylePr>
    <w:tblStylePr w:type="lastCol">
      <w:rPr>
        <w:rFonts w:ascii="Numans" w:hAnsi="Numans" w:eastAsia="Numans" w:cs="Num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umans" w:hAnsi="Numans" w:eastAsia="Numans" w:cs="Numans"/>
        <w:b/>
        <w:bCs/>
      </w:rPr>
    </w:tblStylePr>
    <w:tblStylePr w:type="lastCol">
      <w:rPr>
        <w:rFonts w:ascii="Numans" w:hAnsi="Numans" w:eastAsia="Numans" w:cs="Num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umans" w:hAnsi="Numans" w:eastAsia="Numans" w:cs="Num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umans" w:hAnsi="Numans" w:eastAsia="Numans" w:cs="Numans"/>
        <w:b/>
        <w:bCs/>
      </w:rPr>
    </w:tblStylePr>
    <w:tblStylePr w:type="lastCol">
      <w:rPr>
        <w:rFonts w:ascii="Numans" w:hAnsi="Numans" w:eastAsia="Numans" w:cs="Num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mans" w:hAnsi="Numans" w:eastAsia="Numans" w:cs="Num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mans" w:hAnsi="Numans" w:eastAsia="Numans" w:cs="Num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mans" w:hAnsi="Numans" w:eastAsia="Numans" w:cs="Num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mans" w:hAnsi="Numans" w:eastAsia="Numans" w:cs="Num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mans" w:hAnsi="Numans" w:eastAsia="Numans" w:cs="Num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mans" w:hAnsi="Numans" w:eastAsia="Numans" w:cs="Num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mans" w:hAnsi="Numans" w:eastAsia="Numans" w:cs="Num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umans" w:hAnsi="Numans" w:eastAsia="Numans" w:cs="Num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Plusquam Staging UAT Sign Off</dc:title>
  <dc:subject>Staging UAT execution record and client acceptance</dc:subject>
  <dc:creator>Mavixa</dc:creator>
  <cp:keywords>Plusquam, staging, UAT, acceptance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