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扣子websocketapi</w:t>
      </w:r>
    </w:p>
    <w:p>
      <w:pPr>
        <w:spacing w:before="120" w:after="120" w:line="288" w:lineRule="auto"/>
        <w:ind w:left="0"/>
        <w:jc w:val="left"/>
      </w:pPr>
      <w:r>
        <w:rPr>
          <w:rFonts w:eastAsia="等线" w:ascii="Arial" w:cs="Arial" w:hAnsi="Arial"/>
          <w:sz w:val="22"/>
        </w:rPr>
        <w:t xml:space="preserve">除了基于 WebRTC 的实时通信方案外，扣子智能语音还推出了 WebSocket OpenAPI 方案，用于实现用户与智能体之间的实时语音通话。该方案通过 WebSocket 协议提供高效、灵活的语音交互能力，适用于多种应用场景。 </w:t>
      </w:r>
    </w:p>
    <w:p>
      <w:pPr>
        <w:pStyle w:val="2"/>
        <w:spacing w:before="320" w:after="120" w:line="288" w:lineRule="auto"/>
        <w:ind w:left="0"/>
        <w:jc w:val="left"/>
        <w:outlineLvl w:val="1"/>
      </w:pPr>
      <w:bookmarkStart w:name="heading_0" w:id="0"/>
      <w:r>
        <w:rPr>
          <w:rFonts w:eastAsia="等线" w:ascii="Arial" w:cs="Arial" w:hAnsi="Arial"/>
          <w:b w:val="true"/>
          <w:sz w:val="32"/>
        </w:rPr>
        <w:t xml:space="preserve">注意事项 </w:t>
      </w:r>
      <w:bookmarkEnd w:id="0"/>
    </w:p>
    <w:p>
      <w:pPr>
        <w:spacing w:before="120" w:after="120" w:line="288" w:lineRule="auto"/>
        <w:ind w:left="0"/>
        <w:jc w:val="left"/>
      </w:pPr>
      <w:r>
        <w:rPr>
          <w:rFonts w:eastAsia="等线" w:ascii="Arial" w:cs="Arial" w:hAnsi="Arial"/>
          <w:sz w:val="22"/>
        </w:rPr>
        <w:t xml:space="preserve">WebSocket OpenAPI 支持的音频编码格式如下： </w:t>
      </w:r>
    </w:p>
    <w:p>
      <w:pPr>
        <w:numPr>
          <w:numId w:val="1"/>
        </w:numPr>
        <w:spacing w:before="120" w:after="120" w:line="288" w:lineRule="auto"/>
        <w:ind w:left="0"/>
        <w:jc w:val="left"/>
      </w:pPr>
      <w:r>
        <w:rPr>
          <w:rFonts w:eastAsia="等线" w:ascii="Arial" w:cs="Arial" w:hAnsi="Arial"/>
          <w:sz w:val="22"/>
        </w:rPr>
        <w:t xml:space="preserve">上行：输入音频支持 PCM、G711A、G711U，上传语音文件支持 WAV 或 OGG 格式，默认格式为 WAV。 </w:t>
      </w:r>
    </w:p>
    <w:p>
      <w:pPr>
        <w:numPr>
          <w:numId w:val="2"/>
        </w:numPr>
        <w:spacing w:before="120" w:after="120" w:line="288" w:lineRule="auto"/>
        <w:ind w:left="0"/>
        <w:jc w:val="left"/>
      </w:pPr>
      <w:r>
        <w:rPr>
          <w:rFonts w:eastAsia="等线" w:ascii="Arial" w:cs="Arial" w:hAnsi="Arial"/>
          <w:sz w:val="22"/>
        </w:rPr>
        <w:t xml:space="preserve">下行：输出音频支持 PCM 或 OPUS 格式，默认为采样率 24000 的 PCM 片段。 </w:t>
      </w:r>
    </w:p>
    <w:p>
      <w:pPr>
        <w:pStyle w:val="2"/>
        <w:spacing w:before="320" w:after="120" w:line="288" w:lineRule="auto"/>
        <w:ind w:left="0"/>
        <w:jc w:val="left"/>
        <w:outlineLvl w:val="1"/>
      </w:pPr>
      <w:bookmarkStart w:name="heading_1" w:id="1"/>
      <w:r>
        <w:rPr>
          <w:rFonts w:eastAsia="等线" w:ascii="Arial" w:cs="Arial" w:hAnsi="Arial"/>
          <w:b w:val="true"/>
          <w:sz w:val="32"/>
        </w:rPr>
        <w:t xml:space="preserve">准备工作 </w:t>
      </w:r>
      <w:bookmarkEnd w:id="1"/>
    </w:p>
    <w:p>
      <w:pPr>
        <w:spacing w:before="120" w:after="120" w:line="288" w:lineRule="auto"/>
        <w:ind w:left="0"/>
        <w:jc w:val="left"/>
      </w:pPr>
      <w:r>
        <w:rPr>
          <w:rFonts w:eastAsia="等线" w:ascii="Arial" w:cs="Arial" w:hAnsi="Arial"/>
          <w:sz w:val="22"/>
        </w:rPr>
        <w:t>在开始集成 WebSocket OpenAPI 之前，你需要先完成以下准备工作。</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05"/>
        <w:gridCol w:w="6675"/>
      </w:tblGrid>
      <w:tr>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操作</w:t>
            </w:r>
          </w:p>
        </w:tc>
        <w:tc>
          <w:tcPr>
            <w:tcW w:w="667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说明</w:t>
            </w:r>
          </w:p>
        </w:tc>
      </w:tr>
      <w:tr>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发布智能体 </w:t>
            </w:r>
          </w:p>
        </w:tc>
        <w:tc>
          <w:tcPr>
            <w:tcW w:w="6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已成功搭建并发布智能体为 API 服务。搭建步骤请参见</w:t>
            </w:r>
            <w:hyperlink r:id="rId5">
              <w:r>
                <w:rPr>
                  <w:rFonts w:eastAsia="等线" w:ascii="Arial" w:cs="Arial" w:hAnsi="Arial"/>
                  <w:color w:val="3370ff"/>
                  <w:sz w:val="22"/>
                </w:rPr>
                <w:t>搭建一个 AI 助手智能体</w:t>
              </w:r>
            </w:hyperlink>
            <w:r>
              <w:rPr>
                <w:rFonts w:eastAsia="等线" w:ascii="Arial" w:cs="Arial" w:hAnsi="Arial"/>
                <w:sz w:val="22"/>
              </w:rPr>
              <w:t>，发布步骤请参见</w:t>
            </w:r>
            <w:hyperlink r:id="rId6">
              <w:r>
                <w:rPr>
                  <w:rFonts w:eastAsia="等线" w:ascii="Arial" w:cs="Arial" w:hAnsi="Arial"/>
                  <w:color w:val="3370ff"/>
                  <w:sz w:val="22"/>
                </w:rPr>
                <w:t>发布智能体为 API 服务</w:t>
              </w:r>
            </w:hyperlink>
            <w:r>
              <w:rPr>
                <w:rFonts w:eastAsia="等线" w:ascii="Arial" w:cs="Arial" w:hAnsi="Arial"/>
                <w:sz w:val="22"/>
              </w:rPr>
              <w:t xml:space="preserve">。 </w:t>
            </w:r>
          </w:p>
        </w:tc>
      </w:tr>
      <w:tr>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获取访问密钥 </w:t>
            </w:r>
          </w:p>
        </w:tc>
        <w:tc>
          <w:tcPr>
            <w:tcW w:w="6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获取访问密钥，用于身份认证与鉴权。 </w:t>
            </w:r>
          </w:p>
          <w:p>
            <w:pPr>
              <w:numPr>
                <w:numId w:val="3"/>
              </w:numPr>
              <w:spacing w:before="120" w:after="120" w:line="288" w:lineRule="auto"/>
              <w:ind w:left="0"/>
              <w:jc w:val="left"/>
            </w:pPr>
            <w:r>
              <w:rPr>
                <w:rFonts w:eastAsia="等线" w:ascii="Arial" w:cs="Arial" w:hAnsi="Arial"/>
                <w:b w:val="true"/>
                <w:sz w:val="22"/>
              </w:rPr>
              <w:t>体验或调试场景</w:t>
            </w:r>
            <w:r>
              <w:rPr>
                <w:rFonts w:eastAsia="等线" w:ascii="Arial" w:cs="Arial" w:hAnsi="Arial"/>
                <w:sz w:val="22"/>
              </w:rPr>
              <w:t>：建议生成短期的个人访问令牌（PAT），以快速完成 Realtime SDK 的整体流程。个人访问令牌的获取方法请参见</w:t>
            </w:r>
            <w:hyperlink r:id="rId7">
              <w:r>
                <w:rPr>
                  <w:rFonts w:eastAsia="等线" w:ascii="Arial" w:cs="Arial" w:hAnsi="Arial"/>
                  <w:color w:val="3370ff"/>
                  <w:sz w:val="22"/>
                </w:rPr>
                <w:t>添加个人访问令牌</w:t>
              </w:r>
            </w:hyperlink>
            <w:r>
              <w:rPr>
                <w:rFonts w:eastAsia="等线" w:ascii="Arial" w:cs="Arial" w:hAnsi="Arial"/>
                <w:sz w:val="22"/>
              </w:rPr>
              <w:t xml:space="preserve">。 </w:t>
            </w:r>
          </w:p>
        </w:tc>
      </w:tr>
    </w:tbl>
    <w:p>
      <w:pPr>
        <w:pStyle w:val="2"/>
        <w:spacing w:before="320" w:after="120" w:line="288" w:lineRule="auto"/>
        <w:ind w:left="0"/>
        <w:jc w:val="left"/>
        <w:outlineLvl w:val="1"/>
      </w:pPr>
      <w:bookmarkStart w:name="heading_2" w:id="2"/>
      <w:r>
        <w:rPr>
          <w:rFonts w:eastAsia="等线" w:ascii="Arial" w:cs="Arial" w:hAnsi="Arial"/>
          <w:b w:val="true"/>
          <w:sz w:val="32"/>
        </w:rPr>
        <w:t xml:space="preserve">实现语音通话 </w:t>
      </w:r>
      <w:bookmarkEnd w:id="2"/>
    </w:p>
    <w:p>
      <w:pPr>
        <w:pStyle w:val="3"/>
        <w:spacing w:before="300" w:after="120" w:line="288" w:lineRule="auto"/>
        <w:ind w:left="0"/>
        <w:jc w:val="left"/>
        <w:outlineLvl w:val="2"/>
      </w:pPr>
      <w:bookmarkStart w:name="heading_3" w:id="3"/>
      <w:r>
        <w:rPr>
          <w:rFonts w:eastAsia="等线" w:ascii="Arial" w:cs="Arial" w:hAnsi="Arial"/>
          <w:b w:val="true"/>
          <w:sz w:val="30"/>
        </w:rPr>
        <w:t xml:space="preserve">步骤一 ：建立 WebSocket 连接 </w:t>
      </w:r>
      <w:bookmarkEnd w:id="3"/>
    </w:p>
    <w:p>
      <w:pPr>
        <w:spacing w:before="120" w:after="120" w:line="288" w:lineRule="auto"/>
        <w:ind w:left="0"/>
        <w:jc w:val="left"/>
      </w:pPr>
      <w:r>
        <w:rPr>
          <w:rFonts w:eastAsia="等线" w:ascii="Arial" w:cs="Arial" w:hAnsi="Arial"/>
          <w:sz w:val="22"/>
        </w:rPr>
        <w:t xml:space="preserve">发起 HTTP 请求时，在请求头（Header）中添加Authorization信息。Authorization的取值固定为Bearer </w:t>
      </w:r>
      <w:r>
        <w:rPr>
          <w:rFonts w:eastAsia="等线" w:ascii="Arial" w:cs="Arial" w:hAnsi="Arial"/>
          <w:i w:val="true"/>
          <w:sz w:val="22"/>
        </w:rPr>
        <w:t>$Access_Token</w:t>
      </w:r>
      <w:r>
        <w:rPr>
          <w:rFonts w:eastAsia="等线" w:ascii="Arial" w:cs="Arial" w:hAnsi="Arial"/>
          <w:sz w:val="22"/>
        </w:rPr>
        <w:t>，用于扣子 OpenAPI 鉴权的访问密钥。将您在准备工作中获取的访问密钥替换掉 $Access_Token 后再发起请求。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05"/>
        <w:gridCol w:w="6675"/>
      </w:tblGrid>
      <w:tr>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操作</w:t>
            </w:r>
          </w:p>
        </w:tc>
        <w:tc>
          <w:tcPr>
            <w:tcW w:w="667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说明</w:t>
            </w:r>
          </w:p>
        </w:tc>
      </w:tr>
      <w:tr>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发布智能体 </w:t>
            </w:r>
          </w:p>
        </w:tc>
        <w:tc>
          <w:tcPr>
            <w:tcW w:w="6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已成功搭建并发布智能体为 API 服务。搭建步骤请参见</w:t>
            </w:r>
            <w:hyperlink r:id="rId8">
              <w:r>
                <w:rPr>
                  <w:rFonts w:eastAsia="等线" w:ascii="Arial" w:cs="Arial" w:hAnsi="Arial"/>
                  <w:color w:val="3370ff"/>
                  <w:sz w:val="22"/>
                </w:rPr>
                <w:t>搭建一个 AI 助手智能体</w:t>
              </w:r>
            </w:hyperlink>
            <w:r>
              <w:rPr>
                <w:rFonts w:eastAsia="等线" w:ascii="Arial" w:cs="Arial" w:hAnsi="Arial"/>
                <w:sz w:val="22"/>
              </w:rPr>
              <w:t>，发布步骤请参见</w:t>
            </w:r>
            <w:hyperlink r:id="rId9">
              <w:r>
                <w:rPr>
                  <w:rFonts w:eastAsia="等线" w:ascii="Arial" w:cs="Arial" w:hAnsi="Arial"/>
                  <w:color w:val="3370ff"/>
                  <w:sz w:val="22"/>
                </w:rPr>
                <w:t>发布智能体为 API 服务</w:t>
              </w:r>
            </w:hyperlink>
            <w:r>
              <w:rPr>
                <w:rFonts w:eastAsia="等线" w:ascii="Arial" w:cs="Arial" w:hAnsi="Arial"/>
                <w:sz w:val="22"/>
              </w:rPr>
              <w:t xml:space="preserve">。 </w:t>
            </w:r>
          </w:p>
        </w:tc>
      </w:tr>
      <w:tr>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获取访问密钥 </w:t>
            </w:r>
          </w:p>
        </w:tc>
        <w:tc>
          <w:tcPr>
            <w:tcW w:w="6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获取访问密钥，用于身份认证与鉴权。 </w:t>
            </w:r>
          </w:p>
          <w:p>
            <w:pPr>
              <w:numPr>
                <w:numId w:val="4"/>
              </w:numPr>
              <w:spacing w:before="120" w:after="120" w:line="288" w:lineRule="auto"/>
              <w:ind w:left="0"/>
              <w:jc w:val="left"/>
            </w:pPr>
            <w:r>
              <w:rPr>
                <w:rFonts w:eastAsia="等线" w:ascii="Arial" w:cs="Arial" w:hAnsi="Arial"/>
                <w:b w:val="true"/>
                <w:sz w:val="22"/>
              </w:rPr>
              <w:t>体验或调试场景</w:t>
            </w:r>
            <w:r>
              <w:rPr>
                <w:rFonts w:eastAsia="等线" w:ascii="Arial" w:cs="Arial" w:hAnsi="Arial"/>
                <w:sz w:val="22"/>
              </w:rPr>
              <w:t>：建议生成短期的个人访问令牌（PAT），以快速完成 Realtime SDK 的整体流程。个人访问令牌的获取方法请参见</w:t>
            </w:r>
            <w:hyperlink r:id="rId10">
              <w:r>
                <w:rPr>
                  <w:rFonts w:eastAsia="等线" w:ascii="Arial" w:cs="Arial" w:hAnsi="Arial"/>
                  <w:color w:val="3370ff"/>
                  <w:sz w:val="22"/>
                </w:rPr>
                <w:t>添加个人访问令牌</w:t>
              </w:r>
            </w:hyperlink>
            <w:r>
              <w:rPr>
                <w:rFonts w:eastAsia="等线" w:ascii="Arial" w:cs="Arial" w:hAnsi="Arial"/>
                <w:sz w:val="22"/>
              </w:rPr>
              <w:t xml:space="preserve">。 </w:t>
            </w:r>
          </w:p>
          <w:p>
            <w:pPr>
              <w:numPr>
                <w:numId w:val="5"/>
              </w:numPr>
              <w:spacing w:before="120" w:after="120" w:line="288" w:lineRule="auto"/>
              <w:ind w:left="0"/>
              <w:jc w:val="left"/>
            </w:pPr>
            <w:r>
              <w:rPr>
                <w:rFonts w:eastAsia="等线" w:ascii="Arial" w:cs="Arial" w:hAnsi="Arial"/>
                <w:b w:val="true"/>
                <w:sz w:val="22"/>
              </w:rPr>
              <w:t>线上环境</w:t>
            </w:r>
            <w:r>
              <w:rPr>
                <w:rFonts w:eastAsia="等线" w:ascii="Arial" w:cs="Arial" w:hAnsi="Arial"/>
                <w:sz w:val="22"/>
              </w:rPr>
              <w:t>：在线上环境中，应使用 OAuth 鉴权方案。OAuth 鉴权方案的详细说明请参见</w:t>
            </w:r>
            <w:hyperlink r:id="rId11">
              <w:r>
                <w:rPr>
                  <w:rFonts w:eastAsia="等线" w:ascii="Arial" w:cs="Arial" w:hAnsi="Arial"/>
                  <w:color w:val="3370ff"/>
                  <w:sz w:val="22"/>
                </w:rPr>
                <w:t>OAuth 应用管理</w:t>
              </w:r>
            </w:hyperlink>
            <w:r>
              <w:rPr>
                <w:rFonts w:eastAsia="等线" w:ascii="Arial" w:cs="Arial" w:hAnsi="Arial"/>
                <w:sz w:val="22"/>
              </w:rPr>
              <w:t xml:space="preserve">。 </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import WebSocket from 'ws'; </w:t>
              <w:br/>
              <w:t xml:space="preserve"> </w:t>
              <w:br/>
              <w:t xml:space="preserve">const url = `wss://ws.coze.cn/v1/audio/transcriptions?authorization=Bearer pat_OYDacMzM3WyOWV3Dtj2bHRMymzxP****`; </w:t>
              <w:br/>
              <w:t xml:space="preserve"># 如果是流式语音对话接口，需要在 url 中带上 bot_id  </w:t>
              <w:br/>
              <w:t xml:space="preserve"># const url = wss://ws.coze.cn/v1/chat?bot_id=73791654286875***&amp;authorization=Bearer pat_OYDacMzM3WyOWV3Dtj2bHRMymzxP****`; </w:t>
              <w:br/>
              <w:t xml:space="preserve">const ws = new WebSocket(url); </w:t>
              <w:br/>
              <w:t xml:space="preserve"> </w:t>
              <w:br/>
              <w:t xml:space="preserve">ws.on('open', function open() { </w:t>
              <w:br/>
              <w:t xml:space="preserve">  console.log('Connected to server.'); </w:t>
              <w:br/>
              <w:t xml:space="preserve">}); </w:t>
              <w:br/>
              <w:t xml:space="preserve"> </w:t>
              <w:br/>
            </w:r>
            <w:r>
              <w:rPr>
                <w:rFonts w:eastAsia="Consolas" w:ascii="Consolas" w:cs="Consolas" w:hAnsi="Consolas"/>
                <w:sz w:val="22"/>
              </w:rPr>
              <w:t>ws.on('message', function incoming(</w:t>
            </w:r>
            <w:r>
              <w:rPr>
                <w:rFonts w:eastAsia="Consolas" w:ascii="Consolas" w:cs="Consolas" w:hAnsi="Consolas"/>
                <w:i w:val="true"/>
                <w:sz w:val="22"/>
              </w:rPr>
              <w:t>message</w:t>
            </w:r>
            <w:r>
              <w:rPr>
                <w:rFonts w:eastAsia="Consolas" w:ascii="Consolas" w:cs="Consolas" w:hAnsi="Consolas"/>
                <w:sz w:val="22"/>
              </w:rPr>
              <w:t xml:space="preserve">) { </w:t>
              <w:br/>
              <w:t xml:space="preserve">  console.log(JSON.parse(message.toString())); </w:t>
              <w:br/>
            </w:r>
            <w:r>
              <w:rPr>
                <w:rFonts w:eastAsia="Consolas" w:ascii="Consolas" w:cs="Consolas" w:hAnsi="Consolas"/>
                <w:sz w:val="22"/>
              </w:rPr>
              <w:t xml:space="preserve">}); </w:t>
            </w:r>
          </w:p>
        </w:tc>
      </w:tr>
    </w:tbl>
    <w:p>
      <w:pPr>
        <w:pStyle w:val="3"/>
        <w:spacing w:before="300" w:after="120" w:line="288" w:lineRule="auto"/>
        <w:ind w:left="0"/>
        <w:jc w:val="left"/>
        <w:outlineLvl w:val="2"/>
      </w:pPr>
      <w:bookmarkStart w:name="heading_4" w:id="4"/>
      <w:r>
        <w:rPr>
          <w:rFonts w:eastAsia="等线" w:ascii="Arial" w:cs="Arial" w:hAnsi="Arial"/>
          <w:b w:val="true"/>
          <w:sz w:val="30"/>
        </w:rPr>
        <w:t xml:space="preserve">步骤二：发送和接收事件 </w:t>
      </w:r>
      <w:bookmarkEnd w:id="4"/>
    </w:p>
    <w:p>
      <w:pPr>
        <w:spacing w:before="120" w:after="120" w:line="288" w:lineRule="auto"/>
        <w:ind w:left="0"/>
        <w:jc w:val="left"/>
      </w:pPr>
      <w:r>
        <w:rPr>
          <w:rFonts w:eastAsia="等线" w:ascii="Arial" w:cs="Arial" w:hAnsi="Arial"/>
          <w:sz w:val="22"/>
        </w:rPr>
        <w:t>通过 WebSocket 与扣子智能体进行实时语音交互时，需要通过 WebSocket 接口发送和接收消息。成功连接后，客户端可以发送和接收代表文本、音频、配置更新等的事件。客户端可以发送的事件消息以及从服务器接收的事件消息列表请参见</w:t>
      </w:r>
      <w:hyperlink r:id="rId12">
        <w:r>
          <w:rPr>
            <w:rFonts w:eastAsia="等线" w:ascii="Arial" w:cs="Arial" w:hAnsi="Arial"/>
            <w:color w:val="3370ff"/>
            <w:sz w:val="22"/>
          </w:rPr>
          <w:t>双向流式对话事件</w:t>
        </w:r>
      </w:hyperlink>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发送和接收事件的示例代码如下：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 xml:space="preserve"># To send a client event, serialize a dictionary to JSON </w:t>
              <w:br/>
              <w:t xml:space="preserve"># of the proper event type </w:t>
              <w:br/>
              <w:t xml:space="preserve">def on_open(ws): </w:t>
              <w:br/>
              <w:t xml:space="preserve">    print("Connected to server.") </w:t>
              <w:br/>
              <w:t xml:space="preserve">     </w:t>
              <w:br/>
              <w:t xml:space="preserve">    data = { </w:t>
              <w:br/>
              <w:t xml:space="preserve">        "role": "user", </w:t>
              <w:br/>
              <w:t xml:space="preserve">        "content_type": "text", </w:t>
              <w:br/>
              <w:t xml:space="preserve">        "content": "你好呀" </w:t>
              <w:br/>
              <w:t xml:space="preserve">    } </w:t>
              <w:br/>
              <w:t xml:space="preserve">    event = { </w:t>
              <w:br/>
              <w:t xml:space="preserve">        "event_type": "conversation.message.create", </w:t>
              <w:br/>
              <w:t xml:space="preserve">        "data":  data </w:t>
              <w:br/>
              <w:t xml:space="preserve">    } </w:t>
              <w:br/>
              <w:t xml:space="preserve">    ws.send(json.dumps(event)) </w:t>
              <w:br/>
              <w:t xml:space="preserve"> </w:t>
              <w:br/>
              <w:t xml:space="preserve"># Receiving messages will require parsing message payloads </w:t>
              <w:br/>
              <w:t xml:space="preserve"># from JSON </w:t>
              <w:br/>
              <w:t xml:space="preserve">def on_message(ws, message): </w:t>
              <w:br/>
              <w:t xml:space="preserve">    data = json.loads(message) </w:t>
              <w:br/>
            </w:r>
            <w:r>
              <w:rPr>
                <w:rFonts w:eastAsia="Consolas" w:ascii="Consolas" w:cs="Consolas" w:hAnsi="Consolas"/>
                <w:sz w:val="22"/>
              </w:rPr>
              <w:t xml:space="preserve">    print("Received event:", json.dumps(data, indent=2)) </w:t>
            </w:r>
          </w:p>
        </w:tc>
      </w:tr>
    </w:tbl>
    <w:p>
      <w:pPr>
        <w:pStyle w:val="3"/>
        <w:spacing w:before="300" w:after="120" w:line="288" w:lineRule="auto"/>
        <w:ind w:left="0"/>
        <w:jc w:val="left"/>
        <w:outlineLvl w:val="2"/>
      </w:pPr>
      <w:bookmarkStart w:name="heading_5" w:id="5"/>
      <w:r>
        <w:rPr>
          <w:rFonts w:eastAsia="等线" w:ascii="Arial" w:cs="Arial" w:hAnsi="Arial"/>
          <w:b w:val="true"/>
          <w:sz w:val="30"/>
        </w:rPr>
        <w:t xml:space="preserve">事件类型 </w:t>
      </w:r>
      <w:bookmarkEnd w:id="5"/>
    </w:p>
    <w:p>
      <w:pPr>
        <w:spacing w:before="120" w:after="120" w:line="288" w:lineRule="auto"/>
        <w:ind w:left="0"/>
        <w:jc w:val="left"/>
      </w:pPr>
      <w:r>
        <w:rPr>
          <w:rFonts w:eastAsia="等线" w:ascii="Arial" w:cs="Arial" w:hAnsi="Arial"/>
          <w:sz w:val="22"/>
        </w:rPr>
        <w:t xml:space="preserve">智能语音 WebSocket 事件包括上行事件和下行事件。每个事件有 ID 和 EventType，通过 EventType 可以区分具体的事件类型，每个事件类型对应的 Payload 在 Data 中，开发者可以按需去提取需要的内容。 </w:t>
      </w:r>
    </w:p>
    <w:p>
      <w:pPr>
        <w:numPr>
          <w:numId w:val="6"/>
        </w:numPr>
        <w:spacing w:before="120" w:after="120" w:line="288" w:lineRule="auto"/>
        <w:ind w:left="0"/>
        <w:jc w:val="left"/>
      </w:pPr>
      <w:r>
        <w:rPr>
          <w:rFonts w:eastAsia="等线" w:ascii="Arial" w:cs="Arial" w:hAnsi="Arial"/>
          <w:b w:val="true"/>
          <w:sz w:val="22"/>
        </w:rPr>
        <w:t>上行事件</w:t>
      </w:r>
      <w:r>
        <w:rPr>
          <w:rFonts w:eastAsia="等线" w:ascii="Arial" w:cs="Arial" w:hAnsi="Arial"/>
          <w:sz w:val="22"/>
        </w:rPr>
        <w:t xml:space="preserve">：设备端上报给服务端的事件。应用程序需要根据扣子平台提供的事件结构，在触发事件时填充字段内容并上报事件。 </w:t>
      </w:r>
    </w:p>
    <w:p>
      <w:pPr>
        <w:numPr>
          <w:numId w:val="7"/>
        </w:numPr>
        <w:spacing w:before="120" w:after="120" w:line="288" w:lineRule="auto"/>
        <w:ind w:left="0"/>
        <w:jc w:val="left"/>
      </w:pPr>
      <w:r>
        <w:rPr>
          <w:rFonts w:eastAsia="等线" w:ascii="Arial" w:cs="Arial" w:hAnsi="Arial"/>
          <w:b w:val="true"/>
          <w:sz w:val="22"/>
        </w:rPr>
        <w:t>下行事件</w:t>
      </w:r>
      <w:r>
        <w:rPr>
          <w:rFonts w:eastAsia="等线" w:ascii="Arial" w:cs="Arial" w:hAnsi="Arial"/>
          <w:sz w:val="22"/>
        </w:rPr>
        <w:t xml:space="preserve">：服务端下发给设备端的事件，应用程序需要解析下行事件，并根据业务需求进行下一步操作。 </w:t>
      </w:r>
    </w:p>
    <w:p>
      <w:pPr>
        <w:pStyle w:val="3"/>
        <w:spacing w:before="300" w:after="120" w:line="288" w:lineRule="auto"/>
        <w:ind w:left="0"/>
        <w:jc w:val="left"/>
        <w:outlineLvl w:val="2"/>
      </w:pPr>
      <w:bookmarkStart w:name="heading_6" w:id="6"/>
      <w:r>
        <w:rPr>
          <w:rFonts w:eastAsia="等线" w:ascii="Arial" w:cs="Arial" w:hAnsi="Arial"/>
          <w:b w:val="true"/>
          <w:sz w:val="30"/>
        </w:rPr>
        <w:t xml:space="preserve">注意事项 </w:t>
      </w:r>
      <w:bookmarkEnd w:id="6"/>
    </w:p>
    <w:p>
      <w:pPr>
        <w:numPr>
          <w:numId w:val="8"/>
        </w:numPr>
        <w:spacing w:before="120" w:after="120" w:line="288" w:lineRule="auto"/>
        <w:ind w:left="0"/>
        <w:jc w:val="left"/>
      </w:pPr>
      <w:r>
        <w:rPr>
          <w:rFonts w:eastAsia="等线" w:ascii="Arial" w:cs="Arial" w:hAnsi="Arial"/>
          <w:sz w:val="22"/>
        </w:rPr>
        <w:t xml:space="preserve">每个上行事件 ID 建议不要重复，故障排查场景下便于定位问题。 </w:t>
      </w:r>
    </w:p>
    <w:p>
      <w:pPr>
        <w:numPr>
          <w:numId w:val="9"/>
        </w:numPr>
        <w:spacing w:before="120" w:after="120" w:line="288" w:lineRule="auto"/>
        <w:ind w:left="0"/>
        <w:jc w:val="left"/>
      </w:pPr>
      <w:r>
        <w:rPr>
          <w:rFonts w:eastAsia="等线" w:ascii="Arial" w:cs="Arial" w:hAnsi="Arial"/>
          <w:sz w:val="22"/>
        </w:rPr>
        <w:t xml:space="preserve">每个事件有 ID 和 EventType，通过 EventType 可以区分具体的事件类型，每个事件类型对应的 Payload 在 Data 中，开发者可以按需去提取需要的内容。 </w:t>
      </w:r>
    </w:p>
    <w:p>
      <w:pPr>
        <w:pStyle w:val="3"/>
        <w:spacing w:before="300" w:after="120" w:line="288" w:lineRule="auto"/>
        <w:ind w:left="0"/>
        <w:jc w:val="left"/>
        <w:outlineLvl w:val="2"/>
      </w:pPr>
      <w:bookmarkStart w:name="heading_7" w:id="7"/>
      <w:r>
        <w:rPr>
          <w:rFonts w:eastAsia="等线" w:ascii="Arial" w:cs="Arial" w:hAnsi="Arial"/>
          <w:b w:val="true"/>
          <w:sz w:val="30"/>
        </w:rPr>
        <w:t xml:space="preserve">公共参数 </w:t>
      </w:r>
      <w:bookmarkEnd w:id="7"/>
    </w:p>
    <w:p>
      <w:pPr>
        <w:spacing w:before="120" w:after="120" w:line="288" w:lineRule="auto"/>
        <w:ind w:left="0"/>
        <w:jc w:val="left"/>
      </w:pPr>
      <w:r>
        <w:rPr>
          <w:rFonts w:eastAsia="等线" w:ascii="Arial" w:cs="Arial" w:hAnsi="Arial"/>
          <w:sz w:val="22"/>
        </w:rPr>
        <w:t>智能语音 WebSocket 事件的公共参数如下：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080"/>
        <w:gridCol w:w="1755"/>
        <w:gridCol w:w="5430"/>
      </w:tblGrid>
      <w:tr>
        <w:tc>
          <w:tcPr>
            <w:tcW w:w="108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参数名称</w:t>
            </w:r>
          </w:p>
        </w:tc>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类型</w:t>
            </w:r>
          </w:p>
        </w:tc>
        <w:tc>
          <w:tcPr>
            <w:tcW w:w="543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描述</w:t>
            </w:r>
          </w:p>
        </w:tc>
      </w:tr>
      <w:tr>
        <w:tc>
          <w:tcPr>
            <w:tcW w:w="10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id </w:t>
            </w:r>
          </w:p>
        </w:tc>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String </w:t>
            </w:r>
          </w:p>
        </w:tc>
        <w:tc>
          <w:tcPr>
            <w:tcW w:w="5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事件 ID，也就是事件的唯一标识。由客户端或服务端生成，在故障排查场景下用于定位具体的事件，便于排查问题。 </w:t>
            </w:r>
          </w:p>
        </w:tc>
      </w:tr>
      <w:tr>
        <w:tc>
          <w:tcPr>
            <w:tcW w:w="10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event_type </w:t>
            </w:r>
          </w:p>
        </w:tc>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String </w:t>
            </w:r>
          </w:p>
        </w:tc>
        <w:tc>
          <w:tcPr>
            <w:tcW w:w="5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事件的类型。 </w:t>
            </w:r>
          </w:p>
        </w:tc>
      </w:tr>
      <w:tr>
        <w:tc>
          <w:tcPr>
            <w:tcW w:w="10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data </w:t>
            </w:r>
          </w:p>
        </w:tc>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JSON </w:t>
            </w:r>
          </w:p>
        </w:tc>
        <w:tc>
          <w:tcPr>
            <w:tcW w:w="5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事件的详细信息，其中包含具体事件的业务字段。 </w:t>
            </w:r>
          </w:p>
        </w:tc>
      </w:tr>
    </w:tbl>
    <w:p>
      <w:pPr>
        <w:spacing w:before="120" w:after="120" w:line="288" w:lineRule="auto"/>
        <w:ind w:left="0"/>
        <w:jc w:val="left"/>
      </w:pPr>
    </w:p>
    <w:sectPr>
      <w:footerReference w:type="default" r:id="rId3"/>
      <w:headerReference w:type="default" r:id="rId1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numbering.xml><?xml version="1.0" encoding="utf-8"?>
<w:numbering xmlns:w="http://schemas.openxmlformats.org/wordprocessingml/2006/main">
  <w:abstractNum w:abstractNumId="229298">
    <w:lvl>
      <w:numFmt w:val="bullet"/>
      <w:suff w:val="tab"/>
      <w:lvlText w:val="•"/>
      <w:rPr>
        <w:color w:val="3370ff"/>
      </w:rPr>
    </w:lvl>
  </w:abstractNum>
  <w:abstractNum w:abstractNumId="229299">
    <w:lvl>
      <w:numFmt w:val="bullet"/>
      <w:suff w:val="tab"/>
      <w:lvlText w:val="•"/>
      <w:rPr>
        <w:color w:val="3370ff"/>
      </w:rPr>
    </w:lvl>
  </w:abstractNum>
  <w:abstractNum w:abstractNumId="229300">
    <w:lvl>
      <w:numFmt w:val="bullet"/>
      <w:suff w:val="tab"/>
      <w:lvlText w:val="•"/>
      <w:rPr>
        <w:color w:val="3370ff"/>
      </w:rPr>
    </w:lvl>
  </w:abstractNum>
  <w:abstractNum w:abstractNumId="229301">
    <w:lvl>
      <w:numFmt w:val="bullet"/>
      <w:suff w:val="tab"/>
      <w:lvlText w:val="•"/>
      <w:rPr>
        <w:color w:val="3370ff"/>
      </w:rPr>
    </w:lvl>
  </w:abstractNum>
  <w:abstractNum w:abstractNumId="229302">
    <w:lvl>
      <w:numFmt w:val="bullet"/>
      <w:suff w:val="tab"/>
      <w:lvlText w:val="•"/>
      <w:rPr>
        <w:color w:val="3370ff"/>
      </w:rPr>
    </w:lvl>
  </w:abstractNum>
  <w:abstractNum w:abstractNumId="229303">
    <w:lvl>
      <w:numFmt w:val="bullet"/>
      <w:suff w:val="tab"/>
      <w:lvlText w:val="•"/>
      <w:rPr>
        <w:color w:val="3370ff"/>
      </w:rPr>
    </w:lvl>
  </w:abstractNum>
  <w:abstractNum w:abstractNumId="229304">
    <w:lvl>
      <w:numFmt w:val="bullet"/>
      <w:suff w:val="tab"/>
      <w:lvlText w:val="•"/>
      <w:rPr>
        <w:color w:val="3370ff"/>
      </w:rPr>
    </w:lvl>
  </w:abstractNum>
  <w:abstractNum w:abstractNumId="229305">
    <w:lvl>
      <w:numFmt w:val="bullet"/>
      <w:suff w:val="tab"/>
      <w:lvlText w:val="•"/>
      <w:rPr>
        <w:color w:val="3370ff"/>
      </w:rPr>
    </w:lvl>
  </w:abstractNum>
  <w:abstractNum w:abstractNumId="229306">
    <w:lvl>
      <w:numFmt w:val="bullet"/>
      <w:suff w:val="tab"/>
      <w:lvlText w:val="•"/>
      <w:rPr>
        <w:color w:val="3370ff"/>
      </w:rPr>
    </w:lvl>
  </w:abstractNum>
  <w:num w:numId="1">
    <w:abstractNumId w:val="229298"/>
  </w:num>
  <w:num w:numId="2">
    <w:abstractNumId w:val="229299"/>
  </w:num>
  <w:num w:numId="3">
    <w:abstractNumId w:val="229300"/>
  </w:num>
  <w:num w:numId="4">
    <w:abstractNumId w:val="229301"/>
  </w:num>
  <w:num w:numId="5">
    <w:abstractNumId w:val="229302"/>
  </w:num>
  <w:num w:numId="6">
    <w:abstractNumId w:val="229303"/>
  </w:num>
  <w:num w:numId="7">
    <w:abstractNumId w:val="229304"/>
  </w:num>
  <w:num w:numId="8">
    <w:abstractNumId w:val="229305"/>
  </w:num>
  <w:num w:numId="9">
    <w:abstractNumId w:val="22930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www.coze.cn/open/docs/developer_guides/pat" TargetMode="External" Type="http://schemas.openxmlformats.org/officeDocument/2006/relationships/hyperlink"/><Relationship Id="rId11" Target="https://www.coze.cn/open/docs/developer_guides/oauth_apps" TargetMode="External" Type="http://schemas.openxmlformats.org/officeDocument/2006/relationships/hyperlink"/><Relationship Id="rId12" Target="https://www.coze.cn/open/docs/developer_guides/streaming_chat_event" TargetMode="External" Type="http://schemas.openxmlformats.org/officeDocument/2006/relationships/hyperlink"/><Relationship Id="rId13"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www.coze.cn/open/docs/guides/agent_quick_start" TargetMode="External" Type="http://schemas.openxmlformats.org/officeDocument/2006/relationships/hyperlink"/><Relationship Id="rId6" Target="https://www.coze.cn/open/docs/guides/publish_agent_api" TargetMode="External" Type="http://schemas.openxmlformats.org/officeDocument/2006/relationships/hyperlink"/><Relationship Id="rId7" Target="https://www.coze.cn/open/docs/developer_guides/pat" TargetMode="External" Type="http://schemas.openxmlformats.org/officeDocument/2006/relationships/hyperlink"/><Relationship Id="rId8" Target="https://www.coze.cn/open/docs/guides/agent_quick_start" TargetMode="External" Type="http://schemas.openxmlformats.org/officeDocument/2006/relationships/hyperlink"/><Relationship Id="rId9" Target="https://www.coze.cn/open/docs/guides/publish_agent_api" TargetMode="External" Type="http://schemas.openxmlformats.org/officeDocument/2006/relationships/hyperlink"/></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2025-05-11T13:11:59Z</dcterms:created>
  <dc:creator>Apache POI</dc:creator>
</cp:coreProperties>
</file>