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Selected architecture pattern and reasoning - Discover Brisbane</w:t>
      </w:r>
    </w:p>
    <w:p w:rsidR="00000000" w:rsidDel="00000000" w:rsidP="00000000" w:rsidRDefault="00000000" w:rsidRPr="00000000">
      <w:pPr>
        <w:contextualSpacing w:val="0"/>
        <w:jc w:val="center"/>
        <w:rPr>
          <w:b w:val="1"/>
        </w:rPr>
      </w:pPr>
      <w:r w:rsidDel="00000000" w:rsidR="00000000" w:rsidRPr="00000000">
        <w:rPr>
          <w:b w:val="1"/>
          <w:rtl w:val="0"/>
        </w:rPr>
        <w:t xml:space="preserve">Group no. 101</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three-tier software architecture pattern was selected for the Discover Brisbane website. Scalability is a key feature of three-tier architecture, which allows us to install different layers and components of an application across multiple servers, therefore increasing the system’s scalability (Marston, 2012). The architecture pattern was also chosen due to its flexibility. As the name suggests, the three-tier pattern is separated into three independent layers: client, application and database. Because of this, the system is much more adaptable to changes and easier to maintain. For example, modifications in a single layer can be carried out without disrupting the system as a whole.</w:t>
      </w:r>
    </w:p>
    <w:p w:rsidR="00000000" w:rsidDel="00000000" w:rsidP="00000000" w:rsidRDefault="00000000" w:rsidRPr="00000000">
      <w:pPr>
        <w:contextualSpacing w:val="0"/>
        <w:jc w:val="both"/>
        <w:rPr/>
      </w:pPr>
      <w:r w:rsidDel="00000000" w:rsidR="00000000" w:rsidRPr="00000000">
        <w:rPr>
          <w:rtl w:val="0"/>
        </w:rPr>
        <w:t xml:space="preserve">There is also an increased amount of security within the system because of the application layer being independent from other layers. It creates a higher level of indirectness between the web and the application servers (Brown, 2012), which would be an advantage if one of the servers were compromised, greatly decreasing the risk of the other server being 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http://www.tonymarston.net/php-mysql/3-tier-architecture.html</w:t>
        </w:r>
      </w:hyperlink>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http://www.codingthearchitecture.com/2012/07/20/when_do_you_need_a_3_tier_architecture.html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onymarston.net/php-mysql/3-tier-architecture.html" TargetMode="External"/><Relationship Id="rId6" Type="http://schemas.openxmlformats.org/officeDocument/2006/relationships/hyperlink" Target="http://www.codingthearchitecture.com/2012/07/20/when_do_you_need_a_3_tier_architecture.html" TargetMode="External"/></Relationships>
</file>