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лабораторная_работа_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Лабораторная работа № 3</w:t>
      </w:r>
      <w:bookmarkEnd w:id="0"/>
    </w:p>
    <w:p>
      <w:pPr>
        <w:spacing w:line="270" w:before="157.5" w:after="157.5" w:lineRule="auto"/>
        <w:jc w:val="left"/>
      </w:pPr>
      <w:bookmarkStart w:id="1" w:name="сбор_данных_через_rest_api_код_и_no_cod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Сбор данных через REST API: код и no-code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Курс:</w:t>
      </w:r>
      <w:r>
        <w:rPr>
          <w:rFonts w:eastAsia="source serif 4" w:cs="source serif 4" w:ascii="source serif 4" w:hAnsi="source serif 4"/>
          <w:color w:val="000000"/>
        </w:rPr>
        <w:t xml:space="preserve"> Автоматизированный сбор данных из интернета (код + no-code)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Занятие:</w:t>
      </w:r>
      <w:r>
        <w:rPr>
          <w:rFonts w:eastAsia="source serif 4" w:cs="source serif 4" w:ascii="source serif 4" w:hAnsi="source serif 4"/>
          <w:color w:val="000000"/>
        </w:rPr>
        <w:t xml:space="preserve"> 3. REST API и JSON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Трудоёмкость:</w:t>
      </w:r>
      <w:r>
        <w:rPr>
          <w:rFonts w:eastAsia="source serif 4" w:cs="source serif 4" w:ascii="source serif 4" w:hAnsi="source serif 4"/>
          <w:color w:val="000000"/>
        </w:rPr>
        <w:t xml:space="preserve"> 6 академических часов (2 ч в аудитории под руководством преподавателя + 4 ч самостоятельной работы)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Форма отчётности:</w:t>
      </w:r>
      <w:r>
        <w:rPr>
          <w:rFonts w:eastAsia="source serif 4" w:cs="source serif 4" w:ascii="source serif 4" w:hAnsi="source serif 4"/>
          <w:color w:val="000000"/>
        </w:rPr>
        <w:t xml:space="preserve"> Jupyter Notebook + файлы данных + экспорт no-code workflow + отчёт (2–4 стр.)</w:t>
      </w:r>
    </w:p>
    <w:p>
      <w:pPr>
        <w:spacing w:line="360" w:before="315" w:after="105" w:lineRule="auto"/>
        <w:ind w:left="-30"/>
        <w:jc w:val="left"/>
      </w:pPr>
      <w:bookmarkStart w:id="2" w:name="bm_1_цель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работы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Реализовать воспроизводимый сбор данных через REST API двумя способами — программно на Python и в no-code/low-code среде — и обосновать выбор инструмента на основе измеренных характеристик, а не предпочтений.</w:t>
      </w:r>
    </w:p>
    <w:p>
      <w:pPr>
        <w:spacing w:line="360" w:before="315" w:after="105" w:lineRule="auto"/>
        <w:ind w:left="-30"/>
        <w:jc w:val="left"/>
      </w:pPr>
      <w:bookmarkStart w:id="3" w:name="bm_2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Задачи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Выбрать два публичных API: основной (с пагинацией) и дополнительный (для обогащения данных).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Изучить контракт API: ресурсы, параметры, коды состояния, лимиты, версию.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сбор ≥ 300 записей с корректной пагинацией, обработкой ошибок и ограничением скорости.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Нормализовать вложенный JSON в плоскую таблицу и выполнить обогащение из второго источника.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Оценить качество данных: полнота полей, дубликаты, типы, выбросы.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инкрементальный повторный запуск (второй прогон не дублирует данные).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Воспроизвести упрощённый сценарий в Zapier или n8n и сравнить подходы количественно.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Оформить отчёт с обоснованием выбора инструментов и правовой оценкой сбора.</w:t>
      </w:r>
    </w:p>
    <w:p>
      <w:pPr>
        <w:spacing w:line="360" w:before="315" w:after="105" w:lineRule="auto"/>
        <w:ind w:left="-30"/>
        <w:jc w:val="left"/>
      </w:pPr>
      <w:bookmarkStart w:id="4" w:name="bm_3_исходные_данные_варианты_задан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Исходные данные: варианты заданий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 определяется по номеру студента в списке группы: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вариант = (номер mod 6) + 1</w:t>
      </w:r>
      <w:r>
        <w:rPr>
          <w:rFonts w:eastAsia="source serif 4" w:cs="source serif 4" w:ascii="source serif 4" w:hAnsi="source serif 4"/>
          <w:color w:val="000000"/>
        </w:rPr>
        <w:t xml:space="preserve">. Все API — публичные, регистрация не требуется. Согласование замены API — с преподавателем.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Основной API (пагинация)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обогащения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Целевая задача анализа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DummyJSON Products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limit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skip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Open-Meteo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по городу склада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Каталог товаров: цены, рейтинги, отзывы по категориям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GitHub REST: issues репозитория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(Link-пагинация)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GitHub: репозиторий и контрибьюторы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Динамика открытия/закрытия issue, время жизни задачи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Open Library Search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limit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Open Library Authors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Книги по теме: годы издания, языки, полнота метаданных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DummyJSON Posts + Comments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DummyJSON Users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Активность авторов, связь постов, комментариев и реакций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CoinGecko: markets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per_page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жёсткий rate limit)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CoinGecko: market_chart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Капитализация и суточная волатильность топ-активов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JSONPlaceholder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REST Countries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World Bank API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Страны: население, регион, экономические показатели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объёму данных: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менее 300 записей</w:t>
      </w:r>
      <w:r>
        <w:rPr>
          <w:rFonts w:eastAsia="source serif 4" w:cs="source serif 4" w:ascii="source serif 4" w:hAnsi="source serif 4"/>
          <w:color w:val="000000"/>
        </w:rPr>
        <w:t xml:space="preserve"> в основной таблице и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менее 3 страниц</w:t>
      </w:r>
      <w:r>
        <w:rPr>
          <w:rFonts w:eastAsia="source serif 4" w:cs="source serif 4" w:ascii="source serif 4" w:hAnsi="source serif 4"/>
          <w:color w:val="000000"/>
        </w:rPr>
        <w:t xml:space="preserve"> пагинации. Если API отдаёт меньше, объём набирается расширением параметров запроса (несколько категорий, тем, репозиториев или регионов) — с ведением журнала запросов.</w:t>
      </w:r>
    </w:p>
    <w:p>
      <w:pPr>
        <w:spacing w:line="360" w:before="315" w:after="105" w:lineRule="auto"/>
        <w:ind w:left="-30"/>
        <w:jc w:val="left"/>
      </w:pPr>
      <w:bookmarkStart w:id="5" w:name="bm_4_требования_к_реализ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Требования к реализации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4_1_программная_часть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Программная часть (Python)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Обязательные элементы кода: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Сессия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requests.Session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User-Agent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обязательным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каждом запросе.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Функция безопасного разбора ответа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проверка статуса, проверка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Content-Type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информативное сообщение об ошибке с первыми 200 байтами тела.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Пагинация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виде функции с параметрами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page_size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max_records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инкремент по фактической длине страницы; остановка по пустой странице или достижению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Ограничение скорости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пауза между запросами или класс-ограничитель; для варианта 5 — обязательная демонстрация обработки ответа 429.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Повторные попытки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только для 429 и 5xx, экспоненциальная задержка с джиттером, уважение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Retry-After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ограниченное число попыток. Для 4xx повторы запрещены.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Журнал сбора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(DataFrame или CSV): номер страницы, URL/параметры, код ответа, число записей, длительность, отметка времени.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Нормализация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pandas.json_normalize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развёртывание минимум одного вложенного массива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record_path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Обогащение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соединение с данными второго API по ключу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merge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с проверкой числа строк до и после.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Проверка качества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полнота каждого поля (%), число дубликатов по ключу, приведение типов (даты → datetime с таймзоной, числа → numeric), не менее двух проверок бизнес-логики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price &gt; 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year &lt;= текущий год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Инкрементальность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файл состояния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с «водяным знаком»; при повторном запуске новых записей 0 либо только действительно новые.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Секреты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только через переменные окружения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в отчёте и блокноте — маскированные. Ключ в коде — основание для возврата работы на доработку.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Выгрузка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data_raw.jsonl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(сырые ответы построчно),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data_clean.csv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(итоговая таблица),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collection_log.csv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(журнал).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Запрещено: сбор в один запрос без пагинации,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while True</w:t>
      </w:r>
      <w:r>
        <w:rPr>
          <w:rFonts w:eastAsia="source serif 4" w:cs="source serif 4" w:ascii="source serif 4" w:hAnsi="source serif 4"/>
          <w:color w:val="000000"/>
        </w:rPr>
        <w:t xml:space="preserve"> без предохранителя,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try/except: pass</w:t>
      </w:r>
      <w:r>
        <w:rPr>
          <w:rFonts w:eastAsia="source serif 4" w:cs="source serif 4" w:ascii="source serif 4" w:hAnsi="source serif 4"/>
          <w:color w:val="000000"/>
        </w:rPr>
        <w:t xml:space="preserve">, копирование данных руками, использование HTML-парсинга вместо API.</w:t>
      </w:r>
    </w:p>
    <w:p>
      <w:pPr>
        <w:spacing w:line="360" w:before="315" w:after="105" w:lineRule="auto"/>
        <w:ind w:left="-30"/>
        <w:jc w:val="left"/>
      </w:pPr>
      <w:bookmarkStart w:id="7" w:name="bm_4_2_no_code_часть_zapier_или_n8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No-code часть (Zapier или n8n)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Реализовать упрощённый сценарий по тому же основному API: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триггер по расписанию (или ручной запуск с настроенным расписанием);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HTTP-запрос к API с параметрами;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разворачивание массива записей в отдельные элементы;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преобразование минимум трёх полей (переименование, тип, вычисляемое поле);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выгрузка в Google Sheets, CSV или БД;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ветка обработки ошибки (уведомление или запись в лог).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n8n дополнительно: настроить пагинацию в узле HTTP Request либо цикл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Loop Over Items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Wait</w:t>
      </w:r>
      <w:r>
        <w:rPr>
          <w:rFonts w:eastAsia="source serif 4" w:cs="source serif 4" w:ascii="source serif 4" w:hAnsi="source serif 4"/>
          <w:color w:val="000000"/>
        </w:rPr>
        <w:t xml:space="preserve">. Для Zapier: зафиксировать, сколько задач (tasks) потребляет один прогон.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Сдаётся: экспорт workflow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workflow.json</w:t>
      </w:r>
      <w:r>
        <w:rPr>
          <w:rFonts w:eastAsia="source serif 4" w:cs="source serif 4" w:ascii="source serif 4" w:hAnsi="source serif 4"/>
          <w:color w:val="000000"/>
        </w:rPr>
        <w:t xml:space="preserve"> для n8n / скриншоты и описание шагов для Zapier), скриншот успешного выполнения, файл с результатом (≥ 20 строк).</w:t>
      </w:r>
    </w:p>
    <w:p>
      <w:pPr>
        <w:spacing w:line="360" w:before="315" w:after="105" w:lineRule="auto"/>
        <w:ind w:left="-30"/>
        <w:jc w:val="left"/>
      </w:pPr>
      <w:bookmarkStart w:id="8" w:name="bm_4_3_сравнение_подход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 Сравнение подходов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Заполнить таблицу по </w:t>
      </w:r>
      <w:r>
        <w:rPr>
          <w:rFonts w:eastAsia="source serif 4" w:cs="source serif 4" w:ascii="source serif 4" w:hAnsi="source serif 4"/>
          <w:b/>
          <w:color w:val="000000"/>
        </w:rPr>
        <w:t xml:space="preserve">измеренным</w:t>
      </w:r>
      <w:r>
        <w:rPr>
          <w:rFonts w:eastAsia="source serif 4" w:cs="source serif 4" w:ascii="source serif 4" w:hAnsi="source serif 4"/>
          <w:color w:val="000000"/>
        </w:rPr>
        <w:t xml:space="preserve"> значениям, а не по ощущениям: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Python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Zapier / n8n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разработки,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Число собранных записей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выполнения одного прогона, 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Поддержка пагинации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Обработка ошибок и повторов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Воспроизводимость (Git, экспорт)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Стоимость при 100 прогонах в месяц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Порог входа (субъективно 1–5)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Вывод: для какого класса задач в вашем варианте оправдан каждый инструмент и какой гибридный вариант вы бы предложили заказчику.</w:t>
      </w:r>
    </w:p>
    <w:p>
      <w:pPr>
        <w:spacing w:line="360" w:before="315" w:after="105" w:lineRule="auto"/>
        <w:ind w:left="-30"/>
        <w:jc w:val="left"/>
      </w:pPr>
      <w:bookmarkStart w:id="9" w:name="bm_5_порядок_выполнения_6_ча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Порядок выполнения (6 часов)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Содержание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Контрольная точка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Изучение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Документация, пробные запросы, DevTools → Network; фиксация схемы ответа, лимитов, версии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Заполнен «паспорт API» (п. 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Каркас сбора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Сессия,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get_json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журнал, первые 1–2 страницы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Получена первая страница, ошибки читаемы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Пагинация и rate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Полный сбор ≥ 300 записей с паузами и повторами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data_raw.jsonl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collection_log.csv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сформированы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Нормализация и обогащение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json_normalize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развёртывание массива,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merge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со вторым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data_clean.csv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целевой схемой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Качество и инкрементальность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Полнота, дубликаты, типы, проверки логики,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state.json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повторный прогон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Второй прогон не создаёт дубликатов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 No-code сценарий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Сборка workflow, тестовый прогон, экспорт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выполняется, есть результат и скриншот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 Сравнение и отчёт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сравнения, выводы, правовой раздел, оформление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блокнот готовы к сдаче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распределение: этапы 1–3 в аудитории, этапы 4–7 самостоятельно.</w:t>
      </w:r>
    </w:p>
    <w:p>
      <w:pPr>
        <w:spacing w:line="360" w:before="315" w:after="105" w:lineRule="auto"/>
        <w:ind w:left="-30"/>
        <w:jc w:val="left"/>
      </w:pPr>
      <w:bookmarkStart w:id="10" w:name="bm_6_состав_отчётных_материа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Состав отчётных материалов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lab3_&lt;фамилия&gt;_&lt;вариант&gt;/</w:t>
        <w:br/>
        <w:t xml:space="preserve">├── lab3.ipynb              # блокнот: код + выводы + графики + текстовые пояснения</w:t>
        <w:br/>
        <w:t xml:space="preserve">├── data_raw.jsonl          # сырые ответы API (по одной записи в строке)</w:t>
        <w:br/>
        <w:t xml:space="preserve">├── data_clean.csv          # итоговая нормализованная таблица</w:t>
        <w:br/>
        <w:t xml:space="preserve">├── collection_log.csv      # журнал запросов</w:t>
        <w:br/>
        <w:t xml:space="preserve">├── state.json              # состояние инкрементального сбора</w:t>
        <w:br/>
        <w:t xml:space="preserve">├── nocode/</w:t>
        <w:br/>
        <w:t xml:space="preserve">│   ├── workflow.json       # экспорт n8n (или описание Zap)</w:t>
        <w:br/>
        <w:t xml:space="preserve">│   ├── screenshot_*.png    # схема workflow и успешный прогон</w:t>
        <w:br/>
        <w:t xml:space="preserve">│   └── nocode_result.csv   # результат no-code прогона</w:t>
        <w:br/>
        <w:t xml:space="preserve">├── report.md               # или report.pdf</w:t>
        <w:br/>
        <w:t xml:space="preserve">├── requirements.txt</w:t>
        <w:br/>
        <w:t xml:space="preserve">└── README.md               # как воспроизвести: команды, переменные окружения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Структура отчёта (2–4 страницы):</w:t>
      </w:r>
      <w:r>
        <w:rPr>
          <w:rFonts w:eastAsia="source serif 4" w:cs="source serif 4" w:ascii="source serif 4" w:hAnsi="source serif 4"/>
          <w:color w:val="000000"/>
        </w:rPr>
        <w:t xml:space="preserve"> цель и вариант; паспорт API; архитектура пайплайна (схема «источник → сбор → нормализация → проверка → хранение»); принятые решения по пагинации, лимитам и повторам; результаты проверки качества данных (таблица полноты, число дубликатов); описание no-code сценария; таблица сравнения подходов с выводом; правовая и этическая оценка (условия использования API, наличие персональных данных, основание обработки по 152-ФЗ, срок хранения); список источников со ссылками.</w:t>
      </w:r>
    </w:p>
    <w:p>
      <w:pPr>
        <w:spacing w:line="360" w:before="315" w:after="105" w:lineRule="auto"/>
        <w:ind w:left="-30"/>
        <w:jc w:val="left"/>
      </w:pPr>
      <w:bookmarkStart w:id="11" w:name="bm_7_паспорт_api_заполняется_на_этапе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Паспорт API (заполняется на этапе 1)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Название и базовый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Версия и способ её указания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Используемые эндпоинты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Аутентификация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Тип пагинации и параметры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Документированные лимиты (запросов/мин)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Заголовки лимитов в ответе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Формат дат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Ключ уникальности записи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Наличие персональных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Ограничения условий использования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bm_8_критерии_оценивания_100_бал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Критерии оценивания (100 баллов)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Баллы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Работоспособность и воспроизводимость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Блокнот исполняется «сверху вниз» в чистом окружении,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README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достаточен для повтора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Корректность пагинации и объём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300 записей, ≥ 3 страницы, нет пропусков и дубликатов страниц, есть предохранитель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Обработка ошибок и лимитов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Повторы только для 429/5xx, backoff,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Retry-After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таймауты, журнал запросов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Нормализация и обогащение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json_normalize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record_path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корректный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merge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осмысленная итоговая схема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Качество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полноты, дедупликация, типизация, проверки бизнес-логики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Инкрементальность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Повторный запуск не дублирует данные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No-code реализация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Рабочий workflow, экспорт, преобразования, обработка ошибки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Сравнение и обоснование выбора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заполнена измеренными значениями, вывод аргументирован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Правовой и этический раздел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Условия использования, персональные данные, 152-ФЗ, срок хранения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Оформление отчёта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Структура, читаемость, ссылки на источники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Штрафы:</w:t>
      </w:r>
      <w:r>
        <w:rPr>
          <w:rFonts w:eastAsia="source serif 4" w:cs="source serif 4" w:ascii="source serif 4" w:hAnsi="source serif 4"/>
          <w:color w:val="000000"/>
        </w:rPr>
        <w:t xml:space="preserve"> секрет в коде или репозитории — −15;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try/except: pass</w:t>
      </w:r>
      <w:r>
        <w:rPr>
          <w:rFonts w:eastAsia="source serif 4" w:cs="source serif 4" w:ascii="source serif 4" w:hAnsi="source serif 4"/>
          <w:color w:val="000000"/>
        </w:rPr>
        <w:t xml:space="preserve"> или подавленные ошибки — −10; отсутствие таймаутов — −5; сбор без паузы между запросами — −5; сдача после срока — −10 за каждую неделю.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Шкала:</w:t>
      </w:r>
      <w:r>
        <w:rPr>
          <w:rFonts w:eastAsia="source serif 4" w:cs="source serif 4" w:ascii="source serif 4" w:hAnsi="source serif 4"/>
          <w:color w:val="000000"/>
        </w:rPr>
        <w:t xml:space="preserve"> 85–100 — «отлично», 70–84 — «хорошо», 55–69 — «удовлетворительно», &lt; 55 — на доработку.</w:t>
      </w:r>
    </w:p>
    <w:p>
      <w:pPr>
        <w:spacing w:line="360" w:before="315" w:after="105" w:lineRule="auto"/>
        <w:ind w:left="-30"/>
        <w:jc w:val="left"/>
      </w:pPr>
      <w:bookmarkStart w:id="13" w:name="bm_9_задания_повышенной_сложности_aa9e7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Задания повышенной сложности (до +10 баллов сверх шкалы)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Условные запросы: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сохранить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ETag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Last-Modified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на повторном прогоне добиться ответа 304 с замером экономии трафика.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Параллельный сбор: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concurrent.futures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aiohttp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соблюдением общего лимита; замер ускорения и доказательство отсутствия 429.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Валидация схемы: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описать модель записи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pydantic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отправлять невалидные записи в отдельный файл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rejects.jsonl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GraphQL: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решить ту же задачу через GraphQL-эндпоинт (например, GitHub) и сравнить число запросов и объём переданных данных с REST-вариантом.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Хранение и расписание: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загрузить данные в SQLite/PostgreSQL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UPSERT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ключу и настроить ежедневный запуск (cron или Schedule Trigger в n8n).</w:t>
      </w:r>
    </w:p>
    <w:p>
      <w:pPr>
        <w:spacing w:line="360" w:before="315" w:after="105" w:lineRule="auto"/>
        <w:ind w:left="-30"/>
        <w:jc w:val="left"/>
      </w:pPr>
      <w:bookmarkStart w:id="14" w:name="bm_10_материалы_для_подготов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Материалы для подготовки</w:t>
      </w:r>
      <w:bookmarkEnd w:id="14"/>
    </w:p>
    <w:p>
      <w:pPr>
        <w:numPr>
          <w:ilvl w:val="0"/>
          <w:numId w:val="5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RFC 9110 — семантика HTTP, методы и коды состояния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RFC 8259 — формат JSON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pandas.json_normalize — документация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Requests: Advanced Usage — сессии, таймауты, повторы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GitHub REST API: пагинация через Link-заголовки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GitHub REST API: лимиты запросов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OAuth 2.0, поток client credentials (RFC 6749, §4.4)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n8n: узел HTTP Request и пагинация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Zapier: работа с вебхуками в Zap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GraphQL: основы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152-ФЗ «О персональных данных»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Базовые шаблоны кода (сессия,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get_json</w:t>
      </w:r>
      <w:r>
        <w:rPr>
          <w:rFonts w:eastAsia="source serif 4" w:cs="source serif 4" w:ascii="source serif 4" w:hAnsi="source serif 4"/>
          <w:color w:val="000000"/>
        </w:rPr>
        <w:t xml:space="preserve">, пагинация, ограничитель скорости, файл состояния) берутся из демонстрационного блокнота занятия 3 — их разрешено и рекомендуется переиспользовать, адаптировав под свой вариант.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ummyjson.com/docs/products" TargetMode="External"/><Relationship Id="rId6" Type="http://schemas.openxmlformats.org/officeDocument/2006/relationships/hyperlink" Target="https://open-meteo.com/en/docs" TargetMode="External"/><Relationship Id="rId7" Type="http://schemas.openxmlformats.org/officeDocument/2006/relationships/hyperlink" Target="https://docs.github.com/en/rest/issues/issues" TargetMode="External"/><Relationship Id="rId8" Type="http://schemas.openxmlformats.org/officeDocument/2006/relationships/hyperlink" Target="https://docs.github.com/en/rest/repos/repos" TargetMode="External"/><Relationship Id="rId9" Type="http://schemas.openxmlformats.org/officeDocument/2006/relationships/hyperlink" Target="https://openlibrary.org/dev/docs/api/search" TargetMode="External"/><Relationship Id="rId10" Type="http://schemas.openxmlformats.org/officeDocument/2006/relationships/hyperlink" Target="https://openlibrary.org/dev/docs/api/authors" TargetMode="External"/><Relationship Id="rId11" Type="http://schemas.openxmlformats.org/officeDocument/2006/relationships/hyperlink" Target="https://dummyjson.com/docs/posts" TargetMode="External"/><Relationship Id="rId12" Type="http://schemas.openxmlformats.org/officeDocument/2006/relationships/hyperlink" Target="https://dummyjson.com/docs/users" TargetMode="External"/><Relationship Id="rId13" Type="http://schemas.openxmlformats.org/officeDocument/2006/relationships/hyperlink" Target="https://docs.coingecko.com/reference/coins-markets" TargetMode="External"/><Relationship Id="rId14" Type="http://schemas.openxmlformats.org/officeDocument/2006/relationships/hyperlink" Target="https://docs.coingecko.com/reference/coins-id-market-chart" TargetMode="External"/><Relationship Id="rId15" Type="http://schemas.openxmlformats.org/officeDocument/2006/relationships/hyperlink" Target="https://jsonplaceholder.typicode.com/" TargetMode="External"/><Relationship Id="rId16" Type="http://schemas.openxmlformats.org/officeDocument/2006/relationships/hyperlink" Target="https://restcountries.com/" TargetMode="External"/><Relationship Id="rId17" Type="http://schemas.openxmlformats.org/officeDocument/2006/relationships/hyperlink" Target="https://datahelpdesk.worldbank.org/knowledgebase/articles/889392" TargetMode="External"/><Relationship Id="rId18" Type="http://schemas.openxmlformats.org/officeDocument/2006/relationships/hyperlink" Target="https://www.rfc-editor.org/rfc/rfc9110.html" TargetMode="External"/><Relationship Id="rId19" Type="http://schemas.openxmlformats.org/officeDocument/2006/relationships/hyperlink" Target="https://www.rfc-editor.org/rfc/rfc8259" TargetMode="External"/><Relationship Id="rId20" Type="http://schemas.openxmlformats.org/officeDocument/2006/relationships/hyperlink" Target="https://pandas.pydata.org/docs/reference/api/pandas.json_normalize.html" TargetMode="External"/><Relationship Id="rId21" Type="http://schemas.openxmlformats.org/officeDocument/2006/relationships/hyperlink" Target="https://requests.readthedocs.io/en/latest/user/advanced/" TargetMode="External"/><Relationship Id="rId22" Type="http://schemas.openxmlformats.org/officeDocument/2006/relationships/hyperlink" Target="https://docs.github.com/en/rest/using-the-rest-api/using-pagination-in-the-rest-api" TargetMode="External"/><Relationship Id="rId23" Type="http://schemas.openxmlformats.org/officeDocument/2006/relationships/hyperlink" Target="https://docs.github.com/en/rest/using-the-rest-api/rate-limits-for-the-rest-api" TargetMode="External"/><Relationship Id="rId24" Type="http://schemas.openxmlformats.org/officeDocument/2006/relationships/hyperlink" Target="https://www.rfc-editor.org/rfc/rfc6749#section-4.4" TargetMode="External"/><Relationship Id="rId25" Type="http://schemas.openxmlformats.org/officeDocument/2006/relationships/hyperlink" Target="https://docs.n8n.io/integrations/builtin/core-nodes/n8n-nodes-base.httprequest/" TargetMode="External"/><Relationship Id="rId26" Type="http://schemas.openxmlformats.org/officeDocument/2006/relationships/hyperlink" Target="https://help.zapier.com/hc/en-us/articles/8496288690317-Send-webhooks-in-Zaps" TargetMode="External"/><Relationship Id="rId27" Type="http://schemas.openxmlformats.org/officeDocument/2006/relationships/hyperlink" Target="https://graphql.org/learn/" TargetMode="External"/><Relationship Id="rId28" Type="http://schemas.openxmlformats.org/officeDocument/2006/relationships/hyperlink" Target="http://www.consultant.ru/document/cons_doc_LAW_6180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2026-09-22T09:24:13.746Z</dcterms:created>
  <dcterms:modified xsi:type="dcterms:W3CDTF">2026-09-22T09:24:13.746Z</dcterms:modified>
</cp:coreProperties>
</file>