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DA051" w14:textId="77777777" w:rsidR="00F917F0" w:rsidRDefault="00F917F0" w:rsidP="00B75BD9">
      <w:pPr>
        <w:spacing w:after="0"/>
        <w:rPr>
          <w:sz w:val="20"/>
          <w:szCs w:val="20"/>
        </w:rPr>
      </w:pPr>
    </w:p>
    <w:p w14:paraId="2401FEC1" w14:textId="51F01067" w:rsidR="00040C99" w:rsidRPr="00040C99" w:rsidRDefault="00040C99" w:rsidP="00040C99">
      <w:pPr>
        <w:spacing w:after="0"/>
        <w:rPr>
          <w:rFonts w:asciiTheme="minorHAnsi" w:hAnsiTheme="minorHAnsi" w:cstheme="minorHAnsi"/>
          <w:b/>
          <w:bCs/>
          <w:sz w:val="32"/>
          <w:szCs w:val="32"/>
        </w:rPr>
      </w:pPr>
      <w:r w:rsidRPr="00040C99">
        <w:rPr>
          <w:rFonts w:asciiTheme="minorHAnsi" w:hAnsiTheme="minorHAnsi" w:cstheme="minorHAnsi"/>
          <w:b/>
          <w:bCs/>
          <w:sz w:val="32"/>
          <w:szCs w:val="32"/>
        </w:rPr>
        <w:t>ANEXO</w:t>
      </w:r>
    </w:p>
    <w:p w14:paraId="01B217EA" w14:textId="77777777" w:rsidR="00040C99" w:rsidRPr="00040C99" w:rsidRDefault="00040C99" w:rsidP="00040C99">
      <w:pPr>
        <w:spacing w:after="0"/>
        <w:rPr>
          <w:rFonts w:asciiTheme="minorHAnsi" w:hAnsiTheme="minorHAnsi" w:cstheme="minorHAnsi"/>
          <w:b/>
          <w:bCs/>
          <w:sz w:val="32"/>
          <w:szCs w:val="32"/>
        </w:rPr>
      </w:pPr>
    </w:p>
    <w:p w14:paraId="7B9701E9" w14:textId="77777777" w:rsidR="00040C99" w:rsidRPr="00040C99" w:rsidRDefault="00040C99" w:rsidP="00040C99">
      <w:pPr>
        <w:spacing w:after="0"/>
        <w:rPr>
          <w:rFonts w:asciiTheme="minorHAnsi" w:hAnsiTheme="minorHAnsi" w:cstheme="minorHAnsi"/>
          <w:sz w:val="32"/>
          <w:szCs w:val="32"/>
        </w:rPr>
      </w:pPr>
      <w:r w:rsidRPr="00040C99">
        <w:rPr>
          <w:rFonts w:asciiTheme="minorHAnsi" w:hAnsiTheme="minorHAnsi" w:cstheme="minorHAnsi"/>
          <w:sz w:val="32"/>
          <w:szCs w:val="32"/>
        </w:rPr>
        <w:t xml:space="preserve">OBJETIVOS DE DESARROLLO SOSTENIBLE                       </w:t>
      </w:r>
    </w:p>
    <w:p w14:paraId="588C1F5D" w14:textId="284C0CFA" w:rsidR="003D14DF" w:rsidRDefault="003D14DF" w:rsidP="003D14DF">
      <w:pPr>
        <w:spacing w:after="0"/>
        <w:rPr>
          <w:sz w:val="22"/>
          <w:szCs w:val="20"/>
          <w:lang w:val="es-ES"/>
        </w:rPr>
      </w:pPr>
    </w:p>
    <w:p w14:paraId="641BE09A" w14:textId="77777777" w:rsidR="00040C99" w:rsidRDefault="00040C99" w:rsidP="00040C99">
      <w:pPr>
        <w:spacing w:after="0"/>
        <w:ind w:right="-149"/>
        <w:rPr>
          <w:rFonts w:asciiTheme="minorHAnsi" w:eastAsiaTheme="minorHAnsi" w:hAnsiTheme="minorHAnsi" w:cstheme="minorHAnsi"/>
          <w:lang w:val="es-ES"/>
        </w:rPr>
      </w:pPr>
    </w:p>
    <w:p w14:paraId="5C0F3304" w14:textId="347ABFC6" w:rsidR="00040C99" w:rsidRPr="00040C99" w:rsidRDefault="00040C99" w:rsidP="00040C99">
      <w:pPr>
        <w:spacing w:after="0"/>
        <w:ind w:right="-149"/>
        <w:rPr>
          <w:rFonts w:asciiTheme="minorHAnsi" w:eastAsiaTheme="minorHAnsi" w:hAnsiTheme="minorHAnsi" w:cstheme="minorHAnsi"/>
          <w:lang w:val="es-ES"/>
        </w:rPr>
      </w:pPr>
      <w:r w:rsidRPr="00040C99">
        <w:rPr>
          <w:rFonts w:asciiTheme="minorHAnsi" w:eastAsiaTheme="minorHAnsi" w:hAnsiTheme="minorHAnsi" w:cstheme="minorHAnsi"/>
          <w:lang w:val="es-ES"/>
        </w:rPr>
        <w:t>Grado de relación del trabajo con los Objetivos de Desarrollo Sostenible (ODS).</w:t>
      </w:r>
    </w:p>
    <w:p w14:paraId="4E24FEF0" w14:textId="77777777" w:rsidR="00040C99" w:rsidRPr="00040C99" w:rsidRDefault="00040C99" w:rsidP="00040C99">
      <w:pPr>
        <w:spacing w:after="0"/>
        <w:rPr>
          <w:rFonts w:asciiTheme="minorHAnsi" w:eastAsiaTheme="minorHAnsi" w:hAnsiTheme="minorHAnsi" w:cstheme="minorHAnsi"/>
          <w:lang w:val="es-ES"/>
        </w:rPr>
      </w:pPr>
    </w:p>
    <w:tbl>
      <w:tblPr>
        <w:tblStyle w:val="Tablaconcuadrcula1"/>
        <w:tblW w:w="8647" w:type="dxa"/>
        <w:tblInd w:w="-5" w:type="dxa"/>
        <w:tblLayout w:type="fixed"/>
        <w:tblLook w:val="04A0" w:firstRow="1" w:lastRow="0" w:firstColumn="1" w:lastColumn="0" w:noHBand="0" w:noVBand="1"/>
      </w:tblPr>
      <w:tblGrid>
        <w:gridCol w:w="5103"/>
        <w:gridCol w:w="886"/>
        <w:gridCol w:w="886"/>
        <w:gridCol w:w="886"/>
        <w:gridCol w:w="886"/>
      </w:tblGrid>
      <w:tr w:rsidR="00040C99" w:rsidRPr="00040C99" w14:paraId="78164359" w14:textId="77777777" w:rsidTr="003A17AF">
        <w:tc>
          <w:tcPr>
            <w:tcW w:w="5103" w:type="dxa"/>
          </w:tcPr>
          <w:p w14:paraId="7C5518E5" w14:textId="77777777" w:rsidR="00040C99" w:rsidRPr="00040C99" w:rsidRDefault="00040C99" w:rsidP="00040C99">
            <w:pPr>
              <w:spacing w:before="60" w:after="60"/>
              <w:rPr>
                <w:rFonts w:asciiTheme="minorHAnsi" w:hAnsiTheme="minorHAnsi" w:cstheme="minorHAnsi"/>
                <w:b/>
                <w:sz w:val="22"/>
                <w:lang w:val="es-ES"/>
              </w:rPr>
            </w:pPr>
            <w:r w:rsidRPr="00040C99">
              <w:rPr>
                <w:rFonts w:asciiTheme="minorHAnsi" w:hAnsiTheme="minorHAnsi" w:cstheme="minorHAnsi"/>
                <w:b/>
                <w:sz w:val="22"/>
                <w:lang w:val="es-ES"/>
              </w:rPr>
              <w:t>Objetivos de Desarrollo Sostenibles</w:t>
            </w:r>
          </w:p>
        </w:tc>
        <w:tc>
          <w:tcPr>
            <w:tcW w:w="886" w:type="dxa"/>
          </w:tcPr>
          <w:p w14:paraId="67A915FB" w14:textId="77777777" w:rsidR="00040C99" w:rsidRPr="00040C99" w:rsidRDefault="00040C99" w:rsidP="00040C99">
            <w:pPr>
              <w:spacing w:before="60" w:after="60"/>
              <w:jc w:val="center"/>
              <w:rPr>
                <w:rFonts w:asciiTheme="minorHAnsi" w:hAnsiTheme="minorHAnsi" w:cstheme="minorHAnsi"/>
                <w:b/>
                <w:sz w:val="18"/>
                <w:lang w:val="es-ES"/>
              </w:rPr>
            </w:pPr>
            <w:r w:rsidRPr="00040C99">
              <w:rPr>
                <w:rFonts w:asciiTheme="minorHAnsi" w:hAnsiTheme="minorHAnsi" w:cstheme="minorHAnsi"/>
                <w:b/>
                <w:sz w:val="18"/>
                <w:lang w:val="es-ES"/>
              </w:rPr>
              <w:t>Alto</w:t>
            </w:r>
          </w:p>
        </w:tc>
        <w:tc>
          <w:tcPr>
            <w:tcW w:w="886" w:type="dxa"/>
          </w:tcPr>
          <w:p w14:paraId="5CBD23B6" w14:textId="77777777" w:rsidR="00040C99" w:rsidRPr="00040C99" w:rsidRDefault="00040C99" w:rsidP="00040C99">
            <w:pPr>
              <w:spacing w:before="60" w:after="60"/>
              <w:jc w:val="center"/>
              <w:rPr>
                <w:rFonts w:asciiTheme="minorHAnsi" w:hAnsiTheme="minorHAnsi" w:cstheme="minorHAnsi"/>
                <w:b/>
                <w:sz w:val="18"/>
                <w:lang w:val="es-ES"/>
              </w:rPr>
            </w:pPr>
            <w:r w:rsidRPr="00040C99">
              <w:rPr>
                <w:rFonts w:asciiTheme="minorHAnsi" w:hAnsiTheme="minorHAnsi" w:cstheme="minorHAnsi"/>
                <w:b/>
                <w:sz w:val="18"/>
                <w:lang w:val="es-ES"/>
              </w:rPr>
              <w:t>Medio</w:t>
            </w:r>
          </w:p>
        </w:tc>
        <w:tc>
          <w:tcPr>
            <w:tcW w:w="886" w:type="dxa"/>
          </w:tcPr>
          <w:p w14:paraId="5F0FDBAD" w14:textId="77777777" w:rsidR="00040C99" w:rsidRPr="00040C99" w:rsidRDefault="00040C99" w:rsidP="00040C99">
            <w:pPr>
              <w:spacing w:before="60" w:after="60"/>
              <w:jc w:val="center"/>
              <w:rPr>
                <w:rFonts w:asciiTheme="minorHAnsi" w:hAnsiTheme="minorHAnsi" w:cstheme="minorHAnsi"/>
                <w:b/>
                <w:sz w:val="18"/>
                <w:lang w:val="es-ES"/>
              </w:rPr>
            </w:pPr>
            <w:r w:rsidRPr="00040C99">
              <w:rPr>
                <w:rFonts w:asciiTheme="minorHAnsi" w:hAnsiTheme="minorHAnsi" w:cstheme="minorHAnsi"/>
                <w:b/>
                <w:sz w:val="18"/>
                <w:lang w:val="es-ES"/>
              </w:rPr>
              <w:t>Bajo</w:t>
            </w:r>
          </w:p>
        </w:tc>
        <w:tc>
          <w:tcPr>
            <w:tcW w:w="886" w:type="dxa"/>
          </w:tcPr>
          <w:p w14:paraId="7E6B5E86" w14:textId="77777777" w:rsidR="00040C99" w:rsidRPr="00040C99" w:rsidRDefault="00040C99" w:rsidP="00040C99">
            <w:pPr>
              <w:spacing w:before="60" w:after="60"/>
              <w:jc w:val="center"/>
              <w:rPr>
                <w:rFonts w:asciiTheme="minorHAnsi" w:hAnsiTheme="minorHAnsi" w:cstheme="minorHAnsi"/>
                <w:b/>
                <w:sz w:val="18"/>
                <w:lang w:val="es-ES"/>
              </w:rPr>
            </w:pPr>
            <w:r w:rsidRPr="00040C99">
              <w:rPr>
                <w:rFonts w:asciiTheme="minorHAnsi" w:hAnsiTheme="minorHAnsi" w:cstheme="minorHAnsi"/>
                <w:b/>
                <w:sz w:val="18"/>
                <w:lang w:val="es-ES"/>
              </w:rPr>
              <w:t>No Procede</w:t>
            </w:r>
          </w:p>
        </w:tc>
      </w:tr>
      <w:tr w:rsidR="00040C99" w:rsidRPr="00040C99" w14:paraId="000A1125" w14:textId="77777777" w:rsidTr="003A17AF">
        <w:tc>
          <w:tcPr>
            <w:tcW w:w="5103" w:type="dxa"/>
          </w:tcPr>
          <w:p w14:paraId="0922932A"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Fin de la pobreza.</w:t>
            </w:r>
            <w:r w:rsidRPr="00040C99">
              <w:rPr>
                <w:rFonts w:asciiTheme="minorHAnsi" w:hAnsiTheme="minorHAnsi" w:cstheme="minorHAnsi"/>
                <w:sz w:val="22"/>
                <w:lang w:val="es-ES"/>
              </w:rPr>
              <w:t xml:space="preserve"> </w:t>
            </w:r>
          </w:p>
        </w:tc>
        <w:tc>
          <w:tcPr>
            <w:tcW w:w="886" w:type="dxa"/>
          </w:tcPr>
          <w:p w14:paraId="0E74600B"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19538CD"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74B0C9CA"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3D3A48DD"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47951162" w14:textId="77777777" w:rsidTr="003A17AF">
        <w:tc>
          <w:tcPr>
            <w:tcW w:w="5103" w:type="dxa"/>
          </w:tcPr>
          <w:p w14:paraId="1D40572A"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Hambre cero.</w:t>
            </w:r>
            <w:r w:rsidRPr="00040C99">
              <w:rPr>
                <w:rFonts w:asciiTheme="minorHAnsi" w:hAnsiTheme="minorHAnsi" w:cstheme="minorHAnsi"/>
                <w:sz w:val="22"/>
                <w:lang w:val="es-ES"/>
              </w:rPr>
              <w:t xml:space="preserve"> </w:t>
            </w:r>
          </w:p>
        </w:tc>
        <w:tc>
          <w:tcPr>
            <w:tcW w:w="886" w:type="dxa"/>
          </w:tcPr>
          <w:p w14:paraId="485CABDE"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63A4150"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3E84F7D"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23E3572"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28F94EF5" w14:textId="77777777" w:rsidTr="003A17AF">
        <w:tc>
          <w:tcPr>
            <w:tcW w:w="5103" w:type="dxa"/>
          </w:tcPr>
          <w:p w14:paraId="3CC8B491"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Salud y bienestar.</w:t>
            </w:r>
            <w:r w:rsidRPr="00040C99">
              <w:rPr>
                <w:rFonts w:asciiTheme="minorHAnsi" w:hAnsiTheme="minorHAnsi" w:cstheme="minorHAnsi"/>
                <w:sz w:val="22"/>
                <w:lang w:val="es-ES"/>
              </w:rPr>
              <w:t xml:space="preserve"> </w:t>
            </w:r>
          </w:p>
        </w:tc>
        <w:tc>
          <w:tcPr>
            <w:tcW w:w="886" w:type="dxa"/>
          </w:tcPr>
          <w:p w14:paraId="7AC401F4"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4C8BE154"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D503EBD"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7A83AFB9"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39F596A8" w14:textId="77777777" w:rsidTr="003A17AF">
        <w:tc>
          <w:tcPr>
            <w:tcW w:w="5103" w:type="dxa"/>
          </w:tcPr>
          <w:p w14:paraId="7F56E57E"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Educación de calidad.</w:t>
            </w:r>
            <w:r w:rsidRPr="00040C99">
              <w:rPr>
                <w:rFonts w:asciiTheme="minorHAnsi" w:hAnsiTheme="minorHAnsi" w:cstheme="minorHAnsi"/>
                <w:sz w:val="22"/>
                <w:lang w:val="es-ES"/>
              </w:rPr>
              <w:t xml:space="preserve"> </w:t>
            </w:r>
          </w:p>
        </w:tc>
        <w:tc>
          <w:tcPr>
            <w:tcW w:w="886" w:type="dxa"/>
          </w:tcPr>
          <w:p w14:paraId="43AF0078"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BB1D270"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5FE2DA2B"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c>
          <w:tcPr>
            <w:tcW w:w="886" w:type="dxa"/>
          </w:tcPr>
          <w:p w14:paraId="1CD88867" w14:textId="77777777" w:rsidR="00040C99" w:rsidRPr="00040C99" w:rsidRDefault="00040C99" w:rsidP="00040C99">
            <w:pPr>
              <w:spacing w:before="60" w:after="60"/>
              <w:rPr>
                <w:rFonts w:asciiTheme="minorHAnsi" w:hAnsiTheme="minorHAnsi" w:cstheme="minorHAnsi"/>
                <w:b/>
                <w:lang w:val="es-ES"/>
              </w:rPr>
            </w:pPr>
          </w:p>
        </w:tc>
      </w:tr>
      <w:tr w:rsidR="00040C99" w:rsidRPr="00040C99" w14:paraId="765A80DB" w14:textId="77777777" w:rsidTr="003A17AF">
        <w:tc>
          <w:tcPr>
            <w:tcW w:w="5103" w:type="dxa"/>
          </w:tcPr>
          <w:p w14:paraId="1DA19090"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 xml:space="preserve">Igualdad de género. </w:t>
            </w:r>
          </w:p>
        </w:tc>
        <w:tc>
          <w:tcPr>
            <w:tcW w:w="886" w:type="dxa"/>
          </w:tcPr>
          <w:p w14:paraId="5A339C82"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090809E9"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1470EB97"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4B0ABF52"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07150973" w14:textId="77777777" w:rsidTr="003A17AF">
        <w:tc>
          <w:tcPr>
            <w:tcW w:w="5103" w:type="dxa"/>
          </w:tcPr>
          <w:p w14:paraId="090E4A1F"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Agua limpia y saneamiento.</w:t>
            </w:r>
            <w:r w:rsidRPr="00040C99">
              <w:rPr>
                <w:rFonts w:asciiTheme="minorHAnsi" w:hAnsiTheme="minorHAnsi" w:cstheme="minorHAnsi"/>
                <w:sz w:val="22"/>
                <w:lang w:val="es-ES"/>
              </w:rPr>
              <w:t xml:space="preserve"> </w:t>
            </w:r>
          </w:p>
        </w:tc>
        <w:tc>
          <w:tcPr>
            <w:tcW w:w="886" w:type="dxa"/>
          </w:tcPr>
          <w:p w14:paraId="043E44C8"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63E16500"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58ECA19E"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09010477"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2C03602E" w14:textId="77777777" w:rsidTr="003A17AF">
        <w:tc>
          <w:tcPr>
            <w:tcW w:w="5103" w:type="dxa"/>
          </w:tcPr>
          <w:p w14:paraId="4D182771"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 xml:space="preserve">Energía asequible y no contaminante. </w:t>
            </w:r>
          </w:p>
        </w:tc>
        <w:tc>
          <w:tcPr>
            <w:tcW w:w="886" w:type="dxa"/>
          </w:tcPr>
          <w:p w14:paraId="32ADE967"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54DFD59B"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c>
          <w:tcPr>
            <w:tcW w:w="886" w:type="dxa"/>
          </w:tcPr>
          <w:p w14:paraId="2A127633"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14D42AB" w14:textId="77777777" w:rsidR="00040C99" w:rsidRPr="00040C99" w:rsidRDefault="00040C99" w:rsidP="00040C99">
            <w:pPr>
              <w:spacing w:before="60" w:after="60"/>
              <w:rPr>
                <w:rFonts w:asciiTheme="minorHAnsi" w:hAnsiTheme="minorHAnsi" w:cstheme="minorHAnsi"/>
                <w:b/>
                <w:lang w:val="es-ES"/>
              </w:rPr>
            </w:pPr>
          </w:p>
        </w:tc>
      </w:tr>
      <w:tr w:rsidR="00040C99" w:rsidRPr="00040C99" w14:paraId="1FC9127F" w14:textId="77777777" w:rsidTr="003A17AF">
        <w:tc>
          <w:tcPr>
            <w:tcW w:w="5103" w:type="dxa"/>
          </w:tcPr>
          <w:p w14:paraId="188D982F"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Trabajo decente y crecimiento económico.</w:t>
            </w:r>
            <w:r w:rsidRPr="00040C99">
              <w:rPr>
                <w:rFonts w:asciiTheme="minorHAnsi" w:hAnsiTheme="minorHAnsi" w:cstheme="minorHAnsi"/>
                <w:sz w:val="22"/>
                <w:lang w:val="es-ES"/>
              </w:rPr>
              <w:t xml:space="preserve"> </w:t>
            </w:r>
          </w:p>
        </w:tc>
        <w:tc>
          <w:tcPr>
            <w:tcW w:w="886" w:type="dxa"/>
          </w:tcPr>
          <w:p w14:paraId="0B1403E4"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19E5F9E1"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6AFDB1F"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4375F872"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504E211F" w14:textId="77777777" w:rsidTr="003A17AF">
        <w:tc>
          <w:tcPr>
            <w:tcW w:w="5103" w:type="dxa"/>
          </w:tcPr>
          <w:p w14:paraId="7FD746E2"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 xml:space="preserve">Industria, innovación e infraestructuras. </w:t>
            </w:r>
          </w:p>
        </w:tc>
        <w:tc>
          <w:tcPr>
            <w:tcW w:w="886" w:type="dxa"/>
          </w:tcPr>
          <w:p w14:paraId="00C74783"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780F265B"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c>
          <w:tcPr>
            <w:tcW w:w="886" w:type="dxa"/>
          </w:tcPr>
          <w:p w14:paraId="783F72FB"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352B1194" w14:textId="77777777" w:rsidR="00040C99" w:rsidRPr="00040C99" w:rsidRDefault="00040C99" w:rsidP="00040C99">
            <w:pPr>
              <w:spacing w:before="60" w:after="60"/>
              <w:rPr>
                <w:rFonts w:asciiTheme="minorHAnsi" w:hAnsiTheme="minorHAnsi" w:cstheme="minorHAnsi"/>
                <w:b/>
                <w:lang w:val="es-ES"/>
              </w:rPr>
            </w:pPr>
          </w:p>
        </w:tc>
      </w:tr>
      <w:tr w:rsidR="00040C99" w:rsidRPr="00040C99" w14:paraId="65A7F339" w14:textId="77777777" w:rsidTr="003A17AF">
        <w:tc>
          <w:tcPr>
            <w:tcW w:w="5103" w:type="dxa"/>
          </w:tcPr>
          <w:p w14:paraId="6059919A"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Reducción de las desigualdades</w:t>
            </w:r>
            <w:r w:rsidRPr="00040C99">
              <w:rPr>
                <w:rFonts w:asciiTheme="minorHAnsi" w:hAnsiTheme="minorHAnsi" w:cstheme="minorHAnsi"/>
                <w:sz w:val="22"/>
                <w:lang w:val="es-ES"/>
              </w:rPr>
              <w:t xml:space="preserve">. </w:t>
            </w:r>
          </w:p>
        </w:tc>
        <w:tc>
          <w:tcPr>
            <w:tcW w:w="886" w:type="dxa"/>
          </w:tcPr>
          <w:p w14:paraId="6733BE00"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470CE5E8"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54DCE24D"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38E288D4"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3EA44B5E" w14:textId="77777777" w:rsidTr="003A17AF">
        <w:tc>
          <w:tcPr>
            <w:tcW w:w="5103" w:type="dxa"/>
          </w:tcPr>
          <w:p w14:paraId="772AB31C"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Ciudades y comunidades sostenibles</w:t>
            </w:r>
            <w:r w:rsidRPr="00040C99">
              <w:rPr>
                <w:rFonts w:asciiTheme="minorHAnsi" w:hAnsiTheme="minorHAnsi" w:cstheme="minorHAnsi"/>
                <w:sz w:val="22"/>
                <w:lang w:val="es-ES"/>
              </w:rPr>
              <w:t xml:space="preserve">. </w:t>
            </w:r>
          </w:p>
        </w:tc>
        <w:tc>
          <w:tcPr>
            <w:tcW w:w="886" w:type="dxa"/>
          </w:tcPr>
          <w:p w14:paraId="3C263E78"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23760D4"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418A79AF"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786B1227"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0F46641C" w14:textId="77777777" w:rsidTr="003A17AF">
        <w:tc>
          <w:tcPr>
            <w:tcW w:w="5103" w:type="dxa"/>
          </w:tcPr>
          <w:p w14:paraId="3FEC2FE3"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 xml:space="preserve">Producción y consumo responsables. </w:t>
            </w:r>
          </w:p>
        </w:tc>
        <w:tc>
          <w:tcPr>
            <w:tcW w:w="886" w:type="dxa"/>
          </w:tcPr>
          <w:p w14:paraId="62F5F007"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10063136"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c>
          <w:tcPr>
            <w:tcW w:w="886" w:type="dxa"/>
          </w:tcPr>
          <w:p w14:paraId="589A90F9"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3CB88EAD" w14:textId="77777777" w:rsidR="00040C99" w:rsidRPr="00040C99" w:rsidRDefault="00040C99" w:rsidP="00040C99">
            <w:pPr>
              <w:spacing w:before="60" w:after="60"/>
              <w:rPr>
                <w:rFonts w:asciiTheme="minorHAnsi" w:hAnsiTheme="minorHAnsi" w:cstheme="minorHAnsi"/>
                <w:b/>
                <w:lang w:val="es-ES"/>
              </w:rPr>
            </w:pPr>
          </w:p>
        </w:tc>
      </w:tr>
      <w:tr w:rsidR="00040C99" w:rsidRPr="00040C99" w14:paraId="58E98102" w14:textId="77777777" w:rsidTr="003A17AF">
        <w:tc>
          <w:tcPr>
            <w:tcW w:w="5103" w:type="dxa"/>
          </w:tcPr>
          <w:p w14:paraId="1A7B30CF"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 xml:space="preserve">Acción por el clima. </w:t>
            </w:r>
          </w:p>
        </w:tc>
        <w:tc>
          <w:tcPr>
            <w:tcW w:w="886" w:type="dxa"/>
          </w:tcPr>
          <w:p w14:paraId="030C363E"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06898F1E"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664413EB"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c>
          <w:tcPr>
            <w:tcW w:w="886" w:type="dxa"/>
          </w:tcPr>
          <w:p w14:paraId="5CBCFAAC" w14:textId="77777777" w:rsidR="00040C99" w:rsidRPr="00040C99" w:rsidRDefault="00040C99" w:rsidP="00040C99">
            <w:pPr>
              <w:spacing w:before="60" w:after="60"/>
              <w:rPr>
                <w:rFonts w:asciiTheme="minorHAnsi" w:hAnsiTheme="minorHAnsi" w:cstheme="minorHAnsi"/>
                <w:b/>
                <w:lang w:val="es-ES"/>
              </w:rPr>
            </w:pPr>
          </w:p>
        </w:tc>
      </w:tr>
      <w:tr w:rsidR="00040C99" w:rsidRPr="00040C99" w14:paraId="4C84C0C6" w14:textId="77777777" w:rsidTr="003A17AF">
        <w:tc>
          <w:tcPr>
            <w:tcW w:w="5103" w:type="dxa"/>
          </w:tcPr>
          <w:p w14:paraId="1107127B"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 xml:space="preserve">Vida submarina. </w:t>
            </w:r>
          </w:p>
        </w:tc>
        <w:tc>
          <w:tcPr>
            <w:tcW w:w="886" w:type="dxa"/>
          </w:tcPr>
          <w:p w14:paraId="575CA99C"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18E3B6F7"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72EEEDC8"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5324F982"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71C080C0" w14:textId="77777777" w:rsidTr="003A17AF">
        <w:tc>
          <w:tcPr>
            <w:tcW w:w="5103" w:type="dxa"/>
          </w:tcPr>
          <w:p w14:paraId="1BE44FE3"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Vida de ecosistemas terrestres.</w:t>
            </w:r>
            <w:r w:rsidRPr="00040C99">
              <w:rPr>
                <w:rFonts w:asciiTheme="minorHAnsi" w:hAnsiTheme="minorHAnsi" w:cstheme="minorHAnsi"/>
                <w:sz w:val="22"/>
                <w:lang w:val="es-ES"/>
              </w:rPr>
              <w:t xml:space="preserve"> </w:t>
            </w:r>
          </w:p>
        </w:tc>
        <w:tc>
          <w:tcPr>
            <w:tcW w:w="886" w:type="dxa"/>
          </w:tcPr>
          <w:p w14:paraId="20D976C8"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51AE9CCA"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32C1CBD3"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4FB51A58"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4D5457E9" w14:textId="77777777" w:rsidTr="003A17AF">
        <w:tc>
          <w:tcPr>
            <w:tcW w:w="5103" w:type="dxa"/>
          </w:tcPr>
          <w:p w14:paraId="01183D57"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Paz, justicia e instituciones sólidas.</w:t>
            </w:r>
            <w:r w:rsidRPr="00040C99">
              <w:rPr>
                <w:rFonts w:asciiTheme="minorHAnsi" w:hAnsiTheme="minorHAnsi" w:cstheme="minorHAnsi"/>
                <w:sz w:val="22"/>
                <w:lang w:val="es-ES"/>
              </w:rPr>
              <w:t xml:space="preserve"> </w:t>
            </w:r>
          </w:p>
        </w:tc>
        <w:tc>
          <w:tcPr>
            <w:tcW w:w="886" w:type="dxa"/>
          </w:tcPr>
          <w:p w14:paraId="19F5E230"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08F30C08"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6F213D8C"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6943139D"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r w:rsidR="00040C99" w:rsidRPr="00040C99" w14:paraId="4AB981F5" w14:textId="77777777" w:rsidTr="003A17AF">
        <w:tc>
          <w:tcPr>
            <w:tcW w:w="5103" w:type="dxa"/>
          </w:tcPr>
          <w:p w14:paraId="37BD525F" w14:textId="77777777" w:rsidR="00040C99" w:rsidRPr="00040C99" w:rsidRDefault="00040C99" w:rsidP="00040C99">
            <w:pPr>
              <w:numPr>
                <w:ilvl w:val="0"/>
                <w:numId w:val="3"/>
              </w:numPr>
              <w:spacing w:before="60" w:after="60"/>
              <w:ind w:left="879" w:hanging="879"/>
              <w:contextualSpacing/>
              <w:rPr>
                <w:rFonts w:asciiTheme="minorHAnsi" w:hAnsiTheme="minorHAnsi" w:cstheme="minorHAnsi"/>
                <w:sz w:val="22"/>
                <w:lang w:val="es-ES"/>
              </w:rPr>
            </w:pPr>
            <w:r w:rsidRPr="00040C99">
              <w:rPr>
                <w:rFonts w:asciiTheme="minorHAnsi" w:hAnsiTheme="minorHAnsi" w:cstheme="minorHAnsi"/>
                <w:b/>
                <w:sz w:val="22"/>
                <w:lang w:val="es-ES"/>
              </w:rPr>
              <w:t>Alianzas para lograr objetivos.</w:t>
            </w:r>
            <w:r w:rsidRPr="00040C99">
              <w:rPr>
                <w:rFonts w:asciiTheme="minorHAnsi" w:hAnsiTheme="minorHAnsi" w:cstheme="minorHAnsi"/>
                <w:sz w:val="22"/>
                <w:lang w:val="es-ES"/>
              </w:rPr>
              <w:t xml:space="preserve"> </w:t>
            </w:r>
          </w:p>
        </w:tc>
        <w:tc>
          <w:tcPr>
            <w:tcW w:w="886" w:type="dxa"/>
          </w:tcPr>
          <w:p w14:paraId="750DE059"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3064AE5E"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218225B1" w14:textId="77777777" w:rsidR="00040C99" w:rsidRPr="00040C99" w:rsidRDefault="00040C99" w:rsidP="00040C99">
            <w:pPr>
              <w:spacing w:before="60" w:after="60"/>
              <w:rPr>
                <w:rFonts w:asciiTheme="minorHAnsi" w:hAnsiTheme="minorHAnsi" w:cstheme="minorHAnsi"/>
                <w:b/>
                <w:lang w:val="es-ES"/>
              </w:rPr>
            </w:pPr>
          </w:p>
        </w:tc>
        <w:tc>
          <w:tcPr>
            <w:tcW w:w="886" w:type="dxa"/>
          </w:tcPr>
          <w:p w14:paraId="18ECAD1A" w14:textId="77777777" w:rsidR="00040C99" w:rsidRPr="00040C99" w:rsidRDefault="00040C99" w:rsidP="00040C99">
            <w:pPr>
              <w:spacing w:before="60" w:after="60"/>
              <w:jc w:val="center"/>
              <w:rPr>
                <w:rFonts w:asciiTheme="minorHAnsi" w:hAnsiTheme="minorHAnsi" w:cstheme="minorHAnsi"/>
                <w:b/>
                <w:lang w:val="es-ES"/>
              </w:rPr>
            </w:pPr>
            <w:r>
              <w:rPr>
                <w:rFonts w:asciiTheme="minorHAnsi" w:hAnsiTheme="minorHAnsi" w:cstheme="minorHAnsi"/>
                <w:b/>
                <w:lang w:val="es-ES"/>
              </w:rPr>
              <w:t>X</w:t>
            </w:r>
          </w:p>
        </w:tc>
      </w:tr>
    </w:tbl>
    <w:p w14:paraId="49BB60BB" w14:textId="77777777" w:rsidR="00040C99" w:rsidRPr="00040C99" w:rsidRDefault="00040C99" w:rsidP="00040C99">
      <w:pPr>
        <w:spacing w:after="0"/>
        <w:contextualSpacing/>
        <w:rPr>
          <w:rFonts w:asciiTheme="minorHAnsi" w:eastAsiaTheme="minorHAnsi" w:hAnsiTheme="minorHAnsi" w:cstheme="minorHAnsi"/>
          <w:lang w:val="es-ES"/>
        </w:rPr>
      </w:pPr>
    </w:p>
    <w:p w14:paraId="089AA9AB" w14:textId="1C844D56" w:rsidR="00040C99" w:rsidRDefault="00040C99" w:rsidP="003D14DF">
      <w:pPr>
        <w:spacing w:after="0"/>
        <w:rPr>
          <w:sz w:val="22"/>
          <w:szCs w:val="20"/>
          <w:lang w:val="es-ES"/>
        </w:rPr>
      </w:pPr>
    </w:p>
    <w:p w14:paraId="1A97AA78" w14:textId="47738959" w:rsidR="00040C99" w:rsidRDefault="00040C99" w:rsidP="003D14DF">
      <w:pPr>
        <w:spacing w:after="0"/>
        <w:rPr>
          <w:sz w:val="22"/>
          <w:szCs w:val="20"/>
          <w:lang w:val="es-ES"/>
        </w:rPr>
      </w:pPr>
    </w:p>
    <w:p w14:paraId="3668E74F" w14:textId="717EA294" w:rsidR="00040C99" w:rsidRDefault="00040C99" w:rsidP="003D14DF">
      <w:pPr>
        <w:spacing w:after="0"/>
        <w:rPr>
          <w:sz w:val="22"/>
          <w:szCs w:val="20"/>
          <w:lang w:val="es-ES"/>
        </w:rPr>
      </w:pPr>
    </w:p>
    <w:p w14:paraId="223002A6" w14:textId="26E26FF3" w:rsidR="00040C99" w:rsidRDefault="00040C99" w:rsidP="003D14DF">
      <w:pPr>
        <w:spacing w:after="0"/>
        <w:rPr>
          <w:sz w:val="22"/>
          <w:szCs w:val="20"/>
          <w:lang w:val="es-ES"/>
        </w:rPr>
      </w:pPr>
    </w:p>
    <w:p w14:paraId="57ED885B" w14:textId="4E94E50C" w:rsidR="00040C99" w:rsidRDefault="00040C99" w:rsidP="003D14DF">
      <w:pPr>
        <w:spacing w:after="0"/>
        <w:rPr>
          <w:sz w:val="22"/>
          <w:szCs w:val="20"/>
          <w:lang w:val="es-ES"/>
        </w:rPr>
      </w:pPr>
    </w:p>
    <w:p w14:paraId="4123DCF8" w14:textId="17E0E73E" w:rsidR="00040C99" w:rsidRDefault="00040C99" w:rsidP="003D14DF">
      <w:pPr>
        <w:spacing w:after="0"/>
        <w:rPr>
          <w:sz w:val="22"/>
          <w:szCs w:val="20"/>
          <w:lang w:val="es-ES"/>
        </w:rPr>
      </w:pPr>
    </w:p>
    <w:p w14:paraId="2A140480" w14:textId="5CFD6735" w:rsidR="00040C99" w:rsidRDefault="00040C99" w:rsidP="003D14DF">
      <w:pPr>
        <w:spacing w:after="0"/>
        <w:rPr>
          <w:sz w:val="22"/>
          <w:szCs w:val="20"/>
          <w:lang w:val="es-ES"/>
        </w:rPr>
      </w:pPr>
    </w:p>
    <w:p w14:paraId="006D4BC0" w14:textId="28C0A95D" w:rsidR="00040C99" w:rsidRDefault="00040C99" w:rsidP="00D03E3A">
      <w:pPr>
        <w:spacing w:after="0"/>
        <w:jc w:val="both"/>
        <w:rPr>
          <w:rFonts w:asciiTheme="minorHAnsi" w:hAnsiTheme="minorHAnsi" w:cstheme="minorHAnsi"/>
          <w:szCs w:val="21"/>
          <w:lang w:val="es-ES"/>
        </w:rPr>
      </w:pPr>
      <w:r w:rsidRPr="00D03E3A">
        <w:rPr>
          <w:rFonts w:asciiTheme="minorHAnsi" w:hAnsiTheme="minorHAnsi" w:cstheme="minorHAnsi"/>
          <w:szCs w:val="21"/>
          <w:lang w:val="es-ES"/>
        </w:rPr>
        <w:lastRenderedPageBreak/>
        <w:t>Reflexión sobre la relación del TFG/TFM con los OD</w:t>
      </w:r>
      <w:r w:rsidR="00D03E3A" w:rsidRPr="00D03E3A">
        <w:rPr>
          <w:rFonts w:asciiTheme="minorHAnsi" w:hAnsiTheme="minorHAnsi" w:cstheme="minorHAnsi"/>
          <w:szCs w:val="21"/>
          <w:lang w:val="es-ES"/>
        </w:rPr>
        <w:t>S y con el/los ODS más relacionados.</w:t>
      </w:r>
    </w:p>
    <w:p w14:paraId="022E2D94" w14:textId="4097439C" w:rsidR="00D03E3A" w:rsidRDefault="00D03E3A" w:rsidP="00D03E3A">
      <w:pPr>
        <w:spacing w:after="0"/>
        <w:jc w:val="both"/>
        <w:rPr>
          <w:rFonts w:asciiTheme="minorHAnsi" w:hAnsiTheme="minorHAnsi" w:cstheme="minorHAnsi"/>
          <w:szCs w:val="21"/>
          <w:lang w:val="es-ES"/>
        </w:rPr>
      </w:pPr>
    </w:p>
    <w:p>
      <w:pPr>
        <w:spacing w:after="120"/>
        <w:jc w:val="both"/>
        <w:rPr>
          <w:rFonts w:asciiTheme="minorHAnsi" w:hAnsiTheme="minorHAnsi" w:cstheme="minorHAnsi"/>
          <w:szCs w:val="21"/>
          <w:lang w:val="es-ES"/>
        </w:rPr>
      </w:pPr>
      <w:r>
        <w:rPr>
          <w:rFonts w:asciiTheme="minorHAnsi" w:hAnsiTheme="minorHAnsi" w:cstheme="minorHAnsi"/>
          <w:szCs w:val="21"/>
          <w:lang w:val="es-ES"/>
        </w:rPr>
        <w:t xml:space="preserve">Entrenar una red neuronal profunda es hoy una de las operaciones más caras del aprendizaje automático, en tiempo de máquina, en energía y en dinero. La forma habitual de saber si una configuración merece la pena sigue siendo lanzarla entera y mirar el resultado al final. Buena parte del cómputo se gasta en entrenamientos que un observador con mejor información habría detenido pronto. Este trabajo estudia una de las señales que podrían aportar esa información, las métricas calculadas sobre los gradientes de la red durante su fracción temprana, y mide si predicen la eficiencia del entrenamiento completo. Es un estudio correlacional sobre 960 entrenamientos de clasificación de imágenes, cuya relación con la Agenda 2030 pasa por el cómputo que ese tipo de entrenamiento consume.</w:t>
      </w:r>
    </w:p>
    <w:p>
      <w:pPr>
        <w:spacing w:after="120"/>
        <w:jc w:val="both"/>
        <w:rPr>
          <w:rFonts w:asciiTheme="minorHAnsi" w:hAnsiTheme="minorHAnsi" w:cstheme="minorHAnsi"/>
          <w:szCs w:val="21"/>
          <w:lang w:val="es-ES"/>
        </w:rPr>
      </w:pPr>
      <w:r>
        <w:rPr>
          <w:rFonts w:asciiTheme="minorHAnsi" w:hAnsiTheme="minorHAnsi" w:cstheme="minorHAnsi"/>
          <w:szCs w:val="21"/>
          <w:lang w:val="es-ES"/>
        </w:rPr>
        <w:t xml:space="preserve">La relación más directa es con el ODS 7, energía asequible y no contaminante, y a través de él con el ODS 13, acción por el clima. Un entrenamiento que no va a converger, o que va a hacerlo más despacio de lo que su presupuesto permite, consume la misma electricidad que uno bueno hasta que alguien lo detiene. Si una medida tomada en el primer 5 % del presupuesto anticipara ese desenlace, el resto de la energía podría ahorrarse. La decisión de cortar dejaría de depender de la intuición de quien mira la curva. Esa es la promesa práctica del trabajo y también su límite, porque aquí solo se mide si la señal existe. Decidir a partir de ella queda para un estudio posterior. La relación con el objetivo se mantiene con una respuesta negativa, que es la que este trabajo obtuvo. Calcular las métricas de gradiente cuesta cómputo, en esta matriz 24,1 de las 121,7 horas totales. Ninguna de ellas superó a la información gratuita de la curva de validación en la primera ventana, así que el resultado dice a quien entrena que no gaste ese cómputo. Un resultado negativo bien medido evita un consumo tan real como el que evitaría un resultado positivo. El ODS 13 se queda en el nivel bajo porque el trabajo no mide emisiones ni energía, solo horas de una GPU. Cualquier conversión a kilovatios hora sería una estimación ajena a lo medido.</w:t>
      </w:r>
    </w:p>
    <w:p>
      <w:pPr>
        <w:spacing w:after="120"/>
        <w:jc w:val="both"/>
        <w:rPr>
          <w:rFonts w:asciiTheme="minorHAnsi" w:hAnsiTheme="minorHAnsi" w:cstheme="minorHAnsi"/>
          <w:szCs w:val="21"/>
          <w:lang w:val="es-ES"/>
        </w:rPr>
      </w:pPr>
      <w:r>
        <w:rPr>
          <w:rFonts w:asciiTheme="minorHAnsi" w:hAnsiTheme="minorHAnsi" w:cstheme="minorHAnsi"/>
          <w:szCs w:val="21"/>
          <w:lang w:val="es-ES"/>
        </w:rPr>
        <w:t xml:space="preserve">El ODS 12, producción y consumo responsables, recoge la manera en que se ha gastado el cómputo del propio estudio. La matriz se diseñó una sola vez, con el tamaño mínimo que la pregunta necesitaba. Se ejecutó en una única GPU a lo largo de 121,7 horas de reloj. Antes de lanzarla se hizo un piloto de calibración por celda para fijar el presupuesto de </w:t>
      </w:r>
      <w:r>
        <w:rPr>
          <w:rFonts w:asciiTheme="minorHAnsi" w:hAnsiTheme="minorHAnsi" w:cstheme="minorHAnsi"/>
          <w:i/>
          <w:szCs w:val="21"/>
          <w:lang w:val="es-ES"/>
        </w:rPr>
        <w:t xml:space="preserve">epochs</w:t>
      </w:r>
      <w:r>
        <w:rPr>
          <w:rFonts w:asciiTheme="minorHAnsi" w:hAnsiTheme="minorHAnsi" w:cstheme="minorHAnsi"/>
          <w:szCs w:val="21"/>
          <w:lang w:val="es-ES"/>
        </w:rPr>
        <w:t xml:space="preserve"> sobre curvas de entrenamiento reales. El lanzador guarda cada entrenamiento terminado y reanuda solo lo pendiente, así que ninguno se repitió por accidente. Los resultados completos, con los dos relojes de cada entrenamiento, el de aprendizaje y el de medición, están versionados junto al código, y cualquier lector puede reanalizarlos sin volver a entrenar nada. Declarar el coste entero de la instrumentación junto a su posible beneficio es la parte del consumo responsable que un estudio como este puede cumplir por sí mismo.</w:t>
      </w:r>
    </w:p>
    <w:p>
      <w:pPr>
        <w:spacing w:after="120"/>
        <w:jc w:val="both"/>
        <w:rPr>
          <w:rFonts w:asciiTheme="minorHAnsi" w:hAnsiTheme="minorHAnsi" w:cstheme="minorHAnsi"/>
          <w:szCs w:val="21"/>
          <w:lang w:val="es-ES"/>
        </w:rPr>
      </w:pPr>
      <w:r>
        <w:rPr>
          <w:rFonts w:asciiTheme="minorHAnsi" w:hAnsiTheme="minorHAnsi" w:cstheme="minorHAnsi"/>
          <w:szCs w:val="21"/>
          <w:lang w:val="es-ES"/>
        </w:rPr>
        <w:t xml:space="preserve">El ODS 9, industria, innovación e infraestructuras, pide reforzar la investigación científica y la capacidad tecnológica. Este trabajo aporta una pieza pequeña de esa capacidad, una comparación sistemática de ocho métricas ya publicadas contra un predictor de referencia que no cuesta nada, sobre una matriz común de conjuntos de datos, arquitecturas y optimizadores. Las métricas se propusieron en artículos distintos, cada uno con su propio banco de pruebas. Hasta ahora no se habían medido todas en las mismas condiciones. El código que las calcula, con sus pruebas unitarias, queda disponible para que otro grupo lo aplique a sus propios entrenamientos o lo extienda a dominios que aquí quedan fuera, como el texto o las arquitecturas de tipo </w:t>
      </w:r>
      <w:r>
        <w:rPr>
          <w:rFonts w:asciiTheme="minorHAnsi" w:hAnsiTheme="minorHAnsi" w:cstheme="minorHAnsi"/>
          <w:i/>
          <w:szCs w:val="21"/>
          <w:lang w:val="es-ES"/>
        </w:rPr>
        <w:t xml:space="preserve">transformer</w:t>
      </w:r>
      <w:r>
        <w:rPr>
          <w:rFonts w:asciiTheme="minorHAnsi" w:hAnsiTheme="minorHAnsi" w:cstheme="minorHAnsi"/>
          <w:szCs w:val="21"/>
          <w:lang w:val="es-ES"/>
        </w:rPr>
        <w:t xml:space="preserve">. La relación se queda en el nivel medio porque la aportación es una evaluación de herramientas existentes y no una infraestructura nueva.</w:t>
      </w:r>
    </w:p>
    <w:p>
      <w:pPr>
        <w:spacing w:after="120"/>
        <w:jc w:val="both"/>
        <w:rPr>
          <w:rFonts w:asciiTheme="minorHAnsi" w:hAnsiTheme="minorHAnsi" w:cstheme="minorHAnsi"/>
          <w:szCs w:val="21"/>
          <w:lang w:val="es-ES"/>
        </w:rPr>
      </w:pPr>
      <w:r>
        <w:rPr>
          <w:rFonts w:asciiTheme="minorHAnsi" w:hAnsiTheme="minorHAnsi" w:cstheme="minorHAnsi"/>
          <w:szCs w:val="21"/>
          <w:lang w:val="es-ES"/>
        </w:rPr>
        <w:t xml:space="preserve">El ODS 4, educación de calidad, tiene una relación indirecta. La memoria documenta el diseño, las decisiones y los errores encontrados por el camino, y el repositorio guarda los datos, el código y las pruebas que permiten repetir el estudio de principio a fin. Ese material puede servir de ejemplo trabajado de un estudio empírico reproducible para estudiantes de ciencia de datos. En esa medida el trabajo contribuye a la formación, aunque no se haya concebido como recurso docente. Por esa razón se marca en el nivel bajo.</w:t>
      </w:r>
    </w:p>
    <w:p>
      <w:pPr>
        <w:spacing w:after="120"/>
        <w:jc w:val="both"/>
        <w:rPr>
          <w:rFonts w:asciiTheme="minorHAnsi" w:hAnsiTheme="minorHAnsi" w:cstheme="minorHAnsi"/>
          <w:szCs w:val="21"/>
          <w:lang w:val="es-ES"/>
        </w:rPr>
      </w:pPr>
      <w:r>
        <w:rPr>
          <w:rFonts w:asciiTheme="minorHAnsi" w:hAnsiTheme="minorHAnsi" w:cstheme="minorHAnsi"/>
          <w:szCs w:val="21"/>
          <w:lang w:val="es-ES"/>
        </w:rPr>
        <w:t xml:space="preserve">Los 12 objetivos restantes no proceden. El trabajo no recoge datos nuevos y trabaja con cuatro conjuntos de datos públicos de imágenes, de uso general en la investigación. No toma ninguna decisión que afecte a personas, a la salud, a la alimentación, al agua, a las ciudades, a los ecosistemas o a las instituciones. Tampoco tiene una dimensión de género ni de reducción de desigualdades más allá de la que comparte cualquier trabajo que publica su código en abierto. Marcarlos como no procedentes es más honesto que forzar una relación que la memoria no puede sostener.</w:t>
      </w:r>
    </w:p>
    <w:p>
      <w:pPr>
        <w:spacing w:after="120"/>
        <w:jc w:val="both"/>
        <w:rPr>
          <w:rFonts w:asciiTheme="minorHAnsi" w:hAnsiTheme="minorHAnsi" w:cstheme="minorHAnsi"/>
          <w:szCs w:val="21"/>
          <w:lang w:val="es-ES"/>
        </w:rPr>
      </w:pPr>
      <w:r>
        <w:rPr>
          <w:rFonts w:asciiTheme="minorHAnsi" w:hAnsiTheme="minorHAnsi" w:cstheme="minorHAnsi"/>
          <w:szCs w:val="21"/>
          <w:lang w:val="es-ES"/>
        </w:rPr>
        <w:t xml:space="preserve">La Agenda 2030 pide a la ingeniería que gaste menos para conseguir lo mismo. En el aprendizaje automático, el gasto que más crece es el del entrenamiento, y saber pronto qué entrenamientos no compensan es una de las pocas vías de ahorro que no exige cambiar el modelo ni los datos. Este trabajo mide si la señal para esa decisión existe antes de que nadie la use y encuentra que ninguna métrica de gradiente mejora a la más barata de todas, la curva de validación.</w:t>
      </w:r>
    </w:p>
    <w:sectPr w:rsidR="00D03E3A" w:rsidRPr="00D03E3A" w:rsidSect="003D14DF">
      <w:headerReference w:type="default" r:id="rId7"/>
      <w:footerReference w:type="default" r:id="rId8"/>
      <w:pgSz w:w="11900" w:h="16840"/>
      <w:pgMar w:top="1417" w:right="1701" w:bottom="1417"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C53FF" w14:textId="77777777" w:rsidR="004E6A4D" w:rsidRDefault="004E6A4D">
      <w:r>
        <w:separator/>
      </w:r>
    </w:p>
  </w:endnote>
  <w:endnote w:type="continuationSeparator" w:id="0">
    <w:p w14:paraId="0C268D2E" w14:textId="77777777" w:rsidR="004E6A4D" w:rsidRDefault="004E6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3B573" w14:textId="77777777" w:rsidR="001E414E" w:rsidRPr="0087777C" w:rsidRDefault="001E414E" w:rsidP="003D14DF">
    <w:pPr>
      <w:spacing w:after="0"/>
      <w:rPr>
        <w:sz w:val="16"/>
      </w:rPr>
    </w:pPr>
  </w:p>
  <w:tbl>
    <w:tblPr>
      <w:tblW w:w="0" w:type="auto"/>
      <w:tblLook w:val="00A0" w:firstRow="1" w:lastRow="0" w:firstColumn="1" w:lastColumn="0" w:noHBand="0" w:noVBand="0"/>
    </w:tblPr>
    <w:tblGrid>
      <w:gridCol w:w="3232"/>
      <w:gridCol w:w="3044"/>
      <w:gridCol w:w="2222"/>
    </w:tblGrid>
    <w:tr w:rsidR="004E662C" w:rsidRPr="00364543" w14:paraId="426E16A8" w14:textId="77777777" w:rsidTr="004E662C">
      <w:tc>
        <w:tcPr>
          <w:tcW w:w="3241" w:type="dxa"/>
          <w:tcBorders>
            <w:right w:val="single" w:sz="4" w:space="0" w:color="auto"/>
          </w:tcBorders>
        </w:tcPr>
        <w:p w14:paraId="22F49FC5" w14:textId="77777777" w:rsidR="004E662C" w:rsidRPr="00364543" w:rsidRDefault="00040C99" w:rsidP="003D14DF">
          <w:pPr>
            <w:pStyle w:val="Piedepgina"/>
            <w:rPr>
              <w:rFonts w:ascii="Arial" w:hAnsi="Arial"/>
              <w:sz w:val="16"/>
            </w:rPr>
          </w:pPr>
          <w:r w:rsidRPr="00364543">
            <w:rPr>
              <w:noProof/>
              <w:lang w:eastAsia="es-ES_tradnl"/>
            </w:rPr>
            <w:drawing>
              <wp:inline distT="0" distB="0" distL="0" distR="0" wp14:anchorId="0F78499C" wp14:editId="14ACA25E">
                <wp:extent cx="1866900" cy="812800"/>
                <wp:effectExtent l="0" t="0" r="0" b="0"/>
                <wp:docPr id="2" name="Imagen 0" descr="STINF_Principal_V.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0" descr="STINF_Principal_V.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812800"/>
                        </a:xfrm>
                        <a:prstGeom prst="rect">
                          <a:avLst/>
                        </a:prstGeom>
                        <a:noFill/>
                        <a:ln>
                          <a:noFill/>
                        </a:ln>
                      </pic:spPr>
                    </pic:pic>
                  </a:graphicData>
                </a:graphic>
              </wp:inline>
            </w:drawing>
          </w:r>
        </w:p>
      </w:tc>
      <w:tc>
        <w:tcPr>
          <w:tcW w:w="3191" w:type="dxa"/>
          <w:tcBorders>
            <w:left w:val="single" w:sz="4" w:space="0" w:color="auto"/>
          </w:tcBorders>
          <w:vAlign w:val="center"/>
        </w:tcPr>
        <w:p w14:paraId="1DA21BBD" w14:textId="77777777" w:rsidR="004E662C" w:rsidRPr="00364543" w:rsidRDefault="004E662C" w:rsidP="003D14DF">
          <w:pPr>
            <w:pStyle w:val="Piedepgina"/>
            <w:rPr>
              <w:rFonts w:ascii="Arial" w:hAnsi="Arial"/>
              <w:b/>
              <w:sz w:val="16"/>
            </w:rPr>
          </w:pPr>
          <w:r w:rsidRPr="00364543">
            <w:rPr>
              <w:rFonts w:ascii="Arial" w:hAnsi="Arial"/>
              <w:b/>
              <w:sz w:val="16"/>
            </w:rPr>
            <w:t xml:space="preserve">ETS </w:t>
          </w:r>
          <w:proofErr w:type="spellStart"/>
          <w:r w:rsidRPr="00364543">
            <w:rPr>
              <w:rFonts w:ascii="Arial" w:hAnsi="Arial"/>
              <w:b/>
              <w:sz w:val="16"/>
            </w:rPr>
            <w:t>Enginyeria</w:t>
          </w:r>
          <w:proofErr w:type="spellEnd"/>
          <w:r w:rsidRPr="00364543">
            <w:rPr>
              <w:rFonts w:ascii="Arial" w:hAnsi="Arial"/>
              <w:b/>
              <w:sz w:val="16"/>
            </w:rPr>
            <w:t xml:space="preserve"> </w:t>
          </w:r>
          <w:proofErr w:type="spellStart"/>
          <w:r w:rsidRPr="00364543">
            <w:rPr>
              <w:rFonts w:ascii="Arial" w:hAnsi="Arial"/>
              <w:b/>
              <w:sz w:val="16"/>
            </w:rPr>
            <w:t>Informàtica</w:t>
          </w:r>
          <w:proofErr w:type="spellEnd"/>
        </w:p>
        <w:p w14:paraId="6F0EECF6" w14:textId="77777777" w:rsidR="004E662C" w:rsidRPr="00364543" w:rsidRDefault="004E662C" w:rsidP="003D14DF">
          <w:pPr>
            <w:pStyle w:val="Piedepgina"/>
            <w:rPr>
              <w:rFonts w:ascii="Arial" w:hAnsi="Arial"/>
              <w:sz w:val="16"/>
            </w:rPr>
          </w:pPr>
          <w:proofErr w:type="spellStart"/>
          <w:r w:rsidRPr="00364543">
            <w:rPr>
              <w:rFonts w:ascii="Arial" w:hAnsi="Arial"/>
              <w:sz w:val="16"/>
            </w:rPr>
            <w:t>Camí</w:t>
          </w:r>
          <w:proofErr w:type="spellEnd"/>
          <w:r w:rsidRPr="00364543">
            <w:rPr>
              <w:rFonts w:ascii="Arial" w:hAnsi="Arial"/>
              <w:sz w:val="16"/>
            </w:rPr>
            <w:t xml:space="preserve"> de Vera, s/n. 46022. </w:t>
          </w:r>
          <w:proofErr w:type="spellStart"/>
          <w:r w:rsidRPr="00364543">
            <w:rPr>
              <w:rFonts w:ascii="Arial" w:hAnsi="Arial"/>
              <w:sz w:val="16"/>
            </w:rPr>
            <w:t>València</w:t>
          </w:r>
          <w:proofErr w:type="spellEnd"/>
        </w:p>
        <w:p w14:paraId="2AA58843" w14:textId="77777777" w:rsidR="004E662C" w:rsidRDefault="004E662C" w:rsidP="003D14DF">
          <w:pPr>
            <w:pStyle w:val="Piedepgina"/>
            <w:rPr>
              <w:rFonts w:ascii="Arial" w:hAnsi="Arial"/>
              <w:sz w:val="16"/>
            </w:rPr>
          </w:pPr>
          <w:r w:rsidRPr="00364543">
            <w:rPr>
              <w:rFonts w:ascii="Arial" w:hAnsi="Arial"/>
              <w:b/>
              <w:sz w:val="16"/>
            </w:rPr>
            <w:t>T</w:t>
          </w:r>
          <w:r w:rsidRPr="00364543">
            <w:rPr>
              <w:rFonts w:ascii="Arial" w:hAnsi="Arial"/>
              <w:sz w:val="16"/>
            </w:rPr>
            <w:t xml:space="preserve"> +34 963 877 210</w:t>
          </w:r>
        </w:p>
        <w:p w14:paraId="2B694596" w14:textId="77777777" w:rsidR="004E662C" w:rsidRPr="00364543" w:rsidRDefault="004E662C" w:rsidP="003D14DF">
          <w:pPr>
            <w:pStyle w:val="Piedepgina"/>
            <w:rPr>
              <w:rFonts w:ascii="Arial" w:hAnsi="Arial"/>
              <w:sz w:val="16"/>
            </w:rPr>
          </w:pPr>
          <w:r w:rsidRPr="00364543">
            <w:rPr>
              <w:rFonts w:ascii="Arial" w:hAnsi="Arial"/>
              <w:b/>
              <w:sz w:val="16"/>
            </w:rPr>
            <w:t>F</w:t>
          </w:r>
          <w:r w:rsidRPr="00364543">
            <w:rPr>
              <w:rFonts w:ascii="Arial" w:hAnsi="Arial"/>
              <w:sz w:val="16"/>
            </w:rPr>
            <w:t xml:space="preserve"> +34 963 877 219</w:t>
          </w:r>
        </w:p>
        <w:p w14:paraId="009F5DC5" w14:textId="77777777" w:rsidR="004E662C" w:rsidRPr="008F7CD9" w:rsidRDefault="004E662C" w:rsidP="003D14DF">
          <w:pPr>
            <w:pStyle w:val="Piedepgina"/>
            <w:rPr>
              <w:rFonts w:ascii="Arial" w:hAnsi="Arial"/>
              <w:sz w:val="16"/>
            </w:rPr>
          </w:pPr>
          <w:r w:rsidRPr="00364543">
            <w:rPr>
              <w:rFonts w:ascii="Arial" w:hAnsi="Arial"/>
              <w:sz w:val="16"/>
            </w:rPr>
            <w:t>etsinf</w:t>
          </w:r>
          <w:r>
            <w:rPr>
              <w:rFonts w:ascii="Arial" w:hAnsi="Arial"/>
              <w:sz w:val="16"/>
            </w:rPr>
            <w:t>@upvnet.upv.es - www.inf.upv.es</w:t>
          </w:r>
        </w:p>
      </w:tc>
      <w:tc>
        <w:tcPr>
          <w:tcW w:w="2282" w:type="dxa"/>
          <w:vAlign w:val="center"/>
        </w:tcPr>
        <w:p w14:paraId="7CDCEC9C" w14:textId="77777777" w:rsidR="004E662C" w:rsidRPr="00364543" w:rsidRDefault="00040C99" w:rsidP="004E662C">
          <w:pPr>
            <w:pStyle w:val="Piedepgina"/>
            <w:jc w:val="right"/>
            <w:rPr>
              <w:rFonts w:ascii="Arial" w:hAnsi="Arial"/>
              <w:b/>
              <w:sz w:val="16"/>
            </w:rPr>
          </w:pPr>
          <w:r>
            <w:rPr>
              <w:rFonts w:ascii="Arial" w:hAnsi="Arial"/>
              <w:b/>
              <w:noProof/>
              <w:sz w:val="16"/>
            </w:rPr>
            <w:drawing>
              <wp:inline distT="0" distB="0" distL="0" distR="0" wp14:anchorId="3DDDA892" wp14:editId="7B98BA42">
                <wp:extent cx="939800" cy="762000"/>
                <wp:effectExtent l="0" t="0" r="0" b="0"/>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
                          <a:extLst>
                            <a:ext uri="{28A0092B-C50C-407E-A947-70E740481C1C}">
                              <a14:useLocalDpi xmlns:a14="http://schemas.microsoft.com/office/drawing/2010/main" val="0"/>
                            </a:ext>
                          </a:extLst>
                        </a:blip>
                        <a:srcRect l="7022" t="10623" r="12952" b="13861"/>
                        <a:stretch>
                          <a:fillRect/>
                        </a:stretch>
                      </pic:blipFill>
                      <pic:spPr bwMode="auto">
                        <a:xfrm>
                          <a:off x="0" y="0"/>
                          <a:ext cx="939800" cy="762000"/>
                        </a:xfrm>
                        <a:prstGeom prst="rect">
                          <a:avLst/>
                        </a:prstGeom>
                        <a:noFill/>
                        <a:ln>
                          <a:noFill/>
                        </a:ln>
                      </pic:spPr>
                    </pic:pic>
                  </a:graphicData>
                </a:graphic>
              </wp:inline>
            </w:drawing>
          </w:r>
        </w:p>
      </w:tc>
    </w:tr>
  </w:tbl>
  <w:p w14:paraId="14680553" w14:textId="77777777" w:rsidR="001E414E" w:rsidRDefault="001E41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F1B4B" w14:textId="77777777" w:rsidR="004E6A4D" w:rsidRDefault="004E6A4D">
      <w:r>
        <w:separator/>
      </w:r>
    </w:p>
  </w:footnote>
  <w:footnote w:type="continuationSeparator" w:id="0">
    <w:p w14:paraId="4EE202DF" w14:textId="77777777" w:rsidR="004E6A4D" w:rsidRDefault="004E6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8498"/>
    </w:tblGrid>
    <w:tr w:rsidR="001E414E" w:rsidRPr="00364543" w14:paraId="73E093E5" w14:textId="77777777">
      <w:tc>
        <w:tcPr>
          <w:tcW w:w="8638" w:type="dxa"/>
        </w:tcPr>
        <w:p w14:paraId="60DF5C30" w14:textId="52062CC3" w:rsidR="001E414E" w:rsidRPr="00364543" w:rsidRDefault="00040C99" w:rsidP="003D14DF">
          <w:pPr>
            <w:pStyle w:val="Encabezado"/>
          </w:pPr>
          <w:r w:rsidRPr="00364543">
            <w:rPr>
              <w:noProof/>
              <w:lang w:eastAsia="es-ES_tradnl"/>
            </w:rPr>
            <w:drawing>
              <wp:inline distT="0" distB="0" distL="0" distR="0" wp14:anchorId="0B9A6D40" wp14:editId="3E5DEDD7">
                <wp:extent cx="1460500" cy="571500"/>
                <wp:effectExtent l="0" t="0" r="0" b="0"/>
                <wp:docPr id="1" name="Imagen 1" descr="UPV (escut+lletres val ho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UPV (escut+lletres val hor).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0500" cy="571500"/>
                        </a:xfrm>
                        <a:prstGeom prst="rect">
                          <a:avLst/>
                        </a:prstGeom>
                        <a:noFill/>
                        <a:ln>
                          <a:noFill/>
                        </a:ln>
                      </pic:spPr>
                    </pic:pic>
                  </a:graphicData>
                </a:graphic>
              </wp:inline>
            </w:drawing>
          </w:r>
          <w:r>
            <w:t xml:space="preserve">                                                                                    </w:t>
          </w:r>
          <w:r>
            <w:rPr>
              <w:rFonts w:ascii="Futura Medium" w:hAnsi="Futura Medium" w:cs="Futura Medium" w:hint="cs"/>
              <w:noProof/>
              <w:sz w:val="20"/>
              <w:szCs w:val="20"/>
            </w:rPr>
            <w:drawing>
              <wp:inline distT="0" distB="0" distL="0" distR="0" wp14:anchorId="608F76EE" wp14:editId="39F1EDD2">
                <wp:extent cx="678329" cy="679391"/>
                <wp:effectExtent l="0" t="0" r="0" b="0"/>
                <wp:docPr id="7" name="Imagen 7" descr="Gráfico, Gráfico de proyección so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proyección solar&#10;&#10;Descripción generada automáticamente"/>
                        <pic:cNvPicPr/>
                      </pic:nvPicPr>
                      <pic:blipFill>
                        <a:blip r:embed="rId2"/>
                        <a:stretch>
                          <a:fillRect/>
                        </a:stretch>
                      </pic:blipFill>
                      <pic:spPr>
                        <a:xfrm>
                          <a:off x="0" y="0"/>
                          <a:ext cx="685450" cy="686523"/>
                        </a:xfrm>
                        <a:prstGeom prst="rect">
                          <a:avLst/>
                        </a:prstGeom>
                      </pic:spPr>
                    </pic:pic>
                  </a:graphicData>
                </a:graphic>
              </wp:inline>
            </w:drawing>
          </w:r>
          <w:r>
            <w:rPr>
              <w:noProof/>
              <w:lang w:eastAsia="es-ES_tradnl"/>
            </w:rPr>
            <mc:AlternateContent>
              <mc:Choice Requires="wps">
                <w:drawing>
                  <wp:anchor distT="0" distB="0" distL="114300" distR="114300" simplePos="0" relativeHeight="251657728" behindDoc="0" locked="0" layoutInCell="1" allowOverlap="1" wp14:anchorId="347A36C9" wp14:editId="4F948327">
                    <wp:simplePos x="0" y="0"/>
                    <wp:positionH relativeFrom="column">
                      <wp:posOffset>-114300</wp:posOffset>
                    </wp:positionH>
                    <wp:positionV relativeFrom="paragraph">
                      <wp:posOffset>-104140</wp:posOffset>
                    </wp:positionV>
                    <wp:extent cx="0" cy="9829800"/>
                    <wp:effectExtent l="1270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829800"/>
                            </a:xfrm>
                            <a:prstGeom prst="line">
                              <a:avLst/>
                            </a:prstGeom>
                            <a:noFill/>
                            <a:ln w="19050">
                              <a:solidFill>
                                <a:srgbClr val="DC2A7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4C320D"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8.2pt" to="-9pt,76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" strokecolor="#dc2a79" strokeweight="1.5pt">
                    <v:fill o:detectmouseclick="t"/>
                    <v:shadow opacity="22938f" offset="0"/>
                    <o:lock v:ext="edit" shapetype="f"/>
                  </v:line>
                </w:pict>
              </mc:Fallback>
            </mc:AlternateContent>
          </w:r>
        </w:p>
      </w:tc>
    </w:tr>
  </w:tbl>
  <w:p w14:paraId="0996BF11" w14:textId="77777777" w:rsidR="001E414E" w:rsidRDefault="001E41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43A50"/>
    <w:multiLevelType w:val="hybridMultilevel"/>
    <w:tmpl w:val="883853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76D4DAA"/>
    <w:multiLevelType w:val="hybridMultilevel"/>
    <w:tmpl w:val="26CCB686"/>
    <w:lvl w:ilvl="0" w:tplc="26FE23A6">
      <w:start w:val="1"/>
      <w:numFmt w:val="decimal"/>
      <w:lvlText w:val="ODS %1."/>
      <w:lvlJc w:val="left"/>
      <w:pPr>
        <w:ind w:left="1778" w:hanging="360"/>
      </w:pPr>
      <w:rPr>
        <w:rFonts w:hint="default"/>
      </w:rPr>
    </w:lvl>
    <w:lvl w:ilvl="1" w:tplc="040A0019" w:tentative="1">
      <w:start w:val="1"/>
      <w:numFmt w:val="lowerLetter"/>
      <w:lvlText w:val="%2."/>
      <w:lvlJc w:val="left"/>
      <w:pPr>
        <w:ind w:left="2498" w:hanging="360"/>
      </w:pPr>
    </w:lvl>
    <w:lvl w:ilvl="2" w:tplc="040A001B" w:tentative="1">
      <w:start w:val="1"/>
      <w:numFmt w:val="lowerRoman"/>
      <w:lvlText w:val="%3."/>
      <w:lvlJc w:val="right"/>
      <w:pPr>
        <w:ind w:left="3218" w:hanging="180"/>
      </w:pPr>
    </w:lvl>
    <w:lvl w:ilvl="3" w:tplc="040A000F" w:tentative="1">
      <w:start w:val="1"/>
      <w:numFmt w:val="decimal"/>
      <w:lvlText w:val="%4."/>
      <w:lvlJc w:val="left"/>
      <w:pPr>
        <w:ind w:left="3938" w:hanging="360"/>
      </w:pPr>
    </w:lvl>
    <w:lvl w:ilvl="4" w:tplc="040A0019" w:tentative="1">
      <w:start w:val="1"/>
      <w:numFmt w:val="lowerLetter"/>
      <w:lvlText w:val="%5."/>
      <w:lvlJc w:val="left"/>
      <w:pPr>
        <w:ind w:left="4658" w:hanging="360"/>
      </w:pPr>
    </w:lvl>
    <w:lvl w:ilvl="5" w:tplc="040A001B" w:tentative="1">
      <w:start w:val="1"/>
      <w:numFmt w:val="lowerRoman"/>
      <w:lvlText w:val="%6."/>
      <w:lvlJc w:val="right"/>
      <w:pPr>
        <w:ind w:left="5378" w:hanging="180"/>
      </w:pPr>
    </w:lvl>
    <w:lvl w:ilvl="6" w:tplc="040A000F" w:tentative="1">
      <w:start w:val="1"/>
      <w:numFmt w:val="decimal"/>
      <w:lvlText w:val="%7."/>
      <w:lvlJc w:val="left"/>
      <w:pPr>
        <w:ind w:left="6098" w:hanging="360"/>
      </w:pPr>
    </w:lvl>
    <w:lvl w:ilvl="7" w:tplc="040A0019" w:tentative="1">
      <w:start w:val="1"/>
      <w:numFmt w:val="lowerLetter"/>
      <w:lvlText w:val="%8."/>
      <w:lvlJc w:val="left"/>
      <w:pPr>
        <w:ind w:left="6818" w:hanging="360"/>
      </w:pPr>
    </w:lvl>
    <w:lvl w:ilvl="8" w:tplc="040A001B" w:tentative="1">
      <w:start w:val="1"/>
      <w:numFmt w:val="lowerRoman"/>
      <w:lvlText w:val="%9."/>
      <w:lvlJc w:val="right"/>
      <w:pPr>
        <w:ind w:left="7538" w:hanging="180"/>
      </w:pPr>
    </w:lvl>
  </w:abstractNum>
  <w:abstractNum w:abstractNumId="2" w15:restartNumberingAfterBreak="0">
    <w:nsid w:val="29F72CE3"/>
    <w:multiLevelType w:val="hybridMultilevel"/>
    <w:tmpl w:val="2292B38C"/>
    <w:lvl w:ilvl="0" w:tplc="1130B2CE">
      <w:numFmt w:val="bullet"/>
      <w:lvlText w:val="-"/>
      <w:lvlJc w:val="left"/>
      <w:pPr>
        <w:ind w:left="720" w:hanging="360"/>
      </w:pPr>
      <w:rPr>
        <w:rFonts w:ascii="Georgia" w:eastAsia="Cambria" w:hAnsi="Georgia"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D9"/>
    <w:rsid w:val="00040C99"/>
    <w:rsid w:val="000D4AD5"/>
    <w:rsid w:val="001D3FE9"/>
    <w:rsid w:val="001E414E"/>
    <w:rsid w:val="002F45CE"/>
    <w:rsid w:val="003757DB"/>
    <w:rsid w:val="003D14DF"/>
    <w:rsid w:val="00452043"/>
    <w:rsid w:val="004E662C"/>
    <w:rsid w:val="004E6A4D"/>
    <w:rsid w:val="005163F5"/>
    <w:rsid w:val="00585683"/>
    <w:rsid w:val="005F5706"/>
    <w:rsid w:val="0065013F"/>
    <w:rsid w:val="006D797B"/>
    <w:rsid w:val="006E5756"/>
    <w:rsid w:val="008114F4"/>
    <w:rsid w:val="00820B00"/>
    <w:rsid w:val="008F7CD9"/>
    <w:rsid w:val="00917373"/>
    <w:rsid w:val="00A64CD0"/>
    <w:rsid w:val="00B10DCF"/>
    <w:rsid w:val="00B75BD9"/>
    <w:rsid w:val="00D03E3A"/>
    <w:rsid w:val="00D1506F"/>
    <w:rsid w:val="00E11658"/>
    <w:rsid w:val="00E6386E"/>
    <w:rsid w:val="00E65859"/>
    <w:rsid w:val="00E92127"/>
    <w:rsid w:val="00F73B14"/>
    <w:rsid w:val="00F917F0"/>
    <w:rsid w:val="00FA792B"/>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9E31B2E"/>
  <w14:defaultImageDpi w14:val="300"/>
  <w15:chartTrackingRefBased/>
  <w15:docId w15:val="{CCD3C832-E57F-3448-9B3A-8F220DF65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39"/>
    <w:pPr>
      <w:spacing w:after="200"/>
    </w:pPr>
    <w:rPr>
      <w:rFonts w:ascii="Georgia" w:hAnsi="Georgia"/>
      <w:sz w:val="24"/>
      <w:szCs w:val="24"/>
      <w:lang w:val="es-ES_tradn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777C"/>
    <w:pPr>
      <w:tabs>
        <w:tab w:val="center" w:pos="4419"/>
        <w:tab w:val="right" w:pos="8838"/>
      </w:tabs>
      <w:spacing w:after="0"/>
    </w:pPr>
  </w:style>
  <w:style w:type="character" w:customStyle="1" w:styleId="EncabezadoCar">
    <w:name w:val="Encabezado Car"/>
    <w:link w:val="Encabezado"/>
    <w:uiPriority w:val="99"/>
    <w:rsid w:val="0087777C"/>
    <w:rPr>
      <w:sz w:val="24"/>
      <w:szCs w:val="24"/>
    </w:rPr>
  </w:style>
  <w:style w:type="paragraph" w:styleId="Piedepgina">
    <w:name w:val="footer"/>
    <w:basedOn w:val="Normal"/>
    <w:link w:val="PiedepginaCar"/>
    <w:uiPriority w:val="99"/>
    <w:unhideWhenUsed/>
    <w:rsid w:val="0087777C"/>
    <w:pPr>
      <w:tabs>
        <w:tab w:val="center" w:pos="4419"/>
        <w:tab w:val="right" w:pos="8838"/>
      </w:tabs>
      <w:spacing w:after="0"/>
    </w:pPr>
  </w:style>
  <w:style w:type="character" w:customStyle="1" w:styleId="PiedepginaCar">
    <w:name w:val="Pie de página Car"/>
    <w:link w:val="Piedepgina"/>
    <w:uiPriority w:val="99"/>
    <w:rsid w:val="0087777C"/>
    <w:rPr>
      <w:sz w:val="24"/>
      <w:szCs w:val="24"/>
    </w:rPr>
  </w:style>
  <w:style w:type="table" w:styleId="Tablaconcuadrcula">
    <w:name w:val="Table Grid"/>
    <w:basedOn w:val="Tablanormal"/>
    <w:uiPriority w:val="59"/>
    <w:rsid w:val="008777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uiPriority w:val="99"/>
    <w:semiHidden/>
    <w:unhideWhenUsed/>
    <w:rsid w:val="0087777C"/>
    <w:rPr>
      <w:color w:val="0000FF"/>
      <w:u w:val="single"/>
    </w:rPr>
  </w:style>
  <w:style w:type="table" w:customStyle="1" w:styleId="Tablaconcuadrcula1">
    <w:name w:val="Tabla con cuadrícula1"/>
    <w:basedOn w:val="Tablanormal"/>
    <w:next w:val="Tablaconcuadrcula"/>
    <w:uiPriority w:val="39"/>
    <w:rsid w:val="00040C99"/>
    <w:rPr>
      <w:rFonts w:asciiTheme="minorHAnsi" w:eastAsia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1"/>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192</Words>
  <Characters>1060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Universidad Politécnica de Valencia</Company>
  <LinksUpToDate>false</LinksUpToDate>
  <CharactersWithSpaces>1250</CharactersWithSpaces>
  <SharedDoc>false</SharedDoc>
  <HLinks>
    <vt:vector size="6" baseType="variant">
      <vt:variant>
        <vt:i4>6225987</vt:i4>
      </vt:variant>
      <vt:variant>
        <vt:i4>2208</vt:i4>
      </vt:variant>
      <vt:variant>
        <vt:i4>1027</vt:i4>
      </vt:variant>
      <vt:variant>
        <vt:i4>1</vt:i4>
      </vt:variant>
      <vt:variant>
        <vt:lpwstr>euro_inf_seal_bachelor_rgb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Vendrell Vidal</dc:creator>
  <cp:keywords/>
  <cp:lastModifiedBy>Vicente Pelechano Ferragud</cp:lastModifiedBy>
  <cp:revision>4</cp:revision>
  <cp:lastPrinted>2013-07-18T07:37:00Z</cp:lastPrinted>
  <dcterms:created xsi:type="dcterms:W3CDTF">2021-10-26T15:11:00Z</dcterms:created>
  <dcterms:modified xsi:type="dcterms:W3CDTF">2021-11-10T07:43:00Z</dcterms:modified>
</cp:coreProperties>
</file>