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CDA051" w14:textId="77777777" w:rsidR="00F917F0" w:rsidRDefault="00F917F0" w:rsidP="00B75BD9">
      <w:pPr>
        <w:spacing w:after="0"/>
        <w:rPr>
          <w:sz w:val="20"/>
          <w:szCs w:val="20"/>
        </w:rPr>
      </w:pPr>
    </w:p>
    <w:p w14:paraId="2401FEC1" w14:textId="51F01067" w:rsidR="00040C99" w:rsidRPr="00040C99" w:rsidRDefault="00040C99" w:rsidP="00040C99">
      <w:pPr>
        <w:spacing w:after="0"/>
        <w:rPr>
          <w:rFonts w:asciiTheme="minorHAnsi" w:hAnsiTheme="minorHAnsi" w:cstheme="minorHAnsi"/>
          <w:b/>
          <w:bCs/>
          <w:sz w:val="32"/>
          <w:szCs w:val="32"/>
        </w:rPr>
      </w:pPr>
      <w:r w:rsidRPr="00040C99">
        <w:rPr>
          <w:rFonts w:asciiTheme="minorHAnsi" w:hAnsiTheme="minorHAnsi" w:cstheme="minorHAnsi"/>
          <w:b/>
          <w:bCs/>
          <w:sz w:val="32"/>
          <w:szCs w:val="32"/>
        </w:rPr>
        <w:t>ANEXO</w:t>
      </w:r>
    </w:p>
    <w:p w14:paraId="01B217EA" w14:textId="77777777" w:rsidR="00040C99" w:rsidRPr="00040C99" w:rsidRDefault="00040C99" w:rsidP="00040C99">
      <w:pPr>
        <w:spacing w:after="0"/>
        <w:rPr>
          <w:rFonts w:asciiTheme="minorHAnsi" w:hAnsiTheme="minorHAnsi" w:cstheme="minorHAnsi"/>
          <w:b/>
          <w:bCs/>
          <w:sz w:val="32"/>
          <w:szCs w:val="32"/>
        </w:rPr>
      </w:pPr>
    </w:p>
    <w:p w14:paraId="7B9701E9" w14:textId="77777777" w:rsidR="00040C99" w:rsidRPr="00040C99" w:rsidRDefault="00040C99" w:rsidP="00040C99">
      <w:pPr>
        <w:spacing w:after="0"/>
        <w:rPr>
          <w:rFonts w:asciiTheme="minorHAnsi" w:hAnsiTheme="minorHAnsi" w:cstheme="minorHAnsi"/>
          <w:sz w:val="32"/>
          <w:szCs w:val="32"/>
        </w:rPr>
      </w:pPr>
      <w:r w:rsidRPr="00040C99">
        <w:rPr>
          <w:rFonts w:asciiTheme="minorHAnsi" w:hAnsiTheme="minorHAnsi" w:cstheme="minorHAnsi"/>
          <w:sz w:val="32"/>
          <w:szCs w:val="32"/>
        </w:rPr>
        <w:t xml:space="preserve">OBJETIVOS DE DESARROLLO SOSTENIBLE                       </w:t>
      </w:r>
    </w:p>
    <w:p w14:paraId="588C1F5D" w14:textId="284C0CFA" w:rsidR="003D14DF" w:rsidRDefault="003D14DF" w:rsidP="003D14DF">
      <w:pPr>
        <w:spacing w:after="0"/>
        <w:rPr>
          <w:sz w:val="22"/>
          <w:szCs w:val="20"/>
          <w:lang w:val="es-ES"/>
        </w:rPr>
      </w:pPr>
    </w:p>
    <w:p w14:paraId="641BE09A" w14:textId="77777777" w:rsidR="00040C99" w:rsidRDefault="00040C99" w:rsidP="00040C99">
      <w:pPr>
        <w:spacing w:after="0"/>
        <w:ind w:right="-149"/>
        <w:rPr>
          <w:rFonts w:asciiTheme="minorHAnsi" w:eastAsiaTheme="minorHAnsi" w:hAnsiTheme="minorHAnsi" w:cstheme="minorHAnsi"/>
          <w:lang w:val="es-ES"/>
        </w:rPr>
      </w:pPr>
    </w:p>
    <w:p w14:paraId="5C0F3304" w14:textId="347ABFC6" w:rsidR="00040C99" w:rsidRPr="00040C99" w:rsidRDefault="00040C99" w:rsidP="00040C99">
      <w:pPr>
        <w:spacing w:after="0"/>
        <w:ind w:right="-149"/>
        <w:rPr>
          <w:rFonts w:asciiTheme="minorHAnsi" w:eastAsiaTheme="minorHAnsi" w:hAnsiTheme="minorHAnsi" w:cstheme="minorHAnsi"/>
          <w:lang w:val="es-ES"/>
        </w:rPr>
      </w:pPr>
      <w:r w:rsidRPr="00040C99">
        <w:rPr>
          <w:rFonts w:asciiTheme="minorHAnsi" w:eastAsiaTheme="minorHAnsi" w:hAnsiTheme="minorHAnsi" w:cstheme="minorHAnsi"/>
          <w:lang w:val="es-ES"/>
        </w:rPr>
        <w:t>Grado de relación del trabajo con los Objetivos de Desarrollo Sostenible (ODS).</w:t>
      </w:r>
    </w:p>
    <w:p w14:paraId="4E24FEF0" w14:textId="77777777" w:rsidR="00040C99" w:rsidRPr="00040C99" w:rsidRDefault="00040C99" w:rsidP="00040C99">
      <w:pPr>
        <w:spacing w:after="0"/>
        <w:rPr>
          <w:rFonts w:asciiTheme="minorHAnsi" w:eastAsiaTheme="minorHAnsi" w:hAnsiTheme="minorHAnsi" w:cstheme="minorHAnsi"/>
          <w:lang w:val="es-ES"/>
        </w:rPr>
      </w:pPr>
    </w:p>
    <w:tbl>
      <w:tblPr>
        <w:tblStyle w:val="Tablaconcuadrcula1"/>
        <w:tblW w:w="8647" w:type="dxa"/>
        <w:tblInd w:w="-5" w:type="dxa"/>
        <w:tblLayout w:type="fixed"/>
        <w:tblLook w:val="04A0" w:firstRow="1" w:lastRow="0" w:firstColumn="1" w:lastColumn="0" w:noHBand="0" w:noVBand="1"/>
      </w:tblPr>
      <w:tblGrid>
        <w:gridCol w:w="5103"/>
        <w:gridCol w:w="886"/>
        <w:gridCol w:w="886"/>
        <w:gridCol w:w="886"/>
        <w:gridCol w:w="886"/>
      </w:tblGrid>
      <w:tr w:rsidR="00040C99" w:rsidRPr="00040C99" w14:paraId="78164359" w14:textId="77777777" w:rsidTr="003A17AF">
        <w:tc>
          <w:tcPr>
            <w:tcW w:w="5103" w:type="dxa"/>
          </w:tcPr>
          <w:p w14:paraId="7C5518E5" w14:textId="77777777" w:rsidR="00040C99" w:rsidRPr="00040C99" w:rsidRDefault="00040C99" w:rsidP="00040C99">
            <w:pPr>
              <w:spacing w:before="60" w:after="60"/>
              <w:rPr>
                <w:rFonts w:asciiTheme="minorHAnsi" w:hAnsiTheme="minorHAnsi" w:cstheme="minorHAnsi"/>
                <w:b/>
                <w:sz w:val="22"/>
                <w:lang w:val="es-ES"/>
              </w:rPr>
            </w:pPr>
            <w:r w:rsidRPr="00040C99">
              <w:rPr>
                <w:rFonts w:asciiTheme="minorHAnsi" w:hAnsiTheme="minorHAnsi" w:cstheme="minorHAnsi"/>
                <w:b/>
                <w:sz w:val="22"/>
                <w:lang w:val="es-ES"/>
              </w:rPr>
              <w:t>Objetivos de Desarrollo Sostenibles</w:t>
            </w:r>
          </w:p>
        </w:tc>
        <w:tc>
          <w:tcPr>
            <w:tcW w:w="886" w:type="dxa"/>
          </w:tcPr>
          <w:p w14:paraId="67A915FB"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Alto</w:t>
            </w:r>
          </w:p>
        </w:tc>
        <w:tc>
          <w:tcPr>
            <w:tcW w:w="886" w:type="dxa"/>
          </w:tcPr>
          <w:p w14:paraId="5CBD23B6"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Medio</w:t>
            </w:r>
          </w:p>
        </w:tc>
        <w:tc>
          <w:tcPr>
            <w:tcW w:w="886" w:type="dxa"/>
          </w:tcPr>
          <w:p w14:paraId="5F0FDBAD"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Bajo</w:t>
            </w:r>
          </w:p>
        </w:tc>
        <w:tc>
          <w:tcPr>
            <w:tcW w:w="886" w:type="dxa"/>
          </w:tcPr>
          <w:p w14:paraId="7E6B5E86"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No Procede</w:t>
            </w:r>
          </w:p>
        </w:tc>
      </w:tr>
      <w:tr w:rsidR="00040C99" w:rsidRPr="00040C99" w14:paraId="000A1125" w14:textId="77777777" w:rsidTr="003A17AF">
        <w:tc>
          <w:tcPr>
            <w:tcW w:w="5103" w:type="dxa"/>
          </w:tcPr>
          <w:p w14:paraId="0922932A"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Fin de la pobreza.</w:t>
            </w:r>
            <w:r w:rsidRPr="00040C99">
              <w:rPr>
                <w:rFonts w:asciiTheme="minorHAnsi" w:hAnsiTheme="minorHAnsi" w:cstheme="minorHAnsi"/>
                <w:sz w:val="22"/>
                <w:lang w:val="es-ES"/>
              </w:rPr>
              <w:t xml:space="preserve"> </w:t>
            </w:r>
          </w:p>
        </w:tc>
        <w:tc>
          <w:tcPr>
            <w:tcW w:w="886" w:type="dxa"/>
          </w:tcPr>
          <w:p w14:paraId="0E74600B"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19538C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4B0C9CA"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D3A48DD"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47951162" w14:textId="77777777" w:rsidTr="003A17AF">
        <w:tc>
          <w:tcPr>
            <w:tcW w:w="5103" w:type="dxa"/>
          </w:tcPr>
          <w:p w14:paraId="1D40572A"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Hambre cero.</w:t>
            </w:r>
            <w:r w:rsidRPr="00040C99">
              <w:rPr>
                <w:rFonts w:asciiTheme="minorHAnsi" w:hAnsiTheme="minorHAnsi" w:cstheme="minorHAnsi"/>
                <w:sz w:val="22"/>
                <w:lang w:val="es-ES"/>
              </w:rPr>
              <w:t xml:space="preserve"> </w:t>
            </w:r>
          </w:p>
        </w:tc>
        <w:tc>
          <w:tcPr>
            <w:tcW w:w="886" w:type="dxa"/>
          </w:tcPr>
          <w:p w14:paraId="485CABD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63A415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3E84F7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23E357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28F94EF5" w14:textId="77777777" w:rsidTr="003A17AF">
        <w:tc>
          <w:tcPr>
            <w:tcW w:w="5103" w:type="dxa"/>
          </w:tcPr>
          <w:p w14:paraId="3CC8B491"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Salud y bienestar.</w:t>
            </w:r>
            <w:r w:rsidRPr="00040C99">
              <w:rPr>
                <w:rFonts w:asciiTheme="minorHAnsi" w:hAnsiTheme="minorHAnsi" w:cstheme="minorHAnsi"/>
                <w:sz w:val="22"/>
                <w:lang w:val="es-ES"/>
              </w:rPr>
              <w:t xml:space="preserve"> </w:t>
            </w:r>
          </w:p>
        </w:tc>
        <w:tc>
          <w:tcPr>
            <w:tcW w:w="886" w:type="dxa"/>
          </w:tcPr>
          <w:p w14:paraId="7AC401F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C8BE15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D503EB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A83AFB9"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39F596A8" w14:textId="77777777" w:rsidTr="003A17AF">
        <w:tc>
          <w:tcPr>
            <w:tcW w:w="5103" w:type="dxa"/>
          </w:tcPr>
          <w:p w14:paraId="7F56E57E"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Educación de calidad.</w:t>
            </w:r>
            <w:r w:rsidRPr="00040C99">
              <w:rPr>
                <w:rFonts w:asciiTheme="minorHAnsi" w:hAnsiTheme="minorHAnsi" w:cstheme="minorHAnsi"/>
                <w:sz w:val="22"/>
                <w:lang w:val="es-ES"/>
              </w:rPr>
              <w:t xml:space="preserve"> </w:t>
            </w:r>
          </w:p>
        </w:tc>
        <w:tc>
          <w:tcPr>
            <w:tcW w:w="886" w:type="dxa"/>
          </w:tcPr>
          <w:p w14:paraId="43AF007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BB1D27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FE2DA2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1CD88867"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765A80DB" w14:textId="77777777" w:rsidTr="003A17AF">
        <w:tc>
          <w:tcPr>
            <w:tcW w:w="5103" w:type="dxa"/>
          </w:tcPr>
          <w:p w14:paraId="1DA19090"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Igualdad de género. </w:t>
            </w:r>
          </w:p>
        </w:tc>
        <w:tc>
          <w:tcPr>
            <w:tcW w:w="886" w:type="dxa"/>
          </w:tcPr>
          <w:p w14:paraId="5A339C82"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90809E9"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470EB9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B0ABF5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07150973" w14:textId="77777777" w:rsidTr="003A17AF">
        <w:tc>
          <w:tcPr>
            <w:tcW w:w="5103" w:type="dxa"/>
          </w:tcPr>
          <w:p w14:paraId="090E4A1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Agua limpia y saneamiento.</w:t>
            </w:r>
            <w:r w:rsidRPr="00040C99">
              <w:rPr>
                <w:rFonts w:asciiTheme="minorHAnsi" w:hAnsiTheme="minorHAnsi" w:cstheme="minorHAnsi"/>
                <w:sz w:val="22"/>
                <w:lang w:val="es-ES"/>
              </w:rPr>
              <w:t xml:space="preserve"> </w:t>
            </w:r>
          </w:p>
        </w:tc>
        <w:tc>
          <w:tcPr>
            <w:tcW w:w="886" w:type="dxa"/>
          </w:tcPr>
          <w:p w14:paraId="043E44C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3E1650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8ECA19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9010477"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2C03602E" w14:textId="77777777" w:rsidTr="003A17AF">
        <w:tc>
          <w:tcPr>
            <w:tcW w:w="5103" w:type="dxa"/>
          </w:tcPr>
          <w:p w14:paraId="4D182771"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Energía asequible y no contaminante. </w:t>
            </w:r>
          </w:p>
        </w:tc>
        <w:tc>
          <w:tcPr>
            <w:tcW w:w="886" w:type="dxa"/>
          </w:tcPr>
          <w:p w14:paraId="32ADE96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4DFD59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2A127633"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14D42AB"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1FC9127F" w14:textId="77777777" w:rsidTr="003A17AF">
        <w:tc>
          <w:tcPr>
            <w:tcW w:w="5103" w:type="dxa"/>
          </w:tcPr>
          <w:p w14:paraId="188D982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Trabajo decente y crecimiento económico.</w:t>
            </w:r>
            <w:r w:rsidRPr="00040C99">
              <w:rPr>
                <w:rFonts w:asciiTheme="minorHAnsi" w:hAnsiTheme="minorHAnsi" w:cstheme="minorHAnsi"/>
                <w:sz w:val="22"/>
                <w:lang w:val="es-ES"/>
              </w:rPr>
              <w:t xml:space="preserve"> </w:t>
            </w:r>
          </w:p>
        </w:tc>
        <w:tc>
          <w:tcPr>
            <w:tcW w:w="886" w:type="dxa"/>
          </w:tcPr>
          <w:p w14:paraId="0B1403E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9E5F9E1"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6AFDB1F"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375F87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504E211F" w14:textId="77777777" w:rsidTr="003A17AF">
        <w:tc>
          <w:tcPr>
            <w:tcW w:w="5103" w:type="dxa"/>
          </w:tcPr>
          <w:p w14:paraId="7FD746E2"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Industria, innovación e infraestructuras. </w:t>
            </w:r>
          </w:p>
        </w:tc>
        <w:tc>
          <w:tcPr>
            <w:tcW w:w="886" w:type="dxa"/>
          </w:tcPr>
          <w:p w14:paraId="00C74783"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80F265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783F72FB"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52B1194"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65A7F339" w14:textId="77777777" w:rsidTr="003A17AF">
        <w:tc>
          <w:tcPr>
            <w:tcW w:w="5103" w:type="dxa"/>
          </w:tcPr>
          <w:p w14:paraId="6059919A"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Reducción de las desigualdades</w:t>
            </w:r>
            <w:r w:rsidRPr="00040C99">
              <w:rPr>
                <w:rFonts w:asciiTheme="minorHAnsi" w:hAnsiTheme="minorHAnsi" w:cstheme="minorHAnsi"/>
                <w:sz w:val="22"/>
                <w:lang w:val="es-ES"/>
              </w:rPr>
              <w:t xml:space="preserve">. </w:t>
            </w:r>
          </w:p>
        </w:tc>
        <w:tc>
          <w:tcPr>
            <w:tcW w:w="886" w:type="dxa"/>
          </w:tcPr>
          <w:p w14:paraId="6733BE0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70CE5E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4DCE24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8E288D4"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3EA44B5E" w14:textId="77777777" w:rsidTr="003A17AF">
        <w:tc>
          <w:tcPr>
            <w:tcW w:w="5103" w:type="dxa"/>
          </w:tcPr>
          <w:p w14:paraId="772AB31C"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Ciudades y comunidades sostenibles</w:t>
            </w:r>
            <w:r w:rsidRPr="00040C99">
              <w:rPr>
                <w:rFonts w:asciiTheme="minorHAnsi" w:hAnsiTheme="minorHAnsi" w:cstheme="minorHAnsi"/>
                <w:sz w:val="22"/>
                <w:lang w:val="es-ES"/>
              </w:rPr>
              <w:t xml:space="preserve">. </w:t>
            </w:r>
          </w:p>
        </w:tc>
        <w:tc>
          <w:tcPr>
            <w:tcW w:w="886" w:type="dxa"/>
          </w:tcPr>
          <w:p w14:paraId="3C263E7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23760D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18A79AF"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86B1227"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0F46641C" w14:textId="77777777" w:rsidTr="003A17AF">
        <w:tc>
          <w:tcPr>
            <w:tcW w:w="5103" w:type="dxa"/>
          </w:tcPr>
          <w:p w14:paraId="3FEC2FE3"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Producción y consumo responsables. </w:t>
            </w:r>
          </w:p>
        </w:tc>
        <w:tc>
          <w:tcPr>
            <w:tcW w:w="886" w:type="dxa"/>
          </w:tcPr>
          <w:p w14:paraId="62F5F00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0063136"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589A90F9"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CB88EAD"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58E98102" w14:textId="77777777" w:rsidTr="003A17AF">
        <w:tc>
          <w:tcPr>
            <w:tcW w:w="5103" w:type="dxa"/>
          </w:tcPr>
          <w:p w14:paraId="1A7B30C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Acción por el clima. </w:t>
            </w:r>
          </w:p>
        </w:tc>
        <w:tc>
          <w:tcPr>
            <w:tcW w:w="886" w:type="dxa"/>
          </w:tcPr>
          <w:p w14:paraId="030C363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6898F1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64413E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5CBCFAAC"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4C84C0C6" w14:textId="77777777" w:rsidTr="003A17AF">
        <w:tc>
          <w:tcPr>
            <w:tcW w:w="5103" w:type="dxa"/>
          </w:tcPr>
          <w:p w14:paraId="1107127B"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Vida submarina. </w:t>
            </w:r>
          </w:p>
        </w:tc>
        <w:tc>
          <w:tcPr>
            <w:tcW w:w="886" w:type="dxa"/>
          </w:tcPr>
          <w:p w14:paraId="575CA99C"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8E3B6F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2EEEDC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324F98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71C080C0" w14:textId="77777777" w:rsidTr="003A17AF">
        <w:tc>
          <w:tcPr>
            <w:tcW w:w="5103" w:type="dxa"/>
          </w:tcPr>
          <w:p w14:paraId="1BE44FE3"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Vida de ecosistemas terrestres.</w:t>
            </w:r>
            <w:r w:rsidRPr="00040C99">
              <w:rPr>
                <w:rFonts w:asciiTheme="minorHAnsi" w:hAnsiTheme="minorHAnsi" w:cstheme="minorHAnsi"/>
                <w:sz w:val="22"/>
                <w:lang w:val="es-ES"/>
              </w:rPr>
              <w:t xml:space="preserve"> </w:t>
            </w:r>
          </w:p>
        </w:tc>
        <w:tc>
          <w:tcPr>
            <w:tcW w:w="886" w:type="dxa"/>
          </w:tcPr>
          <w:p w14:paraId="20D976C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1AE9CCA"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2C1CBD3"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FB51A58"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4D5457E9" w14:textId="77777777" w:rsidTr="003A17AF">
        <w:tc>
          <w:tcPr>
            <w:tcW w:w="5103" w:type="dxa"/>
          </w:tcPr>
          <w:p w14:paraId="01183D57"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Paz, justicia e instituciones sólidas.</w:t>
            </w:r>
            <w:r w:rsidRPr="00040C99">
              <w:rPr>
                <w:rFonts w:asciiTheme="minorHAnsi" w:hAnsiTheme="minorHAnsi" w:cstheme="minorHAnsi"/>
                <w:sz w:val="22"/>
                <w:lang w:val="es-ES"/>
              </w:rPr>
              <w:t xml:space="preserve"> </w:t>
            </w:r>
          </w:p>
        </w:tc>
        <w:tc>
          <w:tcPr>
            <w:tcW w:w="886" w:type="dxa"/>
          </w:tcPr>
          <w:p w14:paraId="19F5E23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8F30C0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F213D8C"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943139D"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4AB981F5" w14:textId="77777777" w:rsidTr="003A17AF">
        <w:tc>
          <w:tcPr>
            <w:tcW w:w="5103" w:type="dxa"/>
          </w:tcPr>
          <w:p w14:paraId="37BD525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Alianzas para lograr objetivos.</w:t>
            </w:r>
            <w:r w:rsidRPr="00040C99">
              <w:rPr>
                <w:rFonts w:asciiTheme="minorHAnsi" w:hAnsiTheme="minorHAnsi" w:cstheme="minorHAnsi"/>
                <w:sz w:val="22"/>
                <w:lang w:val="es-ES"/>
              </w:rPr>
              <w:t xml:space="preserve"> </w:t>
            </w:r>
          </w:p>
        </w:tc>
        <w:tc>
          <w:tcPr>
            <w:tcW w:w="886" w:type="dxa"/>
          </w:tcPr>
          <w:p w14:paraId="750DE059"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064AE5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18225B1"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8ECAD1A"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bl>
    <w:p w14:paraId="49BB60BB" w14:textId="77777777" w:rsidR="00040C99" w:rsidRPr="00040C99" w:rsidRDefault="00040C99" w:rsidP="00040C99">
      <w:pPr>
        <w:spacing w:after="0"/>
        <w:contextualSpacing/>
        <w:rPr>
          <w:rFonts w:asciiTheme="minorHAnsi" w:eastAsiaTheme="minorHAnsi" w:hAnsiTheme="minorHAnsi" w:cstheme="minorHAnsi"/>
          <w:lang w:val="es-ES"/>
        </w:rPr>
      </w:pPr>
    </w:p>
    <w:p w14:paraId="089AA9AB" w14:textId="1C844D56" w:rsidR="00040C99" w:rsidRDefault="00040C99" w:rsidP="003D14DF">
      <w:pPr>
        <w:spacing w:after="0"/>
        <w:rPr>
          <w:sz w:val="22"/>
          <w:szCs w:val="20"/>
          <w:lang w:val="es-ES"/>
        </w:rPr>
      </w:pPr>
    </w:p>
    <w:p w14:paraId="1A97AA78" w14:textId="47738959" w:rsidR="00040C99" w:rsidRDefault="00040C99" w:rsidP="003D14DF">
      <w:pPr>
        <w:spacing w:after="0"/>
        <w:rPr>
          <w:sz w:val="22"/>
          <w:szCs w:val="20"/>
          <w:lang w:val="es-ES"/>
        </w:rPr>
      </w:pPr>
    </w:p>
    <w:p w14:paraId="3668E74F" w14:textId="717EA294" w:rsidR="00040C99" w:rsidRDefault="00040C99" w:rsidP="003D14DF">
      <w:pPr>
        <w:spacing w:after="0"/>
        <w:rPr>
          <w:sz w:val="22"/>
          <w:szCs w:val="20"/>
          <w:lang w:val="es-ES"/>
        </w:rPr>
      </w:pPr>
    </w:p>
    <w:p w14:paraId="223002A6" w14:textId="26E26FF3" w:rsidR="00040C99" w:rsidRDefault="00040C99" w:rsidP="003D14DF">
      <w:pPr>
        <w:spacing w:after="0"/>
        <w:rPr>
          <w:sz w:val="22"/>
          <w:szCs w:val="20"/>
          <w:lang w:val="es-ES"/>
        </w:rPr>
      </w:pPr>
    </w:p>
    <w:p w14:paraId="57ED885B" w14:textId="4E94E50C" w:rsidR="00040C99" w:rsidRDefault="00040C99" w:rsidP="003D14DF">
      <w:pPr>
        <w:spacing w:after="0"/>
        <w:rPr>
          <w:sz w:val="22"/>
          <w:szCs w:val="20"/>
          <w:lang w:val="es-ES"/>
        </w:rPr>
      </w:pPr>
    </w:p>
    <w:p w14:paraId="4123DCF8" w14:textId="17E0E73E" w:rsidR="00040C99" w:rsidRDefault="00040C99" w:rsidP="003D14DF">
      <w:pPr>
        <w:spacing w:after="0"/>
        <w:rPr>
          <w:sz w:val="22"/>
          <w:szCs w:val="20"/>
          <w:lang w:val="es-ES"/>
        </w:rPr>
      </w:pPr>
    </w:p>
    <w:p w14:paraId="2A140480" w14:textId="5CFD6735" w:rsidR="00040C99" w:rsidRDefault="00040C99" w:rsidP="003D14DF">
      <w:pPr>
        <w:spacing w:after="0"/>
        <w:rPr>
          <w:sz w:val="22"/>
          <w:szCs w:val="20"/>
          <w:lang w:val="es-ES"/>
        </w:rPr>
      </w:pPr>
    </w:p>
    <w:p w14:paraId="006D4BC0" w14:textId="28C0A95D" w:rsidR="00040C99" w:rsidRDefault="00040C99" w:rsidP="00D03E3A">
      <w:pPr>
        <w:spacing w:after="0"/>
        <w:jc w:val="both"/>
        <w:rPr>
          <w:rFonts w:asciiTheme="minorHAnsi" w:hAnsiTheme="minorHAnsi" w:cstheme="minorHAnsi"/>
          <w:szCs w:val="21"/>
          <w:lang w:val="es-ES"/>
        </w:rPr>
      </w:pPr>
      <w:r w:rsidRPr="00D03E3A">
        <w:rPr>
          <w:rFonts w:asciiTheme="minorHAnsi" w:hAnsiTheme="minorHAnsi" w:cstheme="minorHAnsi"/>
          <w:szCs w:val="21"/>
          <w:lang w:val="es-ES"/>
        </w:rPr>
        <w:lastRenderedPageBreak/>
        <w:t>Reflexión sobre la relación del TFG/TFM con los OD</w:t>
      </w:r>
      <w:r w:rsidR="00D03E3A" w:rsidRPr="00D03E3A">
        <w:rPr>
          <w:rFonts w:asciiTheme="minorHAnsi" w:hAnsiTheme="minorHAnsi" w:cstheme="minorHAnsi"/>
          <w:szCs w:val="21"/>
          <w:lang w:val="es-ES"/>
        </w:rPr>
        <w:t>S y con el/los ODS más relacionados.</w:t>
      </w:r>
    </w:p>
    <w:p w14:paraId="022E2D94" w14:textId="4097439C" w:rsidR="00D03E3A" w:rsidRDefault="00D03E3A" w:rsidP="00D03E3A">
      <w:pPr>
        <w:spacing w:after="0"/>
        <w:jc w:val="both"/>
        <w:rPr>
          <w:rFonts w:asciiTheme="minorHAnsi" w:hAnsiTheme="minorHAnsi" w:cstheme="minorHAnsi"/>
          <w:szCs w:val="21"/>
          <w:lang w:val="es-ES"/>
        </w:rPr>
      </w:pP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Entrenar una red neuronal profunda es hoy una de las operaciones más caras del aprendizaje automático, en tiempo de máquina, en energía y en dinero. La forma habitual de saber si una configuración merece la pena sigue siendo lanzarla entera y mirar el resultado al final, y buena parte del cómputo se gasta en entrenamientos que un observador con mejor información habría detenido pronto. Este trabajo estudia una de las señales que podrían aportar esa información, las métricas calculadas sobre los gradientes de la red durante su fracción temprana, y mide si predicen la eficiencia del entrenamiento completo. Es un estudio correlacional sobre 960 entrenamientos de clasificación de imágenes, y su relación con la Agenda 2030 pasa por el cómputo que ese tipo de entrenamiento consume.</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La relación más directa es con el ODS 7, energía asequible y no contaminante, y a través de él con el ODS 13, acción por el clima. Un entrenamiento que no va a converger, o que va a hacerlo más despacio de lo que su presupuesto permite, consume la misma electricidad que uno bueno hasta que alguien lo detiene. Si una medida tomada en el primer 5 % del presupuesto anticipara ese desenlace, el resto de la energía podría ahorrarse, y la decisión de cortar dejaría de depender de la intuición de quien mira la curva. Esa es la promesa práctica del trabajo y también su límite, porque aquí solo se mide si la señal existe, y decidir a partir de ella queda para un estudio posterior. La relación con el objetivo se mantiene aunque la respuesta sea negativa. Calcular las métricas de gradiente cuesta cómputo, en esta matriz 24,1 de las 121,7 horas totales, y si ninguna de ellas supera a la información gratuita de la curva de </w:t>
      </w:r>
      <w:r>
        <w:rPr>
          <w:rFonts w:asciiTheme="minorHAnsi" w:hAnsiTheme="minorHAnsi" w:cstheme="minorHAnsi"/>
          <w:i/>
          <w:szCs w:val="21"/>
          <w:lang w:val="es-ES"/>
        </w:rPr>
        <w:t xml:space="preserve">loss</w:t>
      </w:r>
      <w:r>
        <w:rPr>
          <w:rFonts w:asciiTheme="minorHAnsi" w:hAnsiTheme="minorHAnsi" w:cstheme="minorHAnsi"/>
          <w:szCs w:val="21"/>
          <w:lang w:val="es-ES"/>
        </w:rPr>
        <w:t xml:space="preserve">, el resultado dice a quien entrena que no gaste ese cómputo. Un resultado negativo bien medido evita un consumo tan real como el que evitaría un resultado positivo. El ODS 13 se queda en el nivel bajo porque el trabajo no mide emisiones ni energía, solo horas de una GPU, y cualquier conversión a kilovatios hora sería una estimación ajena a lo medido.</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El ODS 12, producción y consumo responsables, recoge la manera en que se ha gastado el cómputo del propio estudio. La matriz se diseñó una sola vez, con el tamaño mínimo que la pregunta necesitaba, y se ejecutó en una única GPU a lo largo de 121,7 horas de reloj. Antes de lanzarla se hizo un </w:t>
      </w:r>
      <w:r>
        <w:rPr>
          <w:rFonts w:asciiTheme="minorHAnsi" w:hAnsiTheme="minorHAnsi" w:cstheme="minorHAnsi"/>
          <w:i/>
          <w:szCs w:val="21"/>
          <w:lang w:val="es-ES"/>
        </w:rPr>
        <w:t xml:space="preserve">pilot</w:t>
      </w:r>
      <w:r>
        <w:rPr>
          <w:rFonts w:asciiTheme="minorHAnsi" w:hAnsiTheme="minorHAnsi" w:cstheme="minorHAnsi"/>
          <w:szCs w:val="21"/>
          <w:lang w:val="es-ES"/>
        </w:rPr>
        <w:t xml:space="preserve"> corto por celda para fijar el presupuesto de </w:t>
      </w:r>
      <w:r>
        <w:rPr>
          <w:rFonts w:asciiTheme="minorHAnsi" w:hAnsiTheme="minorHAnsi" w:cstheme="minorHAnsi"/>
          <w:i/>
          <w:szCs w:val="21"/>
          <w:lang w:val="es-ES"/>
        </w:rPr>
        <w:t xml:space="preserve">epochs</w:t>
      </w:r>
      <w:r>
        <w:rPr>
          <w:rFonts w:asciiTheme="minorHAnsi" w:hAnsiTheme="minorHAnsi" w:cstheme="minorHAnsi"/>
          <w:szCs w:val="21"/>
          <w:lang w:val="es-ES"/>
        </w:rPr>
        <w:t xml:space="preserve"> y no dejar correr ningún entrenamiento más allá de lo que su curva de validación justificaba. El lanzador guarda cada entrenamiento terminado y reanuda solo lo pendiente, así que ninguno se repitió por accidente. Los resultados completos, con los dos relojes de cada entrenamiento, el de aprendizaje y el de medición, están versionados junto al código, y cualquier lector puede reanalizarlos sin volver a entrenar nada. Declarar el coste entero de la instrumentación junto a su posible beneficio es la parte del consumo responsable que un estudio como este puede cumplir por sí mismo.</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El ODS 9, industria, innovación e infraestructuras, pide reforzar la investigación científica y la capacidad tecnológica. Este trabajo aporta una pieza pequeña de esa capacidad, una comparación sistemática de ocho métricas ya publicadas contra un predictor de referencia que no cuesta nada, sobre una matriz común de conjuntos de datos, arquitecturas y optimizadores. Las métricas se propusieron en artículos distintos, cada uno con su propio banco de pruebas, y hasta ahora no se habían medido todas en las mismas condiciones. El código que las calcula, con sus pruebas unitarias, queda disponible para que otro grupo lo aplique a sus propios entrenamientos o lo extienda a dominios que aquí quedan fuera, como el texto o las arquitecturas de tipo </w:t>
      </w:r>
      <w:r>
        <w:rPr>
          <w:rFonts w:asciiTheme="minorHAnsi" w:hAnsiTheme="minorHAnsi" w:cstheme="minorHAnsi"/>
          <w:i/>
          <w:szCs w:val="21"/>
          <w:lang w:val="es-ES"/>
        </w:rPr>
        <w:t xml:space="preserve">transformer</w:t>
      </w:r>
      <w:r>
        <w:rPr>
          <w:rFonts w:asciiTheme="minorHAnsi" w:hAnsiTheme="minorHAnsi" w:cstheme="minorHAnsi"/>
          <w:szCs w:val="21"/>
          <w:lang w:val="es-ES"/>
        </w:rPr>
        <w:t xml:space="preserve">. La relación se queda en el nivel medio porque la aportación es una evaluación de herramientas existentes y no una infraestructura nueva.</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El ODS 4, educación de calidad, tiene una relación indirecta. La memoria documenta el diseño, las decisiones y los errores encontrados por el camino, y el repositorio guarda los datos, el código y las pruebas que permiten repetir el estudio de principio a fin. Ese material puede servir de ejemplo trabajado de un estudio empírico reproducible para estudiantes de ciencia de datos, y en esa medida el trabajo contribuye a la formación, aunque no se haya concebido como recurso docente. Por esa razón se marca en el nivel bajo.</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Los 12 objetivos restantes no proceden. El trabajo no recoge datos nuevos y trabaja con cuatro conjuntos de datos públicos de imágenes, de uso general en la investigación, y no toma ninguna decisión que afecte a personas, a la salud, a la alimentación, al agua, a las ciudades, a los ecosistemas o a las instituciones. Tampoco tiene una dimensión de género ni de reducción de desigualdades más allá de la que comparte cualquier trabajo que publica su código en abierto. Marcarlos como no procedentes es más honesto que forzar una relación que la memoria no puede sostener.</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La Agenda 2030 pide a la ingeniería que gaste menos para conseguir lo mismo. En el aprendizaje automático, el gasto que más crece es el del entrenamiento, y saber pronto qué entrenamientos no compensan es una de las pocas palancas que no exige cambiar el modelo ni los datos. Este trabajo mide esa palanca antes de que nadie la mueva, y esa medida es lo que permite moverla con conocimiento de causa.</w:t>
      </w:r>
    </w:p>
    <w:sectPr w:rsidR="00D03E3A" w:rsidRPr="00D03E3A" w:rsidSect="003D14DF">
      <w:headerReference w:type="default" r:id="rId7"/>
      <w:footerReference w:type="default" r:id="rId8"/>
      <w:pgSz w:w="11900" w:h="16840"/>
      <w:pgMar w:top="1417" w:right="1701" w:bottom="1417" w:left="170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C53FF" w14:textId="77777777" w:rsidR="004E6A4D" w:rsidRDefault="004E6A4D">
      <w:r>
        <w:separator/>
      </w:r>
    </w:p>
  </w:endnote>
  <w:endnote w:type="continuationSeparator" w:id="0">
    <w:p w14:paraId="0C268D2E" w14:textId="77777777" w:rsidR="004E6A4D" w:rsidRDefault="004E6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3B573" w14:textId="77777777" w:rsidR="001E414E" w:rsidRPr="0087777C" w:rsidRDefault="001E414E" w:rsidP="003D14DF">
    <w:pPr>
      <w:spacing w:after="0"/>
      <w:rPr>
        <w:sz w:val="16"/>
      </w:rPr>
    </w:pPr>
  </w:p>
  <w:tbl>
    <w:tblPr>
      <w:tblW w:w="0" w:type="auto"/>
      <w:tblLook w:val="00A0" w:firstRow="1" w:lastRow="0" w:firstColumn="1" w:lastColumn="0" w:noHBand="0" w:noVBand="0"/>
    </w:tblPr>
    <w:tblGrid>
      <w:gridCol w:w="3232"/>
      <w:gridCol w:w="3044"/>
      <w:gridCol w:w="2222"/>
    </w:tblGrid>
    <w:tr w:rsidR="004E662C" w:rsidRPr="00364543" w14:paraId="426E16A8" w14:textId="77777777" w:rsidTr="004E662C">
      <w:tc>
        <w:tcPr>
          <w:tcW w:w="3241" w:type="dxa"/>
          <w:tcBorders>
            <w:right w:val="single" w:sz="4" w:space="0" w:color="auto"/>
          </w:tcBorders>
        </w:tcPr>
        <w:p w14:paraId="22F49FC5" w14:textId="77777777" w:rsidR="004E662C" w:rsidRPr="00364543" w:rsidRDefault="00040C99" w:rsidP="003D14DF">
          <w:pPr>
            <w:pStyle w:val="Piedepgina"/>
            <w:rPr>
              <w:rFonts w:ascii="Arial" w:hAnsi="Arial"/>
              <w:sz w:val="16"/>
            </w:rPr>
          </w:pPr>
          <w:r w:rsidRPr="00364543">
            <w:rPr>
              <w:noProof/>
              <w:lang w:eastAsia="es-ES_tradnl"/>
            </w:rPr>
            <w:drawing>
              <wp:inline distT="0" distB="0" distL="0" distR="0" wp14:anchorId="0F78499C" wp14:editId="14ACA25E">
                <wp:extent cx="1866900" cy="812800"/>
                <wp:effectExtent l="0" t="0" r="0" b="0"/>
                <wp:docPr id="2" name="Imagen 0" descr="STINF_Principal_V.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0" descr="STINF_Principal_V.jp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6900" cy="812800"/>
                        </a:xfrm>
                        <a:prstGeom prst="rect">
                          <a:avLst/>
                        </a:prstGeom>
                        <a:noFill/>
                        <a:ln>
                          <a:noFill/>
                        </a:ln>
                      </pic:spPr>
                    </pic:pic>
                  </a:graphicData>
                </a:graphic>
              </wp:inline>
            </w:drawing>
          </w:r>
        </w:p>
      </w:tc>
      <w:tc>
        <w:tcPr>
          <w:tcW w:w="3191" w:type="dxa"/>
          <w:tcBorders>
            <w:left w:val="single" w:sz="4" w:space="0" w:color="auto"/>
          </w:tcBorders>
          <w:vAlign w:val="center"/>
        </w:tcPr>
        <w:p w14:paraId="1DA21BBD" w14:textId="77777777" w:rsidR="004E662C" w:rsidRPr="00364543" w:rsidRDefault="004E662C" w:rsidP="003D14DF">
          <w:pPr>
            <w:pStyle w:val="Piedepgina"/>
            <w:rPr>
              <w:rFonts w:ascii="Arial" w:hAnsi="Arial"/>
              <w:b/>
              <w:sz w:val="16"/>
            </w:rPr>
          </w:pPr>
          <w:r w:rsidRPr="00364543">
            <w:rPr>
              <w:rFonts w:ascii="Arial" w:hAnsi="Arial"/>
              <w:b/>
              <w:sz w:val="16"/>
            </w:rPr>
            <w:t xml:space="preserve">ETS </w:t>
          </w:r>
          <w:proofErr w:type="spellStart"/>
          <w:r w:rsidRPr="00364543">
            <w:rPr>
              <w:rFonts w:ascii="Arial" w:hAnsi="Arial"/>
              <w:b/>
              <w:sz w:val="16"/>
            </w:rPr>
            <w:t>Enginyeria</w:t>
          </w:r>
          <w:proofErr w:type="spellEnd"/>
          <w:r w:rsidRPr="00364543">
            <w:rPr>
              <w:rFonts w:ascii="Arial" w:hAnsi="Arial"/>
              <w:b/>
              <w:sz w:val="16"/>
            </w:rPr>
            <w:t xml:space="preserve"> </w:t>
          </w:r>
          <w:proofErr w:type="spellStart"/>
          <w:r w:rsidRPr="00364543">
            <w:rPr>
              <w:rFonts w:ascii="Arial" w:hAnsi="Arial"/>
              <w:b/>
              <w:sz w:val="16"/>
            </w:rPr>
            <w:t>Informàtica</w:t>
          </w:r>
          <w:proofErr w:type="spellEnd"/>
        </w:p>
        <w:p w14:paraId="6F0EECF6" w14:textId="77777777" w:rsidR="004E662C" w:rsidRPr="00364543" w:rsidRDefault="004E662C" w:rsidP="003D14DF">
          <w:pPr>
            <w:pStyle w:val="Piedepgina"/>
            <w:rPr>
              <w:rFonts w:ascii="Arial" w:hAnsi="Arial"/>
              <w:sz w:val="16"/>
            </w:rPr>
          </w:pPr>
          <w:proofErr w:type="spellStart"/>
          <w:r w:rsidRPr="00364543">
            <w:rPr>
              <w:rFonts w:ascii="Arial" w:hAnsi="Arial"/>
              <w:sz w:val="16"/>
            </w:rPr>
            <w:t>Camí</w:t>
          </w:r>
          <w:proofErr w:type="spellEnd"/>
          <w:r w:rsidRPr="00364543">
            <w:rPr>
              <w:rFonts w:ascii="Arial" w:hAnsi="Arial"/>
              <w:sz w:val="16"/>
            </w:rPr>
            <w:t xml:space="preserve"> de Vera, s/n. 46022. </w:t>
          </w:r>
          <w:proofErr w:type="spellStart"/>
          <w:r w:rsidRPr="00364543">
            <w:rPr>
              <w:rFonts w:ascii="Arial" w:hAnsi="Arial"/>
              <w:sz w:val="16"/>
            </w:rPr>
            <w:t>València</w:t>
          </w:r>
          <w:proofErr w:type="spellEnd"/>
        </w:p>
        <w:p w14:paraId="2AA58843" w14:textId="77777777" w:rsidR="004E662C" w:rsidRDefault="004E662C" w:rsidP="003D14DF">
          <w:pPr>
            <w:pStyle w:val="Piedepgina"/>
            <w:rPr>
              <w:rFonts w:ascii="Arial" w:hAnsi="Arial"/>
              <w:sz w:val="16"/>
            </w:rPr>
          </w:pPr>
          <w:r w:rsidRPr="00364543">
            <w:rPr>
              <w:rFonts w:ascii="Arial" w:hAnsi="Arial"/>
              <w:b/>
              <w:sz w:val="16"/>
            </w:rPr>
            <w:t>T</w:t>
          </w:r>
          <w:r w:rsidRPr="00364543">
            <w:rPr>
              <w:rFonts w:ascii="Arial" w:hAnsi="Arial"/>
              <w:sz w:val="16"/>
            </w:rPr>
            <w:t xml:space="preserve"> +34 963 877 210</w:t>
          </w:r>
        </w:p>
        <w:p w14:paraId="2B694596" w14:textId="77777777" w:rsidR="004E662C" w:rsidRPr="00364543" w:rsidRDefault="004E662C" w:rsidP="003D14DF">
          <w:pPr>
            <w:pStyle w:val="Piedepgina"/>
            <w:rPr>
              <w:rFonts w:ascii="Arial" w:hAnsi="Arial"/>
              <w:sz w:val="16"/>
            </w:rPr>
          </w:pPr>
          <w:r w:rsidRPr="00364543">
            <w:rPr>
              <w:rFonts w:ascii="Arial" w:hAnsi="Arial"/>
              <w:b/>
              <w:sz w:val="16"/>
            </w:rPr>
            <w:t>F</w:t>
          </w:r>
          <w:r w:rsidRPr="00364543">
            <w:rPr>
              <w:rFonts w:ascii="Arial" w:hAnsi="Arial"/>
              <w:sz w:val="16"/>
            </w:rPr>
            <w:t xml:space="preserve"> +34 963 877 219</w:t>
          </w:r>
        </w:p>
        <w:p w14:paraId="009F5DC5" w14:textId="77777777" w:rsidR="004E662C" w:rsidRPr="008F7CD9" w:rsidRDefault="004E662C" w:rsidP="003D14DF">
          <w:pPr>
            <w:pStyle w:val="Piedepgina"/>
            <w:rPr>
              <w:rFonts w:ascii="Arial" w:hAnsi="Arial"/>
              <w:sz w:val="16"/>
            </w:rPr>
          </w:pPr>
          <w:r w:rsidRPr="00364543">
            <w:rPr>
              <w:rFonts w:ascii="Arial" w:hAnsi="Arial"/>
              <w:sz w:val="16"/>
            </w:rPr>
            <w:t>etsinf</w:t>
          </w:r>
          <w:r>
            <w:rPr>
              <w:rFonts w:ascii="Arial" w:hAnsi="Arial"/>
              <w:sz w:val="16"/>
            </w:rPr>
            <w:t>@upvnet.upv.es - www.inf.upv.es</w:t>
          </w:r>
        </w:p>
      </w:tc>
      <w:tc>
        <w:tcPr>
          <w:tcW w:w="2282" w:type="dxa"/>
          <w:vAlign w:val="center"/>
        </w:tcPr>
        <w:p w14:paraId="7CDCEC9C" w14:textId="77777777" w:rsidR="004E662C" w:rsidRPr="00364543" w:rsidRDefault="00040C99" w:rsidP="004E662C">
          <w:pPr>
            <w:pStyle w:val="Piedepgina"/>
            <w:jc w:val="right"/>
            <w:rPr>
              <w:rFonts w:ascii="Arial" w:hAnsi="Arial"/>
              <w:b/>
              <w:sz w:val="16"/>
            </w:rPr>
          </w:pPr>
          <w:r>
            <w:rPr>
              <w:rFonts w:ascii="Arial" w:hAnsi="Arial"/>
              <w:b/>
              <w:noProof/>
              <w:sz w:val="16"/>
            </w:rPr>
            <w:drawing>
              <wp:inline distT="0" distB="0" distL="0" distR="0" wp14:anchorId="3DDDA892" wp14:editId="7B98BA42">
                <wp:extent cx="939800" cy="762000"/>
                <wp:effectExtent l="0" t="0" r="0" b="0"/>
                <wp:docPr id="3" name="Imagen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
                          <a:extLst>
                            <a:ext uri="{28A0092B-C50C-407E-A947-70E740481C1C}">
                              <a14:useLocalDpi xmlns:a14="http://schemas.microsoft.com/office/drawing/2010/main" val="0"/>
                            </a:ext>
                          </a:extLst>
                        </a:blip>
                        <a:srcRect l="7022" t="10623" r="12952" b="13861"/>
                        <a:stretch>
                          <a:fillRect/>
                        </a:stretch>
                      </pic:blipFill>
                      <pic:spPr bwMode="auto">
                        <a:xfrm>
                          <a:off x="0" y="0"/>
                          <a:ext cx="939800" cy="762000"/>
                        </a:xfrm>
                        <a:prstGeom prst="rect">
                          <a:avLst/>
                        </a:prstGeom>
                        <a:noFill/>
                        <a:ln>
                          <a:noFill/>
                        </a:ln>
                      </pic:spPr>
                    </pic:pic>
                  </a:graphicData>
                </a:graphic>
              </wp:inline>
            </w:drawing>
          </w:r>
        </w:p>
      </w:tc>
    </w:tr>
  </w:tbl>
  <w:p w14:paraId="14680553" w14:textId="77777777" w:rsidR="001E414E" w:rsidRDefault="001E41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F1B4B" w14:textId="77777777" w:rsidR="004E6A4D" w:rsidRDefault="004E6A4D">
      <w:r>
        <w:separator/>
      </w:r>
    </w:p>
  </w:footnote>
  <w:footnote w:type="continuationSeparator" w:id="0">
    <w:p w14:paraId="4EE202DF" w14:textId="77777777" w:rsidR="004E6A4D" w:rsidRDefault="004E6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8498"/>
    </w:tblGrid>
    <w:tr w:rsidR="001E414E" w:rsidRPr="00364543" w14:paraId="73E093E5" w14:textId="77777777">
      <w:tc>
        <w:tcPr>
          <w:tcW w:w="8638" w:type="dxa"/>
        </w:tcPr>
        <w:p w14:paraId="60DF5C30" w14:textId="52062CC3" w:rsidR="001E414E" w:rsidRPr="00364543" w:rsidRDefault="00040C99" w:rsidP="003D14DF">
          <w:pPr>
            <w:pStyle w:val="Encabezado"/>
          </w:pPr>
          <w:r w:rsidRPr="00364543">
            <w:rPr>
              <w:noProof/>
              <w:lang w:eastAsia="es-ES_tradnl"/>
            </w:rPr>
            <w:drawing>
              <wp:inline distT="0" distB="0" distL="0" distR="0" wp14:anchorId="0B9A6D40" wp14:editId="3E5DEDD7">
                <wp:extent cx="1460500" cy="571500"/>
                <wp:effectExtent l="0" t="0" r="0" b="0"/>
                <wp:docPr id="1" name="Imagen 1" descr="UPV (escut+lletres val hor).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UPV (escut+lletres val hor).jp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0500" cy="571500"/>
                        </a:xfrm>
                        <a:prstGeom prst="rect">
                          <a:avLst/>
                        </a:prstGeom>
                        <a:noFill/>
                        <a:ln>
                          <a:noFill/>
                        </a:ln>
                      </pic:spPr>
                    </pic:pic>
                  </a:graphicData>
                </a:graphic>
              </wp:inline>
            </w:drawing>
          </w:r>
          <w:r>
            <w:t xml:space="preserve">                                                                                    </w:t>
          </w:r>
          <w:r>
            <w:rPr>
              <w:rFonts w:ascii="Futura Medium" w:hAnsi="Futura Medium" w:cs="Futura Medium" w:hint="cs"/>
              <w:noProof/>
              <w:sz w:val="20"/>
              <w:szCs w:val="20"/>
            </w:rPr>
            <w:drawing>
              <wp:inline distT="0" distB="0" distL="0" distR="0" wp14:anchorId="608F76EE" wp14:editId="39F1EDD2">
                <wp:extent cx="678329" cy="679391"/>
                <wp:effectExtent l="0" t="0" r="0" b="0"/>
                <wp:docPr id="7" name="Imagen 7" descr="Gráfico, Gráfico de proyección so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 Gráfico de proyección solar&#10;&#10;Descripción generada automáticamente"/>
                        <pic:cNvPicPr/>
                      </pic:nvPicPr>
                      <pic:blipFill>
                        <a:blip r:embed="rId2"/>
                        <a:stretch>
                          <a:fillRect/>
                        </a:stretch>
                      </pic:blipFill>
                      <pic:spPr>
                        <a:xfrm>
                          <a:off x="0" y="0"/>
                          <a:ext cx="685450" cy="686523"/>
                        </a:xfrm>
                        <a:prstGeom prst="rect">
                          <a:avLst/>
                        </a:prstGeom>
                      </pic:spPr>
                    </pic:pic>
                  </a:graphicData>
                </a:graphic>
              </wp:inline>
            </w:drawing>
          </w:r>
          <w:r>
            <w:rPr>
              <w:noProof/>
              <w:lang w:eastAsia="es-ES_tradnl"/>
            </w:rPr>
            <mc:AlternateContent>
              <mc:Choice Requires="wps">
                <w:drawing>
                  <wp:anchor distT="0" distB="0" distL="114300" distR="114300" simplePos="0" relativeHeight="251657728" behindDoc="0" locked="0" layoutInCell="1" allowOverlap="1" wp14:anchorId="347A36C9" wp14:editId="4F948327">
                    <wp:simplePos x="0" y="0"/>
                    <wp:positionH relativeFrom="column">
                      <wp:posOffset>-114300</wp:posOffset>
                    </wp:positionH>
                    <wp:positionV relativeFrom="paragraph">
                      <wp:posOffset>-104140</wp:posOffset>
                    </wp:positionV>
                    <wp:extent cx="0" cy="9829800"/>
                    <wp:effectExtent l="12700" t="0" r="0" b="0"/>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9829800"/>
                            </a:xfrm>
                            <a:prstGeom prst="line">
                              <a:avLst/>
                            </a:prstGeom>
                            <a:noFill/>
                            <a:ln w="19050">
                              <a:solidFill>
                                <a:srgbClr val="DC2A79"/>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38100" dist="25400" dir="5400000" algn="ctr" rotWithShape="0">
                                      <a:srgbClr val="808080">
                                        <a:alpha val="35001"/>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4C320D"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8.2pt" to="-9pt,765.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" strokecolor="#dc2a79" strokeweight="1.5pt">
                    <v:fill o:detectmouseclick="t"/>
                    <v:shadow opacity="22938f" offset="0"/>
                    <o:lock v:ext="edit" shapetype="f"/>
                  </v:line>
                </w:pict>
              </mc:Fallback>
            </mc:AlternateContent>
          </w:r>
        </w:p>
      </w:tc>
    </w:tr>
  </w:tbl>
  <w:p w14:paraId="0996BF11" w14:textId="77777777" w:rsidR="001E414E" w:rsidRDefault="001E41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43A50"/>
    <w:multiLevelType w:val="hybridMultilevel"/>
    <w:tmpl w:val="883853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76D4DAA"/>
    <w:multiLevelType w:val="hybridMultilevel"/>
    <w:tmpl w:val="26CCB686"/>
    <w:lvl w:ilvl="0" w:tplc="26FE23A6">
      <w:start w:val="1"/>
      <w:numFmt w:val="decimal"/>
      <w:lvlText w:val="ODS %1."/>
      <w:lvlJc w:val="left"/>
      <w:pPr>
        <w:ind w:left="1778" w:hanging="360"/>
      </w:pPr>
      <w:rPr>
        <w:rFonts w:hint="default"/>
      </w:rPr>
    </w:lvl>
    <w:lvl w:ilvl="1" w:tplc="040A0019" w:tentative="1">
      <w:start w:val="1"/>
      <w:numFmt w:val="lowerLetter"/>
      <w:lvlText w:val="%2."/>
      <w:lvlJc w:val="left"/>
      <w:pPr>
        <w:ind w:left="2498" w:hanging="360"/>
      </w:pPr>
    </w:lvl>
    <w:lvl w:ilvl="2" w:tplc="040A001B" w:tentative="1">
      <w:start w:val="1"/>
      <w:numFmt w:val="lowerRoman"/>
      <w:lvlText w:val="%3."/>
      <w:lvlJc w:val="right"/>
      <w:pPr>
        <w:ind w:left="3218" w:hanging="180"/>
      </w:pPr>
    </w:lvl>
    <w:lvl w:ilvl="3" w:tplc="040A000F" w:tentative="1">
      <w:start w:val="1"/>
      <w:numFmt w:val="decimal"/>
      <w:lvlText w:val="%4."/>
      <w:lvlJc w:val="left"/>
      <w:pPr>
        <w:ind w:left="3938" w:hanging="360"/>
      </w:pPr>
    </w:lvl>
    <w:lvl w:ilvl="4" w:tplc="040A0019" w:tentative="1">
      <w:start w:val="1"/>
      <w:numFmt w:val="lowerLetter"/>
      <w:lvlText w:val="%5."/>
      <w:lvlJc w:val="left"/>
      <w:pPr>
        <w:ind w:left="4658" w:hanging="360"/>
      </w:pPr>
    </w:lvl>
    <w:lvl w:ilvl="5" w:tplc="040A001B" w:tentative="1">
      <w:start w:val="1"/>
      <w:numFmt w:val="lowerRoman"/>
      <w:lvlText w:val="%6."/>
      <w:lvlJc w:val="right"/>
      <w:pPr>
        <w:ind w:left="5378" w:hanging="180"/>
      </w:pPr>
    </w:lvl>
    <w:lvl w:ilvl="6" w:tplc="040A000F" w:tentative="1">
      <w:start w:val="1"/>
      <w:numFmt w:val="decimal"/>
      <w:lvlText w:val="%7."/>
      <w:lvlJc w:val="left"/>
      <w:pPr>
        <w:ind w:left="6098" w:hanging="360"/>
      </w:pPr>
    </w:lvl>
    <w:lvl w:ilvl="7" w:tplc="040A0019" w:tentative="1">
      <w:start w:val="1"/>
      <w:numFmt w:val="lowerLetter"/>
      <w:lvlText w:val="%8."/>
      <w:lvlJc w:val="left"/>
      <w:pPr>
        <w:ind w:left="6818" w:hanging="360"/>
      </w:pPr>
    </w:lvl>
    <w:lvl w:ilvl="8" w:tplc="040A001B" w:tentative="1">
      <w:start w:val="1"/>
      <w:numFmt w:val="lowerRoman"/>
      <w:lvlText w:val="%9."/>
      <w:lvlJc w:val="right"/>
      <w:pPr>
        <w:ind w:left="7538" w:hanging="180"/>
      </w:pPr>
    </w:lvl>
  </w:abstractNum>
  <w:abstractNum w:abstractNumId="2" w15:restartNumberingAfterBreak="0">
    <w:nsid w:val="29F72CE3"/>
    <w:multiLevelType w:val="hybridMultilevel"/>
    <w:tmpl w:val="2292B38C"/>
    <w:lvl w:ilvl="0" w:tplc="1130B2CE">
      <w:numFmt w:val="bullet"/>
      <w:lvlText w:val="-"/>
      <w:lvlJc w:val="left"/>
      <w:pPr>
        <w:ind w:left="720" w:hanging="360"/>
      </w:pPr>
      <w:rPr>
        <w:rFonts w:ascii="Georgia" w:eastAsia="Cambria" w:hAnsi="Georgia" w:cs="Times New Roman"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CD9"/>
    <w:rsid w:val="00040C99"/>
    <w:rsid w:val="000D4AD5"/>
    <w:rsid w:val="001D3FE9"/>
    <w:rsid w:val="001E414E"/>
    <w:rsid w:val="002F45CE"/>
    <w:rsid w:val="003757DB"/>
    <w:rsid w:val="003D14DF"/>
    <w:rsid w:val="00452043"/>
    <w:rsid w:val="004E662C"/>
    <w:rsid w:val="004E6A4D"/>
    <w:rsid w:val="005163F5"/>
    <w:rsid w:val="00585683"/>
    <w:rsid w:val="005F5706"/>
    <w:rsid w:val="0065013F"/>
    <w:rsid w:val="006D797B"/>
    <w:rsid w:val="006E5756"/>
    <w:rsid w:val="008114F4"/>
    <w:rsid w:val="00820B00"/>
    <w:rsid w:val="008F7CD9"/>
    <w:rsid w:val="00917373"/>
    <w:rsid w:val="00A64CD0"/>
    <w:rsid w:val="00B10DCF"/>
    <w:rsid w:val="00B75BD9"/>
    <w:rsid w:val="00D03E3A"/>
    <w:rsid w:val="00D1506F"/>
    <w:rsid w:val="00E11658"/>
    <w:rsid w:val="00E6386E"/>
    <w:rsid w:val="00E65859"/>
    <w:rsid w:val="00E92127"/>
    <w:rsid w:val="00F73B14"/>
    <w:rsid w:val="00F917F0"/>
    <w:rsid w:val="00FA792B"/>
  </w:rsids>
  <m:mathPr>
    <m:mathFont m:val="Cambria Math"/>
    <m:brkBin m:val="before"/>
    <m:brkBinSub m:val="--"/>
    <m:smallFrac m:val="0"/>
    <m:dispDef m:val="0"/>
    <m:lMargin m:val="0"/>
    <m:rMargin m:val="0"/>
    <m:defJc m:val="centerGroup"/>
    <m:wrapRight/>
    <m:intLim m:val="subSup"/>
    <m:naryLim m:val="subSup"/>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9E31B2E"/>
  <w14:defaultImageDpi w14:val="300"/>
  <w15:chartTrackingRefBased/>
  <w15:docId w15:val="{CCD3C832-E57F-3448-9B3A-8F220DF65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A39"/>
    <w:pPr>
      <w:spacing w:after="200"/>
    </w:pPr>
    <w:rPr>
      <w:rFonts w:ascii="Georgia" w:hAnsi="Georgia"/>
      <w:sz w:val="24"/>
      <w:szCs w:val="24"/>
      <w:lang w:val="es-ES_tradnl"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777C"/>
    <w:pPr>
      <w:tabs>
        <w:tab w:val="center" w:pos="4419"/>
        <w:tab w:val="right" w:pos="8838"/>
      </w:tabs>
      <w:spacing w:after="0"/>
    </w:pPr>
  </w:style>
  <w:style w:type="character" w:customStyle="1" w:styleId="EncabezadoCar">
    <w:name w:val="Encabezado Car"/>
    <w:link w:val="Encabezado"/>
    <w:uiPriority w:val="99"/>
    <w:rsid w:val="0087777C"/>
    <w:rPr>
      <w:sz w:val="24"/>
      <w:szCs w:val="24"/>
    </w:rPr>
  </w:style>
  <w:style w:type="paragraph" w:styleId="Piedepgina">
    <w:name w:val="footer"/>
    <w:basedOn w:val="Normal"/>
    <w:link w:val="PiedepginaCar"/>
    <w:uiPriority w:val="99"/>
    <w:unhideWhenUsed/>
    <w:rsid w:val="0087777C"/>
    <w:pPr>
      <w:tabs>
        <w:tab w:val="center" w:pos="4419"/>
        <w:tab w:val="right" w:pos="8838"/>
      </w:tabs>
      <w:spacing w:after="0"/>
    </w:pPr>
  </w:style>
  <w:style w:type="character" w:customStyle="1" w:styleId="PiedepginaCar">
    <w:name w:val="Pie de página Car"/>
    <w:link w:val="Piedepgina"/>
    <w:uiPriority w:val="99"/>
    <w:rsid w:val="0087777C"/>
    <w:rPr>
      <w:sz w:val="24"/>
      <w:szCs w:val="24"/>
    </w:rPr>
  </w:style>
  <w:style w:type="table" w:styleId="Tablaconcuadrcula">
    <w:name w:val="Table Grid"/>
    <w:basedOn w:val="Tablanormal"/>
    <w:uiPriority w:val="59"/>
    <w:rsid w:val="0087777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semiHidden/>
    <w:unhideWhenUsed/>
    <w:rsid w:val="0087777C"/>
    <w:rPr>
      <w:color w:val="0000FF"/>
      <w:u w:val="single"/>
    </w:rPr>
  </w:style>
  <w:style w:type="table" w:customStyle="1" w:styleId="Tablaconcuadrcula1">
    <w:name w:val="Tabla con cuadrícula1"/>
    <w:basedOn w:val="Tablanormal"/>
    <w:next w:val="Tablaconcuadrcula"/>
    <w:uiPriority w:val="39"/>
    <w:rsid w:val="00040C99"/>
    <w:rPr>
      <w:rFonts w:asciiTheme="minorHAnsi" w:eastAsiaTheme="minorHAnsi" w:hAnsiTheme="minorHAnsi" w:cstheme="minorBid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1"/>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192</Words>
  <Characters>1060</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Universidad Politécnica de Valencia</Company>
  <LinksUpToDate>false</LinksUpToDate>
  <CharactersWithSpaces>1250</CharactersWithSpaces>
  <SharedDoc>false</SharedDoc>
  <HLinks>
    <vt:vector size="6" baseType="variant">
      <vt:variant>
        <vt:i4>6225987</vt:i4>
      </vt:variant>
      <vt:variant>
        <vt:i4>2208</vt:i4>
      </vt:variant>
      <vt:variant>
        <vt:i4>1027</vt:i4>
      </vt:variant>
      <vt:variant>
        <vt:i4>1</vt:i4>
      </vt:variant>
      <vt:variant>
        <vt:lpwstr>euro_inf_seal_bachelor_rgb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Vendrell Vidal</dc:creator>
  <cp:keywords/>
  <cp:lastModifiedBy>Vicente Pelechano Ferragud</cp:lastModifiedBy>
  <cp:revision>4</cp:revision>
  <cp:lastPrinted>2013-07-18T07:37:00Z</cp:lastPrinted>
  <dcterms:created xsi:type="dcterms:W3CDTF">2021-10-26T15:11:00Z</dcterms:created>
  <dcterms:modified xsi:type="dcterms:W3CDTF">2021-11-10T07:43:00Z</dcterms:modified>
</cp:coreProperties>
</file>