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0"/>
        <w:ind w:hanging="0" w:left="0" w:right="0"/>
        <w:jc w:val="center"/>
        <w:rPr>
          <w:rFonts w:eastAsia="Arial" w:cs="Arial"/>
          <w:b/>
          <w:bCs/>
          <w:sz w:val="36"/>
          <w:szCs w:val="36"/>
        </w:rPr>
      </w:pPr>
      <w:r>
        <w:rPr>
          <w:rFonts w:eastAsia="Arial" w:cs="Arial"/>
          <w:b/>
          <w:bCs/>
          <w:sz w:val="36"/>
          <w:szCs w:val="36"/>
        </w:rPr>
        <w:t>Projektmunka – Biostatisztika kurzus</w:t>
      </w:r>
    </w:p>
    <w:p>
      <w:pPr>
        <w:pStyle w:val="Normal"/>
        <w:spacing w:before="0" w:after="500"/>
        <w:ind w:hanging="0" w:left="0" w:right="0"/>
        <w:jc w:val="center"/>
        <w:rPr>
          <w:rFonts w:eastAsia="Arial" w:cs="Arial"/>
          <w:i/>
          <w:i/>
          <w:iCs/>
          <w:sz w:val="28"/>
          <w:szCs w:val="28"/>
        </w:rPr>
      </w:pPr>
      <w:r>
        <w:rPr>
          <w:rFonts w:eastAsia="Arial" w:cs="Arial"/>
          <w:i/>
          <w:iCs/>
          <w:sz w:val="28"/>
          <w:szCs w:val="28"/>
        </w:rPr>
        <w:t>Kreatininszint longitudinális változása CKD státusz szerint T2DM-betegekben</w:t>
      </w:r>
    </w:p>
    <w:p>
      <w:pPr>
        <w:pStyle w:val="Normal"/>
        <w:spacing w:before="160" w:after="80"/>
        <w:ind w:hanging="0" w:left="0" w:right="0"/>
        <w:jc w:val="center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Dr. Háló Lajos</w:t>
      </w:r>
    </w:p>
    <w:p>
      <w:pPr>
        <w:pStyle w:val="Normal"/>
        <w:spacing w:before="80" w:after="400"/>
        <w:ind w:hanging="0" w:left="0" w:right="0"/>
        <w:jc w:val="center"/>
        <w:rPr>
          <w:rFonts w:eastAsia="Arial" w:cs="Arial"/>
          <w:color w:val="888888"/>
          <w:sz w:val="22"/>
          <w:szCs w:val="22"/>
        </w:rPr>
      </w:pPr>
      <w:r>
        <w:rPr>
          <w:rFonts w:eastAsia="Arial" w:cs="Arial"/>
          <w:color w:val="888888"/>
          <w:sz w:val="22"/>
          <w:szCs w:val="22"/>
        </w:rPr>
        <w:t>2026. június.12</w:t>
      </w:r>
    </w:p>
    <w:p>
      <w:pPr>
        <w:pStyle w:val="Heading1"/>
        <w:numPr>
          <w:ilvl w:val="0"/>
          <w:numId w:val="2"/>
        </w:numPr>
        <w:spacing w:before="300" w:after="150"/>
        <w:ind w:hanging="0" w:left="0" w:right="0"/>
        <w:jc w:val="left"/>
        <w:rPr>
          <w:rFonts w:ascii="Arial" w:hAnsi="Arial" w:eastAsia="Arial" w:cs="Arial"/>
          <w:b/>
          <w:bCs/>
          <w:color w:val="2E75B6"/>
          <w:sz w:val="28"/>
          <w:szCs w:val="28"/>
        </w:rPr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1. Kutatási kérdés</w:t>
      </w:r>
    </w:p>
    <w:p>
      <w:pPr>
        <w:pStyle w:val="Normal"/>
        <w:spacing w:before="0" w:after="120"/>
        <w:ind w:hanging="0" w:left="0" w:right="0"/>
        <w:jc w:val="left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Különbözik-e a kreatininszint változásának mértéke a glikémiacsökkentő kezelés megkezdését követő 12 hónapos követési időszakban CKD-s és nem CKD-s T2DM-betegek között, életkor, nem, BMI, hipertónia és kezelési csoport figyelembevételével?</w:t>
      </w:r>
    </w:p>
    <w:p>
      <w:pPr>
        <w:pStyle w:val="Heading1"/>
        <w:numPr>
          <w:ilvl w:val="0"/>
          <w:numId w:val="2"/>
        </w:numPr>
        <w:spacing w:before="300" w:after="150"/>
        <w:ind w:hanging="0" w:left="0" w:right="0"/>
        <w:jc w:val="left"/>
        <w:rPr>
          <w:rFonts w:ascii="Arial" w:hAnsi="Arial" w:eastAsia="Arial" w:cs="Arial"/>
          <w:b/>
          <w:bCs/>
          <w:color w:val="2E75B6"/>
          <w:sz w:val="28"/>
          <w:szCs w:val="28"/>
        </w:rPr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2. Hipotézis</w:t>
      </w:r>
    </w:p>
    <w:p>
      <w:pPr>
        <w:pStyle w:val="Normal"/>
        <w:spacing w:before="0" w:after="120"/>
        <w:ind w:hanging="0" w:left="0" w:right="0"/>
        <w:jc w:val="left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Null-hipotézis (H₀): A kreatininszint időbeli változása nem különbözik CKD-pozitív és CKD-negatív T2DM-betegek között a glikémiacsökkentő kezelés megkezdését követő 12 hónapos követési időszakban, életkor, nem, BMI, hipertónia és kezelési csoport figyelembevétele mellett.</w:t>
      </w:r>
    </w:p>
    <w:p>
      <w:pPr>
        <w:pStyle w:val="Normal"/>
        <w:spacing w:before="0" w:after="120"/>
        <w:ind w:hanging="0" w:left="0" w:right="0"/>
        <w:jc w:val="left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Alternatív hipotézis (H₁): A kreatininszint időbeli változása szignifikánsan különbözik CKD-pozitív és CKD-negatív T2DM-betegek között a glikémiacsökkentő kezelés megkezdését követő 12 hónapos követési időszakban, életkor, nem, BMI, hipertónia és kezelési csoport figyelembevétele mellett.</w:t>
      </w:r>
    </w:p>
    <w:p>
      <w:pPr>
        <w:pStyle w:val="Heading1"/>
        <w:numPr>
          <w:ilvl w:val="0"/>
          <w:numId w:val="2"/>
        </w:numPr>
        <w:spacing w:before="300" w:after="150"/>
        <w:ind w:hanging="0" w:left="0" w:right="0"/>
        <w:jc w:val="left"/>
        <w:rPr>
          <w:rFonts w:ascii="Arial" w:hAnsi="Arial" w:eastAsia="Arial" w:cs="Arial"/>
          <w:b/>
          <w:bCs/>
          <w:color w:val="2E75B6"/>
          <w:sz w:val="28"/>
          <w:szCs w:val="28"/>
        </w:rPr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3. Módszertan</w:t>
      </w:r>
    </w:p>
    <w:p>
      <w:pPr>
        <w:pStyle w:val="Normal"/>
        <w:spacing w:before="0" w:after="120"/>
        <w:ind w:hanging="0" w:left="0" w:right="0"/>
        <w:jc w:val="left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Az elemzéshez a T2DM kohorsz missForest algoritmussal imputált adatbázisát használtam (t2dm_imputed_missforest, N=2669), amelyből a hiányzó adatok az adatimputációs munkafázisban kerültek pótlásra. Az imputáció előtt Little MCAR tesztet végeztem, amely nem utalt szignifikáns eltérésre a teljesen véletlenszerű hiányzástól (MCAR); az imputáció így statisztikailag indokolt volt. Az imputált adatbázisban hiányzó érték nem szerepel.</w:t>
      </w:r>
    </w:p>
    <w:p>
      <w:pPr>
        <w:pStyle w:val="Normal"/>
        <w:spacing w:before="0" w:after="160"/>
        <w:ind w:hanging="0" w:left="0" w:right="0"/>
        <w:jc w:val="left"/>
        <w:rPr/>
      </w:pPr>
      <w:r>
        <w:rPr/>
      </w:r>
    </w:p>
    <w:p>
      <w:pPr>
        <w:pStyle w:val="Normal"/>
        <w:spacing w:before="0" w:after="120"/>
        <w:ind w:hanging="0" w:left="0" w:right="0"/>
        <w:jc w:val="left"/>
        <w:rPr/>
      </w:pPr>
      <w:r>
        <w:rPr>
          <w:rFonts w:eastAsia="Arial" w:cs="Arial"/>
          <w:sz w:val="24"/>
          <w:szCs w:val="24"/>
        </w:rPr>
        <w:t>A vizsgálathoz lineáris mixed effects (LME) modellt alkalmaztam, amely lehetővé teszi az ismételt mérések longitudinális elemzését és a betegek közötti variabilitás explicit kezelését. A kreatininszintet három időpontban mérték (0, 6 és 12 hónap); mivel a mérések ugyanazon betegektől származnak, a hagyományos lineáris regresszió feltételezése az independens megfigyelésekről nem teljesül, ezért az LME modell alkalmazása indokolt. A modellben a CKD státusz és az idő interakcióját vizsgáltam, életkor, nem, BMI, hipertónia és kezelési csoport kovariánsok bevonásával. A leíró statisztikában a változók eloszlásának vizsgálata alapján (Shapiro-Wilk teszt, hisztogram) a kreatinin változókra medián [IQR] lett volna indokolt a jobbra ferde eloszlás miatt; a normalitástól kevésbé eltérő változóknál (életkor, BMI, vérnyomás) az átlag±SD elfogadható. A csoportközi összehasonlításokhoz a TableOne t-tesztet alkalmazott; nem normális eloszlású változókra Mann-Whitney U teszt lett volna megfelelőbb. A random interceptet betegszinten definiáltam, amely a betegek közötti baseline kreatininszint-különbségeket kezeli.</w:t>
      </w:r>
    </w:p>
    <w:p>
      <w:pPr>
        <w:pStyle w:val="Heading1"/>
        <w:numPr>
          <w:ilvl w:val="0"/>
          <w:numId w:val="2"/>
        </w:numPr>
        <w:spacing w:before="300" w:after="150"/>
        <w:ind w:hanging="0" w:left="0" w:right="0"/>
        <w:jc w:val="left"/>
        <w:rPr>
          <w:rFonts w:ascii="Arial" w:hAnsi="Arial" w:eastAsia="Arial" w:cs="Arial"/>
          <w:b/>
          <w:bCs/>
          <w:color w:val="2E75B6"/>
          <w:sz w:val="28"/>
          <w:szCs w:val="28"/>
        </w:rPr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4. Leíró statisztikai eredmények</w:t>
      </w:r>
    </w:p>
    <w:p>
      <w:pPr>
        <w:pStyle w:val="Normal"/>
        <w:spacing w:before="0" w:after="120"/>
        <w:ind w:hanging="0" w:left="0" w:right="0"/>
        <w:jc w:val="left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A vizsgálatba 2669 T2DM-beteg adatait vontuk be, akik közül 562 (21,1%) volt CKD-pozitív és 2107 (78,9%) CKD-negatív. A két csoport több szempontból szignifikánsan különbözött egymástól. A CKD-pozitív betegek idősebbek voltak (67,4 vs. 62,3 év, p&lt;0,001), körükben magasabb volt a férfiak aránya (59,4% vs. 45,0%, p&lt;0,001), hosszabb volt a T2DM fennállásának ideje (9,7 vs. 8,7 év, p&lt;0,001), magasabb volt a szisztolés vérnyomás (141,1 vs. 137,3 mmHg, p&lt;0,001), és gyakoribb volt a hipertónia (73,8% vs. 56,7%, p&lt;0,001). BMI tekintetében a két csoport között nem volt szignifikáns különbség (32,4 vs. 32,6 kg/m², p=0,242). A kreatininszint mindhárom időpontban szignifikánsan magasabb volt CKD-pozitív betegekben (0 hónap: 140,9 vs. 91,8; 6 hónap: 141,2 vs. 91,9; 12 hónap: 145,5 vs. 91,4 µmol/L, minden időpontban p&lt;0,001), és az eltérés mértéke az idő előrehaladtával növekedett.</w:t>
      </w:r>
    </w:p>
    <w:p>
      <w:pPr>
        <w:pStyle w:val="Normal"/>
        <w:spacing w:before="0" w:after="160"/>
        <w:ind w:hanging="0" w:left="0" w:right="0"/>
        <w:jc w:val="left"/>
        <w:rPr/>
      </w:pPr>
      <w:r>
        <w:rPr/>
      </w:r>
    </w:p>
    <w:p>
      <w:pPr>
        <w:pStyle w:val="Normal"/>
        <w:spacing w:before="0" w:after="120"/>
        <w:ind w:hanging="0" w:left="0" w:right="0"/>
        <w:jc w:val="left"/>
        <w:rPr>
          <w:rFonts w:eastAsia="Arial" w:cs="Arial"/>
          <w:b/>
          <w:bCs/>
          <w:sz w:val="24"/>
          <w:szCs w:val="24"/>
        </w:rPr>
      </w:pPr>
      <w:r>
        <w:rPr>
          <w:rFonts w:eastAsia="Arial" w:cs="Arial"/>
          <w:b/>
          <w:bCs/>
          <w:sz w:val="24"/>
          <w:szCs w:val="24"/>
        </w:rPr>
        <w:t>1. táblázat: A vizsgált populáció jellemzői CKD státusz szerint</w:t>
      </w:r>
    </w:p>
    <w:p>
      <w:pPr>
        <w:pStyle w:val="Normal"/>
        <w:spacing w:before="0" w:after="160"/>
        <w:ind w:hanging="0" w:left="0" w:right="0"/>
        <w:jc w:val="left"/>
        <w:rPr/>
      </w:pPr>
      <w:r>
        <w:rPr/>
      </w:r>
    </w:p>
    <w:tbl>
      <w:tblPr>
        <w:tblW w:w="8026" w:type="dxa"/>
        <w:jc w:val="left"/>
        <w:tblInd w:w="-32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7"/>
        <w:gridCol w:w="1799"/>
        <w:gridCol w:w="1797"/>
        <w:gridCol w:w="1000"/>
        <w:gridCol w:w="633"/>
      </w:tblGrid>
      <w:tr>
        <w:trPr/>
        <w:tc>
          <w:tcPr>
            <w:tcW w:w="3168" w:type="dxa"/>
            <w:tcBorders>
              <w:top w:val="single" w:sz="2" w:space="0" w:color="2E75B6"/>
              <w:bottom w:val="single" w:sz="2" w:space="0" w:color="2E75B6"/>
            </w:tcBorders>
            <w:shd w:fill="D5E8F0" w:val="clear"/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sz w:val="16"/>
                <w:szCs w:val="22"/>
              </w:rPr>
              <w:t>Változó</w:t>
            </w:r>
          </w:p>
        </w:tc>
        <w:tc>
          <w:tcPr>
            <w:tcW w:w="1728" w:type="dxa"/>
            <w:tcBorders>
              <w:top w:val="single" w:sz="2" w:space="0" w:color="2E75B6"/>
              <w:bottom w:val="single" w:sz="2" w:space="0" w:color="2E75B6"/>
            </w:tcBorders>
            <w:shd w:fill="D5E8F0" w:val="clear"/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sz w:val="16"/>
                <w:szCs w:val="22"/>
              </w:rPr>
              <w:t>CKD-negatív (n=2107)</w:t>
            </w:r>
          </w:p>
        </w:tc>
        <w:tc>
          <w:tcPr>
            <w:tcW w:w="1728" w:type="dxa"/>
            <w:tcBorders>
              <w:top w:val="single" w:sz="2" w:space="0" w:color="2E75B6"/>
              <w:bottom w:val="single" w:sz="2" w:space="0" w:color="2E75B6"/>
            </w:tcBorders>
            <w:shd w:fill="D5E8F0" w:val="clear"/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sz w:val="16"/>
                <w:szCs w:val="22"/>
              </w:rPr>
              <w:t>CKD-pozitív (n=562)</w:t>
            </w:r>
          </w:p>
        </w:tc>
        <w:tc>
          <w:tcPr>
            <w:tcW w:w="1224" w:type="dxa"/>
            <w:tcBorders>
              <w:top w:val="single" w:sz="2" w:space="0" w:color="2E75B6"/>
              <w:bottom w:val="single" w:sz="2" w:space="0" w:color="2E75B6"/>
            </w:tcBorders>
            <w:shd w:fill="D5E8F0" w:val="clear"/>
            <w:noWrap/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sz w:val="16"/>
                <w:szCs w:val="22"/>
              </w:rPr>
              <w:t>p-érték</w:t>
            </w:r>
          </w:p>
        </w:tc>
        <w:tc>
          <w:tcPr>
            <w:tcW w:w="1224" w:type="dxa"/>
            <w:tcBorders>
              <w:top w:val="single" w:sz="2" w:space="0" w:color="2E75B6"/>
              <w:bottom w:val="single" w:sz="2" w:space="0" w:color="2E75B6"/>
            </w:tcBorders>
            <w:shd w:fill="D5E8F0" w:val="clear"/>
            <w:noWrap/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sz w:val="16"/>
                <w:szCs w:val="22"/>
              </w:rPr>
              <w:t>SMD</w:t>
            </w:r>
          </w:p>
        </w:tc>
      </w:tr>
      <w:tr>
        <w:trPr/>
        <w:tc>
          <w:tcPr>
            <w:tcW w:w="3168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Életkor, év (átlag ± SD)</w:t>
            </w:r>
          </w:p>
        </w:tc>
        <w:tc>
          <w:tcPr>
            <w:tcW w:w="1728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62,33 ± 13,11</w:t>
            </w:r>
          </w:p>
        </w:tc>
        <w:tc>
          <w:tcPr>
            <w:tcW w:w="1728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67,35 ± 12,00</w:t>
            </w:r>
          </w:p>
        </w:tc>
        <w:tc>
          <w:tcPr>
            <w:tcW w:w="1224" w:type="dxa"/>
            <w:tcBorders>
              <w:top w:val="single" w:sz="2" w:space="0" w:color="CCCCCC"/>
              <w:bottom w:val="single" w:sz="2" w:space="0" w:color="CCCCCC"/>
            </w:tcBorders>
            <w:noWrap/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&lt;0,001</w:t>
            </w:r>
          </w:p>
        </w:tc>
        <w:tc>
          <w:tcPr>
            <w:tcW w:w="1224" w:type="dxa"/>
            <w:tcBorders>
              <w:top w:val="single" w:sz="2" w:space="0" w:color="CCCCCC"/>
              <w:bottom w:val="single" w:sz="2" w:space="0" w:color="CCCCCC"/>
            </w:tcBorders>
            <w:noWrap/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0,399</w:t>
            </w:r>
          </w:p>
        </w:tc>
      </w:tr>
      <w:tr>
        <w:trPr/>
        <w:tc>
          <w:tcPr>
            <w:tcW w:w="3168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Férfi nem, n (%)</w:t>
            </w:r>
          </w:p>
        </w:tc>
        <w:tc>
          <w:tcPr>
            <w:tcW w:w="1728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949 (45,0%)</w:t>
            </w:r>
          </w:p>
        </w:tc>
        <w:tc>
          <w:tcPr>
            <w:tcW w:w="1728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334 (59,4%)</w:t>
            </w:r>
          </w:p>
        </w:tc>
        <w:tc>
          <w:tcPr>
            <w:tcW w:w="1224" w:type="dxa"/>
            <w:tcBorders>
              <w:top w:val="single" w:sz="2" w:space="0" w:color="CCCCCC"/>
              <w:bottom w:val="single" w:sz="2" w:space="0" w:color="CCCCCC"/>
            </w:tcBorders>
            <w:noWrap/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&lt;0,001</w:t>
            </w:r>
          </w:p>
        </w:tc>
        <w:tc>
          <w:tcPr>
            <w:tcW w:w="1224" w:type="dxa"/>
            <w:tcBorders>
              <w:top w:val="single" w:sz="2" w:space="0" w:color="CCCCCC"/>
              <w:bottom w:val="single" w:sz="2" w:space="0" w:color="CCCCCC"/>
            </w:tcBorders>
            <w:noWrap/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0,291</w:t>
            </w:r>
          </w:p>
        </w:tc>
      </w:tr>
      <w:tr>
        <w:trPr/>
        <w:tc>
          <w:tcPr>
            <w:tcW w:w="3168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BMI, kg/m² (átlag ± SD)</w:t>
            </w:r>
          </w:p>
        </w:tc>
        <w:tc>
          <w:tcPr>
            <w:tcW w:w="1728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32,57 ± 3,27</w:t>
            </w:r>
          </w:p>
        </w:tc>
        <w:tc>
          <w:tcPr>
            <w:tcW w:w="1728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32,39 ± 3,13</w:t>
            </w:r>
          </w:p>
        </w:tc>
        <w:tc>
          <w:tcPr>
            <w:tcW w:w="1224" w:type="dxa"/>
            <w:tcBorders>
              <w:top w:val="single" w:sz="2" w:space="0" w:color="CCCCCC"/>
              <w:bottom w:val="single" w:sz="2" w:space="0" w:color="CCCCCC"/>
            </w:tcBorders>
            <w:noWrap/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0,242</w:t>
            </w:r>
          </w:p>
        </w:tc>
        <w:tc>
          <w:tcPr>
            <w:tcW w:w="1224" w:type="dxa"/>
            <w:tcBorders>
              <w:top w:val="single" w:sz="2" w:space="0" w:color="CCCCCC"/>
              <w:bottom w:val="single" w:sz="2" w:space="0" w:color="CCCCCC"/>
            </w:tcBorders>
            <w:noWrap/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0,056</w:t>
            </w:r>
          </w:p>
        </w:tc>
      </w:tr>
      <w:tr>
        <w:trPr/>
        <w:tc>
          <w:tcPr>
            <w:tcW w:w="3168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T2DM fennállás, év (átlag ± SD)</w:t>
            </w:r>
          </w:p>
        </w:tc>
        <w:tc>
          <w:tcPr>
            <w:tcW w:w="1728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8,73 ± 4,43</w:t>
            </w:r>
          </w:p>
        </w:tc>
        <w:tc>
          <w:tcPr>
            <w:tcW w:w="1728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9,69 ± 4,14</w:t>
            </w:r>
          </w:p>
        </w:tc>
        <w:tc>
          <w:tcPr>
            <w:tcW w:w="1224" w:type="dxa"/>
            <w:tcBorders>
              <w:top w:val="single" w:sz="2" w:space="0" w:color="CCCCCC"/>
              <w:bottom w:val="single" w:sz="2" w:space="0" w:color="CCCCCC"/>
            </w:tcBorders>
            <w:noWrap/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&lt;0,001</w:t>
            </w:r>
          </w:p>
        </w:tc>
        <w:tc>
          <w:tcPr>
            <w:tcW w:w="1224" w:type="dxa"/>
            <w:tcBorders>
              <w:top w:val="single" w:sz="2" w:space="0" w:color="CCCCCC"/>
              <w:bottom w:val="single" w:sz="2" w:space="0" w:color="CCCCCC"/>
            </w:tcBorders>
            <w:noWrap/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0,223</w:t>
            </w:r>
          </w:p>
        </w:tc>
      </w:tr>
      <w:tr>
        <w:trPr/>
        <w:tc>
          <w:tcPr>
            <w:tcW w:w="3168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Szisztolés vérnyomás, mmHg (átlag ± SD)</w:t>
            </w:r>
          </w:p>
        </w:tc>
        <w:tc>
          <w:tcPr>
            <w:tcW w:w="1728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137,32 ± 13,36</w:t>
            </w:r>
          </w:p>
        </w:tc>
        <w:tc>
          <w:tcPr>
            <w:tcW w:w="1728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141,05 ± 12,84</w:t>
            </w:r>
          </w:p>
        </w:tc>
        <w:tc>
          <w:tcPr>
            <w:tcW w:w="1224" w:type="dxa"/>
            <w:tcBorders>
              <w:top w:val="single" w:sz="2" w:space="0" w:color="CCCCCC"/>
              <w:bottom w:val="single" w:sz="2" w:space="0" w:color="CCCCCC"/>
            </w:tcBorders>
            <w:noWrap/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&lt;0,001</w:t>
            </w:r>
          </w:p>
        </w:tc>
        <w:tc>
          <w:tcPr>
            <w:tcW w:w="1224" w:type="dxa"/>
            <w:tcBorders>
              <w:top w:val="single" w:sz="2" w:space="0" w:color="CCCCCC"/>
              <w:bottom w:val="single" w:sz="2" w:space="0" w:color="CCCCCC"/>
            </w:tcBorders>
            <w:noWrap/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0,284</w:t>
            </w:r>
          </w:p>
        </w:tc>
      </w:tr>
      <w:tr>
        <w:trPr/>
        <w:tc>
          <w:tcPr>
            <w:tcW w:w="3168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Hipertónia, n (%)</w:t>
            </w:r>
          </w:p>
        </w:tc>
        <w:tc>
          <w:tcPr>
            <w:tcW w:w="1728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1194 (56,7%)</w:t>
            </w:r>
          </w:p>
        </w:tc>
        <w:tc>
          <w:tcPr>
            <w:tcW w:w="1728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415 (73,8%)</w:t>
            </w:r>
          </w:p>
        </w:tc>
        <w:tc>
          <w:tcPr>
            <w:tcW w:w="1224" w:type="dxa"/>
            <w:tcBorders>
              <w:top w:val="single" w:sz="2" w:space="0" w:color="CCCCCC"/>
              <w:bottom w:val="single" w:sz="2" w:space="0" w:color="CCCCCC"/>
            </w:tcBorders>
            <w:noWrap/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&lt;0,001</w:t>
            </w:r>
          </w:p>
        </w:tc>
        <w:tc>
          <w:tcPr>
            <w:tcW w:w="1224" w:type="dxa"/>
            <w:tcBorders>
              <w:top w:val="single" w:sz="2" w:space="0" w:color="CCCCCC"/>
              <w:bottom w:val="single" w:sz="2" w:space="0" w:color="CCCCCC"/>
            </w:tcBorders>
            <w:noWrap/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0,367</w:t>
            </w:r>
          </w:p>
        </w:tc>
      </w:tr>
      <w:tr>
        <w:trPr/>
        <w:tc>
          <w:tcPr>
            <w:tcW w:w="3168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Kezelési csoport (GLP-1 RA), n (%)</w:t>
            </w:r>
          </w:p>
        </w:tc>
        <w:tc>
          <w:tcPr>
            <w:tcW w:w="1728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1428 (67,8%)</w:t>
            </w:r>
          </w:p>
        </w:tc>
        <w:tc>
          <w:tcPr>
            <w:tcW w:w="1728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286 (50,9%)</w:t>
            </w:r>
          </w:p>
        </w:tc>
        <w:tc>
          <w:tcPr>
            <w:tcW w:w="1224" w:type="dxa"/>
            <w:tcBorders>
              <w:top w:val="single" w:sz="2" w:space="0" w:color="CCCCCC"/>
              <w:bottom w:val="single" w:sz="2" w:space="0" w:color="CCCCCC"/>
            </w:tcBorders>
            <w:noWrap/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&lt;0,001</w:t>
            </w:r>
          </w:p>
        </w:tc>
        <w:tc>
          <w:tcPr>
            <w:tcW w:w="1224" w:type="dxa"/>
            <w:tcBorders>
              <w:top w:val="single" w:sz="2" w:space="0" w:color="CCCCCC"/>
              <w:bottom w:val="single" w:sz="2" w:space="0" w:color="CCCCCC"/>
            </w:tcBorders>
            <w:noWrap/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0,349</w:t>
            </w:r>
          </w:p>
        </w:tc>
      </w:tr>
      <w:tr>
        <w:trPr/>
        <w:tc>
          <w:tcPr>
            <w:tcW w:w="3168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Kreatinin – 0 hónap, µmol/L (átlag ± SD)</w:t>
            </w:r>
          </w:p>
        </w:tc>
        <w:tc>
          <w:tcPr>
            <w:tcW w:w="1728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91,82 ± 36,93</w:t>
            </w:r>
          </w:p>
        </w:tc>
        <w:tc>
          <w:tcPr>
            <w:tcW w:w="1728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140,91 ± 88,45</w:t>
            </w:r>
          </w:p>
        </w:tc>
        <w:tc>
          <w:tcPr>
            <w:tcW w:w="1224" w:type="dxa"/>
            <w:tcBorders>
              <w:top w:val="single" w:sz="2" w:space="0" w:color="CCCCCC"/>
              <w:bottom w:val="single" w:sz="2" w:space="0" w:color="CCCCCC"/>
            </w:tcBorders>
            <w:noWrap/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&lt;0,001</w:t>
            </w:r>
          </w:p>
        </w:tc>
        <w:tc>
          <w:tcPr>
            <w:tcW w:w="1224" w:type="dxa"/>
            <w:tcBorders>
              <w:top w:val="single" w:sz="2" w:space="0" w:color="CCCCCC"/>
              <w:bottom w:val="single" w:sz="2" w:space="0" w:color="CCCCCC"/>
            </w:tcBorders>
            <w:noWrap/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0,724</w:t>
            </w:r>
          </w:p>
        </w:tc>
      </w:tr>
      <w:tr>
        <w:trPr/>
        <w:tc>
          <w:tcPr>
            <w:tcW w:w="3168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Kreatinin – 6 hónap, µmol/L (átlag ± SD)</w:t>
            </w:r>
          </w:p>
        </w:tc>
        <w:tc>
          <w:tcPr>
            <w:tcW w:w="1728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91,94 ± 40,06</w:t>
            </w:r>
          </w:p>
        </w:tc>
        <w:tc>
          <w:tcPr>
            <w:tcW w:w="1728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141,15 ± 96,32</w:t>
            </w:r>
          </w:p>
        </w:tc>
        <w:tc>
          <w:tcPr>
            <w:tcW w:w="1224" w:type="dxa"/>
            <w:tcBorders>
              <w:top w:val="single" w:sz="2" w:space="0" w:color="CCCCCC"/>
              <w:bottom w:val="single" w:sz="2" w:space="0" w:color="CCCCCC"/>
            </w:tcBorders>
            <w:noWrap/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&lt;0,001</w:t>
            </w:r>
          </w:p>
        </w:tc>
        <w:tc>
          <w:tcPr>
            <w:tcW w:w="1224" w:type="dxa"/>
            <w:tcBorders>
              <w:top w:val="single" w:sz="2" w:space="0" w:color="CCCCCC"/>
              <w:bottom w:val="single" w:sz="2" w:space="0" w:color="CCCCCC"/>
            </w:tcBorders>
            <w:noWrap/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0,667</w:t>
            </w:r>
          </w:p>
        </w:tc>
      </w:tr>
      <w:tr>
        <w:trPr/>
        <w:tc>
          <w:tcPr>
            <w:tcW w:w="3168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Kreatinin – 12 hónap, µmol/L (átlag ± SD)</w:t>
            </w:r>
          </w:p>
        </w:tc>
        <w:tc>
          <w:tcPr>
            <w:tcW w:w="1728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91,41 ± 38,04</w:t>
            </w:r>
          </w:p>
        </w:tc>
        <w:tc>
          <w:tcPr>
            <w:tcW w:w="1728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145,48 ± 105,93</w:t>
            </w:r>
          </w:p>
        </w:tc>
        <w:tc>
          <w:tcPr>
            <w:tcW w:w="1224" w:type="dxa"/>
            <w:tcBorders>
              <w:top w:val="single" w:sz="2" w:space="0" w:color="CCCCCC"/>
              <w:bottom w:val="single" w:sz="2" w:space="0" w:color="CCCCCC"/>
            </w:tcBorders>
            <w:noWrap/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&lt;0,001</w:t>
            </w:r>
          </w:p>
        </w:tc>
        <w:tc>
          <w:tcPr>
            <w:tcW w:w="1224" w:type="dxa"/>
            <w:tcBorders>
              <w:top w:val="single" w:sz="2" w:space="0" w:color="CCCCCC"/>
              <w:bottom w:val="single" w:sz="2" w:space="0" w:color="CCCCCC"/>
            </w:tcBorders>
            <w:noWrap/>
          </w:tcPr>
          <w:p>
            <w:pPr>
              <w:pStyle w:val="Normal"/>
              <w:spacing w:after="0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16"/>
                <w:szCs w:val="22"/>
              </w:rPr>
              <w:t>0,679</w:t>
            </w:r>
          </w:p>
        </w:tc>
      </w:tr>
    </w:tbl>
    <w:p>
      <w:pPr>
        <w:pStyle w:val="Normal"/>
        <w:spacing w:before="80" w:after="200"/>
        <w:ind w:hanging="0" w:left="0" w:right="0"/>
        <w:jc w:val="center"/>
        <w:rPr>
          <w:rFonts w:eastAsia="Arial" w:cs="Arial"/>
          <w:i/>
          <w:i/>
          <w:iCs/>
          <w:color w:val="555555"/>
          <w:sz w:val="20"/>
          <w:szCs w:val="20"/>
        </w:rPr>
      </w:pPr>
      <w:r>
        <w:rPr>
          <w:rFonts w:eastAsia="Arial" w:cs="Arial"/>
          <w:i/>
          <w:iCs/>
          <w:color w:val="555555"/>
          <w:sz w:val="20"/>
          <w:szCs w:val="20"/>
        </w:rPr>
        <w:t>1. táblázat. Leíró statisztika CKD státusz szerint. SD: standard deviáció; SMD: standardizált átlagkülönbség; BMI: testtömeg-index; GLP-1 RA: glükagonszerű peptid-1 receptor agonista.</w:t>
      </w:r>
    </w:p>
    <w:p>
      <w:pPr>
        <w:pStyle w:val="Heading1"/>
        <w:numPr>
          <w:ilvl w:val="0"/>
          <w:numId w:val="2"/>
        </w:numPr>
        <w:spacing w:before="300" w:after="150"/>
        <w:ind w:hanging="0" w:left="0" w:right="0"/>
        <w:jc w:val="left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5. Következtető statisztikai eredmények</w:t>
      </w:r>
    </w:p>
    <w:p>
      <w:pPr>
        <w:pStyle w:val="Heading2"/>
        <w:numPr>
          <w:ilvl w:val="0"/>
          <w:numId w:val="2"/>
        </w:numPr>
        <w:spacing w:before="200" w:after="100"/>
        <w:ind w:hanging="0" w:left="0" w:right="0"/>
        <w:jc w:val="left"/>
        <w:rPr>
          <w:rFonts w:ascii="Arial" w:hAnsi="Arial" w:eastAsia="Arial" w:cs="Arial"/>
          <w:b/>
          <w:bCs/>
          <w:sz w:val="26"/>
          <w:szCs w:val="26"/>
        </w:rPr>
      </w:pPr>
      <w:r>
        <w:rPr>
          <w:rFonts w:eastAsia="Arial" w:cs="Arial" w:ascii="Arial" w:hAnsi="Arial"/>
          <w:b/>
          <w:bCs/>
          <w:sz w:val="26"/>
          <w:szCs w:val="26"/>
        </w:rPr>
        <w:t>5.1. LME modell – fix hatások</w:t>
      </w:r>
    </w:p>
    <w:p>
      <w:pPr>
        <w:pStyle w:val="Normal"/>
        <w:spacing w:before="0" w:after="120"/>
        <w:ind w:hanging="0" w:left="0" w:right="0"/>
        <w:jc w:val="left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A lineáris mixed effects modell eredményei szerint a CKD-pozitív betegek kreatininszintje a baseline-ban 40,1 µmol/L-rel magasabb volt a CKD-negatív betegekhez képest (p&lt;0,001). A CKD státusz és az idő interakciója szignifikáns volt (β=0,41 µmol/L/hónap, 95% CI: 0,16 – 0,67; p=0,002), ami azt jelenti, hogy a kreatininszint lineáris időbeli meredeksége CKD-pozitív betegekben átlagosan havi 0,41 µmol/L-rel nagyobb volt, mint CKD-negatív betegekben, a modellben szereplő kovariánsokra korrigálva. Az emtrends elemzés alapján a CKD-pozitív csoport becsült meredeksége +0,38 µmol/L/hónap volt (95% CI: 0,15 – 0,61), amely szignifikánsan különbözött nullától, míg a CKD-negatív csoport meredeksége -0,03 µmol/L/hónap (95% CI: -0,15 – 0,09) volt és nem különbözött szignifikánsan nullától. CKD-negatív betegekben az idő és a kreatininszint között nem volt statisztikailag igazolható lineáris összefüggés (β=-0,03 µmol/L/hónap, 95% CI: -0,15 – 0,09; p=0,579). A kovariánsok közül az életkor (β=1,13 µmol/L/év, p&lt;0,001) és a férfi nem (β=15,6 µmol/L, p&lt;0,001) szignifikánsan összefüggött a magasabb kreatininszinttel, míg a magasabb BMI alacsonyabb kreatininszinttel járt együtt (β=-1,07 µmol/L/egység, p&lt;0,001). A hipertónia önálló összefüggése nem bizonyult szignifikánsnak (p=0,785). Fontos megjegyezni, hogy a vizsgált időszakban minden beteg glikémiacsökkentő kezelésen volt (DPP-4-gátló vagy GLP-1 receptor agonista), és a TableOne alapján a kezelési csoport megoszlása szignifikánsan különbözött a CKD-csoportok között (CKD-negatív: 67,8% GLP-1 RA vs. CKD-pozitív: 50,9% GLP-1 RA, p&lt;0,001). A megfigyelt kreatininszint-trajektória eltérések ezért ezzel a terápiás háttérrel együtt értendők.</w:t>
      </w:r>
    </w:p>
    <w:p>
      <w:pPr>
        <w:pStyle w:val="Normal"/>
        <w:spacing w:before="0" w:after="160"/>
        <w:ind w:hanging="0" w:left="0" w:right="0"/>
        <w:jc w:val="left"/>
        <w:rPr/>
      </w:pPr>
      <w:r>
        <w:rPr/>
      </w:r>
    </w:p>
    <w:p>
      <w:pPr>
        <w:pStyle w:val="Normal"/>
        <w:spacing w:before="0" w:after="120"/>
        <w:ind w:hanging="0" w:left="0" w:right="0"/>
        <w:jc w:val="left"/>
        <w:rPr>
          <w:rFonts w:eastAsia="Arial" w:cs="Arial"/>
          <w:b/>
          <w:bCs/>
          <w:sz w:val="24"/>
          <w:szCs w:val="24"/>
        </w:rPr>
      </w:pPr>
      <w:r>
        <w:rPr>
          <w:rFonts w:eastAsia="Arial" w:cs="Arial"/>
          <w:b/>
          <w:bCs/>
          <w:sz w:val="24"/>
          <w:szCs w:val="24"/>
        </w:rPr>
        <w:t>2. táblázat: LME modell – becsült fix hatások</w:t>
      </w:r>
    </w:p>
    <w:p>
      <w:pPr>
        <w:pStyle w:val="Normal"/>
        <w:spacing w:before="0" w:after="160"/>
        <w:ind w:hanging="0" w:left="0" w:right="0"/>
        <w:jc w:val="left"/>
        <w:rPr/>
      </w:pPr>
      <w:r>
        <w:rPr/>
      </w:r>
    </w:p>
    <w:tbl>
      <w:tblPr>
        <w:tblW w:w="8026" w:type="dxa"/>
        <w:jc w:val="left"/>
        <w:tblInd w:w="-32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0"/>
        <w:gridCol w:w="1399"/>
        <w:gridCol w:w="897"/>
        <w:gridCol w:w="1100"/>
        <w:gridCol w:w="1130"/>
      </w:tblGrid>
      <w:tr>
        <w:trPr/>
        <w:tc>
          <w:tcPr>
            <w:tcW w:w="3500" w:type="dxa"/>
            <w:tcBorders>
              <w:top w:val="single" w:sz="2" w:space="0" w:color="2E75B6"/>
              <w:bottom w:val="single" w:sz="2" w:space="0" w:color="2E75B6"/>
            </w:tcBorders>
            <w:shd w:fill="D5E8F0" w:val="clear"/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Változó</w:t>
            </w:r>
          </w:p>
        </w:tc>
        <w:tc>
          <w:tcPr>
            <w:tcW w:w="1399" w:type="dxa"/>
            <w:tcBorders>
              <w:top w:val="single" w:sz="2" w:space="0" w:color="2E75B6"/>
              <w:bottom w:val="single" w:sz="2" w:space="0" w:color="2E75B6"/>
            </w:tcBorders>
            <w:shd w:fill="D5E8F0" w:val="clear"/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Becslés (β)</w:t>
            </w:r>
          </w:p>
        </w:tc>
        <w:tc>
          <w:tcPr>
            <w:tcW w:w="897" w:type="dxa"/>
            <w:tcBorders>
              <w:top w:val="single" w:sz="2" w:space="0" w:color="2E75B6"/>
              <w:bottom w:val="single" w:sz="2" w:space="0" w:color="2E75B6"/>
            </w:tcBorders>
            <w:shd w:fill="D5E8F0" w:val="clear"/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SE</w:t>
            </w:r>
          </w:p>
        </w:tc>
        <w:tc>
          <w:tcPr>
            <w:tcW w:w="1100" w:type="dxa"/>
            <w:tcBorders>
              <w:top w:val="single" w:sz="2" w:space="0" w:color="2E75B6"/>
              <w:bottom w:val="single" w:sz="2" w:space="0" w:color="2E75B6"/>
            </w:tcBorders>
            <w:shd w:fill="D5E8F0" w:val="clear"/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t-érték</w:t>
            </w:r>
          </w:p>
        </w:tc>
        <w:tc>
          <w:tcPr>
            <w:tcW w:w="1130" w:type="dxa"/>
            <w:tcBorders>
              <w:top w:val="single" w:sz="2" w:space="0" w:color="2E75B6"/>
              <w:bottom w:val="single" w:sz="2" w:space="0" w:color="2E75B6"/>
            </w:tcBorders>
            <w:shd w:fill="D5E8F0" w:val="clear"/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p-érték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(Intercept)</w:t>
            </w:r>
          </w:p>
        </w:tc>
        <w:tc>
          <w:tcPr>
            <w:tcW w:w="1399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48,91</w:t>
            </w:r>
          </w:p>
        </w:tc>
        <w:tc>
          <w:tcPr>
            <w:tcW w:w="897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10,97</w:t>
            </w:r>
          </w:p>
        </w:tc>
        <w:tc>
          <w:tcPr>
            <w:tcW w:w="1100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4,46</w:t>
            </w:r>
          </w:p>
        </w:tc>
        <w:tc>
          <w:tcPr>
            <w:tcW w:w="1130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&lt;0,001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Idő (hónap)</w:t>
            </w:r>
          </w:p>
        </w:tc>
        <w:tc>
          <w:tcPr>
            <w:tcW w:w="1399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-0,03</w:t>
            </w:r>
          </w:p>
        </w:tc>
        <w:tc>
          <w:tcPr>
            <w:tcW w:w="897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0,06</w:t>
            </w:r>
          </w:p>
        </w:tc>
        <w:tc>
          <w:tcPr>
            <w:tcW w:w="1100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-0,56</w:t>
            </w:r>
          </w:p>
        </w:tc>
        <w:tc>
          <w:tcPr>
            <w:tcW w:w="1130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0,579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CKD-pozitív</w:t>
            </w:r>
          </w:p>
        </w:tc>
        <w:tc>
          <w:tcPr>
            <w:tcW w:w="1399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40,09</w:t>
            </w:r>
          </w:p>
        </w:tc>
        <w:tc>
          <w:tcPr>
            <w:tcW w:w="897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2,57</w:t>
            </w:r>
          </w:p>
        </w:tc>
        <w:tc>
          <w:tcPr>
            <w:tcW w:w="1100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15,59</w:t>
            </w:r>
          </w:p>
        </w:tc>
        <w:tc>
          <w:tcPr>
            <w:tcW w:w="1130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&lt;0,001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Életkor (év)</w:t>
            </w:r>
          </w:p>
        </w:tc>
        <w:tc>
          <w:tcPr>
            <w:tcW w:w="1399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1,13</w:t>
            </w:r>
          </w:p>
        </w:tc>
        <w:tc>
          <w:tcPr>
            <w:tcW w:w="897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0,08</w:t>
            </w:r>
          </w:p>
        </w:tc>
        <w:tc>
          <w:tcPr>
            <w:tcW w:w="1100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14,73</w:t>
            </w:r>
          </w:p>
        </w:tc>
        <w:tc>
          <w:tcPr>
            <w:tcW w:w="1130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&lt;0,001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Férfi nem</w:t>
            </w:r>
          </w:p>
        </w:tc>
        <w:tc>
          <w:tcPr>
            <w:tcW w:w="1399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15,60</w:t>
            </w:r>
          </w:p>
        </w:tc>
        <w:tc>
          <w:tcPr>
            <w:tcW w:w="897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1,98</w:t>
            </w:r>
          </w:p>
        </w:tc>
        <w:tc>
          <w:tcPr>
            <w:tcW w:w="1100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7,88</w:t>
            </w:r>
          </w:p>
        </w:tc>
        <w:tc>
          <w:tcPr>
            <w:tcW w:w="1130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&lt;0,001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BMI (kg/m²)</w:t>
            </w:r>
          </w:p>
        </w:tc>
        <w:tc>
          <w:tcPr>
            <w:tcW w:w="1399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-1,07</w:t>
            </w:r>
          </w:p>
        </w:tc>
        <w:tc>
          <w:tcPr>
            <w:tcW w:w="897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0,30</w:t>
            </w:r>
          </w:p>
        </w:tc>
        <w:tc>
          <w:tcPr>
            <w:tcW w:w="1100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-3,52</w:t>
            </w:r>
          </w:p>
        </w:tc>
        <w:tc>
          <w:tcPr>
            <w:tcW w:w="1130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&lt;0,001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Hipertónia</w:t>
            </w:r>
          </w:p>
        </w:tc>
        <w:tc>
          <w:tcPr>
            <w:tcW w:w="1399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0,56</w:t>
            </w:r>
          </w:p>
        </w:tc>
        <w:tc>
          <w:tcPr>
            <w:tcW w:w="897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2,04</w:t>
            </w:r>
          </w:p>
        </w:tc>
        <w:tc>
          <w:tcPr>
            <w:tcW w:w="1100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0,27</w:t>
            </w:r>
          </w:p>
        </w:tc>
        <w:tc>
          <w:tcPr>
            <w:tcW w:w="1130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0,785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Idő × CKD (interakció)</w:t>
            </w:r>
          </w:p>
        </w:tc>
        <w:tc>
          <w:tcPr>
            <w:tcW w:w="1399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0,41</w:t>
            </w:r>
          </w:p>
        </w:tc>
        <w:tc>
          <w:tcPr>
            <w:tcW w:w="897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0,13</w:t>
            </w:r>
          </w:p>
        </w:tc>
        <w:tc>
          <w:tcPr>
            <w:tcW w:w="1100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3,14</w:t>
            </w:r>
          </w:p>
        </w:tc>
        <w:tc>
          <w:tcPr>
            <w:tcW w:w="1130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0,002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GLP-1 RA vs. DPP-4i</w:t>
            </w:r>
          </w:p>
        </w:tc>
        <w:tc>
          <w:tcPr>
            <w:tcW w:w="1399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-21,48</w:t>
            </w:r>
          </w:p>
        </w:tc>
        <w:tc>
          <w:tcPr>
            <w:tcW w:w="897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2,17</w:t>
            </w:r>
          </w:p>
        </w:tc>
        <w:tc>
          <w:tcPr>
            <w:tcW w:w="1100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-9,92</w:t>
            </w:r>
          </w:p>
        </w:tc>
        <w:tc>
          <w:tcPr>
            <w:tcW w:w="1130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&lt;0,001</w:t>
            </w:r>
          </w:p>
        </w:tc>
      </w:tr>
    </w:tbl>
    <w:p>
      <w:pPr>
        <w:pStyle w:val="Normal"/>
        <w:spacing w:before="80" w:after="200"/>
        <w:ind w:hanging="0" w:left="0" w:right="0"/>
        <w:jc w:val="center"/>
        <w:rPr>
          <w:rFonts w:eastAsia="Arial" w:cs="Arial"/>
          <w:i/>
          <w:i/>
          <w:iCs/>
          <w:color w:val="555555"/>
          <w:sz w:val="20"/>
          <w:szCs w:val="20"/>
        </w:rPr>
      </w:pPr>
      <w:r>
        <w:rPr>
          <w:rFonts w:eastAsia="Arial" w:cs="Arial"/>
          <w:i/>
          <w:iCs/>
          <w:color w:val="555555"/>
          <w:sz w:val="20"/>
          <w:szCs w:val="20"/>
        </w:rPr>
        <w:t>2. táblázat. Lineáris mixed effects modell fix hatásai. β: becsült regressziós együttható; SE: standard hiba. Referencia: CKD-negatív csoport, női nem, DPP-4-gátló kezelés.</w:t>
      </w:r>
    </w:p>
    <w:p>
      <w:pPr>
        <w:pStyle w:val="Normal"/>
        <w:spacing w:before="0" w:after="160"/>
        <w:ind w:hanging="0" w:left="0" w:right="0"/>
        <w:jc w:val="left"/>
        <w:rPr/>
      </w:pPr>
      <w:r>
        <w:rPr/>
      </w:r>
    </w:p>
    <w:p>
      <w:pPr>
        <w:pStyle w:val="Heading2"/>
        <w:numPr>
          <w:ilvl w:val="0"/>
          <w:numId w:val="2"/>
        </w:numPr>
        <w:spacing w:before="200" w:after="100"/>
        <w:ind w:hanging="0" w:left="0" w:right="0"/>
        <w:jc w:val="left"/>
        <w:rPr>
          <w:rFonts w:ascii="Arial" w:hAnsi="Arial" w:eastAsia="Arial" w:cs="Arial"/>
          <w:b/>
          <w:bCs/>
          <w:sz w:val="26"/>
          <w:szCs w:val="26"/>
        </w:rPr>
      </w:pPr>
      <w:r>
        <w:rPr>
          <w:rFonts w:eastAsia="Arial" w:cs="Arial" w:ascii="Arial" w:hAnsi="Arial"/>
          <w:b/>
          <w:bCs/>
          <w:sz w:val="26"/>
          <w:szCs w:val="26"/>
        </w:rPr>
        <w:t>5.2. Modell illeszkedési mutatók</w:t>
      </w:r>
    </w:p>
    <w:p>
      <w:pPr>
        <w:pStyle w:val="Normal"/>
        <w:spacing w:before="0" w:after="120"/>
        <w:ind w:hanging="0" w:left="0" w:right="0"/>
        <w:jc w:val="left"/>
        <w:rPr/>
      </w:pPr>
      <w:r>
        <w:rPr>
          <w:rFonts w:eastAsia="Arial" w:cs="Arial"/>
          <w:sz w:val="24"/>
          <w:szCs w:val="24"/>
        </w:rPr>
        <w:t>A feltételes R²=0,845 magas értéke elsősorban a betegszintű random intercept által megragadott jelentős egyéni különbségeket tükrözi; a fix kovariánsok önmagukban a variancia 19,5%-át magyarázták (marginális R²=0,195). Az ICC=0,808 megerősíti, hogy a variancia 80,8%-a betegek közötti tartós különbségekből adódik, ami alátámasztja a random intercept szükségességét. Az RMSE=19,58 µmol/L a modellen belüli kondicionális predikciós hibát jelzi; mivel ezt ugyanazon mintán és a betegspecifikus random hatások figyelembevételével számítottuk, nem tekinthető külső predikciós teljesítménymutatónak.</w:t>
      </w:r>
    </w:p>
    <w:p>
      <w:pPr>
        <w:pStyle w:val="Normal"/>
        <w:spacing w:before="0" w:after="160"/>
        <w:ind w:hanging="0" w:left="0" w:right="0"/>
        <w:jc w:val="left"/>
        <w:rPr/>
      </w:pPr>
      <w:r>
        <w:rPr/>
      </w:r>
    </w:p>
    <w:p>
      <w:pPr>
        <w:pStyle w:val="Normal"/>
        <w:spacing w:before="0" w:after="120"/>
        <w:ind w:hanging="0" w:left="0" w:right="0"/>
        <w:jc w:val="left"/>
        <w:rPr>
          <w:rFonts w:eastAsia="Arial" w:cs="Arial"/>
          <w:b/>
          <w:bCs/>
          <w:sz w:val="24"/>
          <w:szCs w:val="24"/>
        </w:rPr>
      </w:pPr>
      <w:r>
        <w:rPr>
          <w:rFonts w:eastAsia="Arial" w:cs="Arial"/>
          <w:b/>
          <w:bCs/>
          <w:sz w:val="24"/>
          <w:szCs w:val="24"/>
        </w:rPr>
        <w:t>3. táblázat: Modell illeszkedési mutatók</w:t>
      </w:r>
    </w:p>
    <w:p>
      <w:pPr>
        <w:pStyle w:val="Normal"/>
        <w:spacing w:before="0" w:after="160"/>
        <w:ind w:hanging="0" w:left="0" w:right="0"/>
        <w:jc w:val="left"/>
        <w:rPr/>
      </w:pPr>
      <w:r>
        <w:rPr/>
      </w:r>
    </w:p>
    <w:tbl>
      <w:tblPr>
        <w:tblW w:w="8026" w:type="dxa"/>
        <w:jc w:val="left"/>
        <w:tblInd w:w="-32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500"/>
        <w:gridCol w:w="4526"/>
      </w:tblGrid>
      <w:tr>
        <w:trPr/>
        <w:tc>
          <w:tcPr>
            <w:tcW w:w="2000" w:type="dxa"/>
            <w:tcBorders>
              <w:top w:val="single" w:sz="2" w:space="0" w:color="2E75B6"/>
              <w:bottom w:val="single" w:sz="2" w:space="0" w:color="2E75B6"/>
            </w:tcBorders>
            <w:shd w:fill="D5E8F0" w:val="clear"/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Mutató</w:t>
            </w:r>
          </w:p>
        </w:tc>
        <w:tc>
          <w:tcPr>
            <w:tcW w:w="1500" w:type="dxa"/>
            <w:tcBorders>
              <w:top w:val="single" w:sz="2" w:space="0" w:color="2E75B6"/>
              <w:bottom w:val="single" w:sz="2" w:space="0" w:color="2E75B6"/>
            </w:tcBorders>
            <w:shd w:fill="D5E8F0" w:val="clear"/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Érték</w:t>
            </w:r>
          </w:p>
        </w:tc>
        <w:tc>
          <w:tcPr>
            <w:tcW w:w="4526" w:type="dxa"/>
            <w:tcBorders>
              <w:top w:val="single" w:sz="2" w:space="0" w:color="2E75B6"/>
              <w:bottom w:val="single" w:sz="2" w:space="0" w:color="2E75B6"/>
            </w:tcBorders>
            <w:shd w:fill="D5E8F0" w:val="clear"/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Értelmezés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AIC</w:t>
            </w:r>
          </w:p>
        </w:tc>
        <w:tc>
          <w:tcPr>
            <w:tcW w:w="1500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80 293,5</w:t>
            </w:r>
          </w:p>
        </w:tc>
        <w:tc>
          <w:tcPr>
            <w:tcW w:w="4526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Modellszelekciós mutató (alacsonyabb = jobb)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BIC</w:t>
            </w:r>
          </w:p>
        </w:tc>
        <w:tc>
          <w:tcPr>
            <w:tcW w:w="1500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80 363,4</w:t>
            </w:r>
          </w:p>
        </w:tc>
        <w:tc>
          <w:tcPr>
            <w:tcW w:w="4526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Modellszelekciós mutató (alacsonyabb = jobb)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R² (feltételes)</w:t>
            </w:r>
          </w:p>
        </w:tc>
        <w:tc>
          <w:tcPr>
            <w:tcW w:w="1500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0,845</w:t>
            </w:r>
          </w:p>
        </w:tc>
        <w:tc>
          <w:tcPr>
            <w:tcW w:w="4526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Variancia 84,5%-a magyarázott (fix + random)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R² (marginális)</w:t>
            </w:r>
          </w:p>
        </w:tc>
        <w:tc>
          <w:tcPr>
            <w:tcW w:w="1500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0,195</w:t>
            </w:r>
          </w:p>
        </w:tc>
        <w:tc>
          <w:tcPr>
            <w:tcW w:w="4526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Fix hatások önmagukban 19,5%-ot magyaráznak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ICC</w:t>
            </w:r>
          </w:p>
        </w:tc>
        <w:tc>
          <w:tcPr>
            <w:tcW w:w="1500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0,808</w:t>
            </w:r>
          </w:p>
        </w:tc>
        <w:tc>
          <w:tcPr>
            <w:tcW w:w="4526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Variancia 80,8%-a betegek közötti különbség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RMSE</w:t>
            </w:r>
          </w:p>
        </w:tc>
        <w:tc>
          <w:tcPr>
            <w:tcW w:w="1500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19,58 µmol/L</w:t>
            </w:r>
          </w:p>
        </w:tc>
        <w:tc>
          <w:tcPr>
            <w:tcW w:w="4526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Átlagos becslési hiba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Sigma</w:t>
            </w:r>
          </w:p>
        </w:tc>
        <w:tc>
          <w:tcPr>
            <w:tcW w:w="1500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23,56</w:t>
            </w:r>
          </w:p>
        </w:tc>
        <w:tc>
          <w:tcPr>
            <w:tcW w:w="4526" w:type="dxa"/>
            <w:tcBorders>
              <w:top w:val="single" w:sz="2" w:space="0" w:color="CCCCCC"/>
              <w:bottom w:val="single" w:sz="2" w:space="0" w:color="CCCCCC"/>
            </w:tcBorders>
          </w:tcPr>
          <w:p>
            <w:pPr>
              <w:pStyle w:val="Normal"/>
              <w:ind w:hanging="0" w:left="0" w:right="0"/>
              <w:jc w:val="lef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Reziduális szórás</w:t>
            </w:r>
          </w:p>
        </w:tc>
      </w:tr>
    </w:tbl>
    <w:p>
      <w:pPr>
        <w:pStyle w:val="Normal"/>
        <w:spacing w:before="80" w:after="200"/>
        <w:ind w:hanging="0" w:left="0" w:right="0"/>
        <w:jc w:val="center"/>
        <w:rPr>
          <w:rFonts w:eastAsia="Arial" w:cs="Arial"/>
          <w:i/>
          <w:i/>
          <w:iCs/>
          <w:color w:val="555555"/>
          <w:sz w:val="20"/>
          <w:szCs w:val="20"/>
        </w:rPr>
      </w:pPr>
      <w:r>
        <w:rPr>
          <w:rFonts w:eastAsia="Arial" w:cs="Arial"/>
          <w:i/>
          <w:iCs/>
          <w:color w:val="555555"/>
          <w:sz w:val="20"/>
          <w:szCs w:val="20"/>
        </w:rPr>
        <w:t>3. táblázat. Goodness-of-fit mutatók. ICC: intraclass correlation coefficient; RMSE: root mean square error.</w:t>
      </w:r>
    </w:p>
    <w:p>
      <w:pPr>
        <w:pStyle w:val="Normal"/>
        <w:spacing w:before="0" w:after="160"/>
        <w:ind w:hanging="0" w:left="0" w:right="0"/>
        <w:jc w:val="left"/>
        <w:rPr/>
      </w:pPr>
      <w:r>
        <w:rPr/>
      </w:r>
    </w:p>
    <w:p>
      <w:pPr>
        <w:pStyle w:val="Heading2"/>
        <w:numPr>
          <w:ilvl w:val="0"/>
          <w:numId w:val="2"/>
        </w:numPr>
        <w:spacing w:before="200" w:after="100"/>
        <w:ind w:hanging="0" w:left="0" w:right="0"/>
        <w:jc w:val="left"/>
        <w:rPr>
          <w:rFonts w:ascii="Arial" w:hAnsi="Arial" w:eastAsia="Arial" w:cs="Arial"/>
          <w:b/>
          <w:bCs/>
          <w:sz w:val="26"/>
          <w:szCs w:val="26"/>
        </w:rPr>
      </w:pPr>
      <w:r>
        <w:rPr>
          <w:rFonts w:eastAsia="Arial" w:cs="Arial" w:ascii="Arial" w:hAnsi="Arial"/>
          <w:b/>
          <w:bCs/>
          <w:sz w:val="26"/>
          <w:szCs w:val="26"/>
        </w:rPr>
        <w:t>5.3. A szérumkreatininszint időbeli alakulása CKD státusz szerint</w:t>
      </w:r>
    </w:p>
    <w:p>
      <w:pPr>
        <w:pStyle w:val="Normal"/>
        <w:spacing w:before="0" w:after="120"/>
        <w:ind w:hanging="0" w:left="0" w:right="0"/>
        <w:jc w:val="left"/>
        <w:rPr>
          <w:rFonts w:eastAsia="Arial" w:cs="Arial"/>
          <w:sz w:val="24"/>
          <w:szCs w:val="24"/>
        </w:rPr>
      </w:pPr>
      <w:r>
        <w:rPr>
          <w:rFonts w:ascii="Arial" w:hAnsi="Arial"/>
          <w:sz w:val="22"/>
        </w:rPr>
        <w:t>Az alábbi ábra a kreatininszint nyers csoportátlagainak változását mutatja be a három mérési időpontban (0, 6 és 12 hónap), CKD státusz szerint csoportosítva. A hibasávok ±1 standard hibát jelölnek. A statisztikai következtetések a kovariánsokra korrigált lineáris mixed effects modellen alapulnak.</w:t>
      </w:r>
    </w:p>
    <w:p>
      <w:pPr>
        <w:pStyle w:val="Normal"/>
        <w:spacing w:before="0" w:after="160"/>
        <w:ind w:hanging="0" w:left="0" w:right="0"/>
        <w:jc w:val="left"/>
        <w:rPr/>
      </w:pPr>
      <w:r>
        <w:rPr/>
      </w:r>
    </w:p>
    <w:p>
      <w:pPr>
        <w:pStyle w:val="Normal"/>
        <w:spacing w:before="0" w:after="120"/>
        <w:ind w:hanging="0" w:left="0" w:right="0"/>
        <w:jc w:val="center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61640"/>
            <wp:effectExtent l="0" t="0" r="0" b="0"/>
            <wp:wrapTopAndBottom/>
            <wp:docPr id="1" name="kép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80" w:after="200"/>
        <w:ind w:hanging="0" w:left="0" w:right="0"/>
        <w:jc w:val="center"/>
        <w:rPr/>
      </w:pPr>
      <w:r>
        <w:rPr>
          <w:rFonts w:ascii="Arial" w:hAnsi="Arial"/>
          <w:i/>
          <w:sz w:val="18"/>
        </w:rPr>
        <w:t>1. ábra. A kreatininszint nyers csoportátlagainak változása 0, 6 és 12 hónapban CKD-pozitív és CKD-negatív T2DM-betegekben. A hibasávok ±1 standard hibát jelölnek; a statisztikai következtetések a kovariánsokra korrigált lineáris mixed effects modellen alapulnak.</w:t>
      </w:r>
    </w:p>
    <w:p>
      <w:pPr>
        <w:pStyle w:val="Heading1"/>
        <w:numPr>
          <w:ilvl w:val="0"/>
          <w:numId w:val="2"/>
        </w:numPr>
        <w:spacing w:before="300" w:after="150"/>
        <w:ind w:hanging="0" w:left="0" w:right="0"/>
        <w:jc w:val="left"/>
        <w:rPr>
          <w:rFonts w:ascii="Arial" w:hAnsi="Arial" w:eastAsia="Arial" w:cs="Arial"/>
          <w:b/>
          <w:bCs/>
          <w:color w:val="2E75B6"/>
          <w:sz w:val="28"/>
          <w:szCs w:val="28"/>
        </w:rPr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6. Limitációk</w:t>
      </w:r>
    </w:p>
    <w:p>
      <w:pPr>
        <w:pStyle w:val="Normal"/>
        <w:spacing w:before="0" w:after="120"/>
        <w:ind w:hanging="0" w:left="0" w:right="0"/>
        <w:jc w:val="left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Az elemzés több korlátját érdemes figyelembe venni az eredmények értelmezésekor. Először, az adatbázisban szerepelnek extrém kreatininértékek (maximum 603 µmol/L), amelyek súlyosan beszűkült vesefunkcióval vagy akut vesefunkció-romlással összefüggő extrém értékek lehetnek; ezek az értékek torzíthatják a csoportszintű átlagokat és az LME modell becsléseit is befolyásolhatják – ezt a reziduális diagnosztika is megerősítette (nehéz farok a QQ-ploton, heteroszkedaszticitás a reziduálisok vs. illesztett értékek ábrán). Egy érzékenységvizsgálat az extrém értékek kizárásával erősítette volna az eredményeket. Másodszor, a CKD státusz bináris változóként szerepel a modellben, nem vesszük figyelembe a vesebetegség súlyosságát (pl. GFR-stádium szerint), ami a csoporton belüli heterogenitást elfedi. Harmadszor, a leíró statisztikában a kreatinin változók jobbra ferde eloszlása miatt medián [IQR] és Mann-Whitney U teszt lett volna statisztikailag pontosabb választás az átlag±SD és t-teszt helyett. Negyedszer, a vizsgált adatbázis obszervációs jellegű, ezért a megfigyelt összefüggések nem értelmezhetők ok-okozati viszonyként; fennálló, méretlen konfounding tényezők (pl. egyéb társbetegségek, gyógyszeres kezelések változása) befolyásolhatják az eredményeket. Ötödször, a CKD-státusz meghatározása feltehetően vesefunkciós paramétereken, köztük kreatininből számított eGFR-en alapult. Emiatt a CKD-státusz és a kreatininszint közötti baseline összefüggés részben definíciószerű lehet; az elemzés érdemi kérdése ezért elsősorban az időbeli trajektóriák különbsége. Hatodszor, az érzékenységvizsgálat keretében log-transzformált kreatininszinten illesztett modellben a CKD × idő interakció nem bizonyult szignifikánsnak (p=0,423), ami arra utal, hogy az eredeti skálán kapott eredmény részben a heteroszkedaszticitás és az extrém értékek torzító hatásának tulajdonítható. A random slope modellt nem sikerült stabilan illeszteni (konvergenciaprobléma), ami valószínűleg a mindössze három ismételt mérésből adódik; a betegszintű meredekség-becslés megbízható számításához több időpontra lenne szükség. Hetedszer, a 12 hónapos követési idő viszonylag rövid a kreatininszint hosszabb távú változásainak jellemzéséhez.</w:t>
      </w:r>
    </w:p>
    <w:p>
      <w:pPr>
        <w:pStyle w:val="Heading1"/>
        <w:numPr>
          <w:ilvl w:val="0"/>
          <w:numId w:val="2"/>
        </w:numPr>
        <w:spacing w:before="300" w:after="150"/>
        <w:jc w:val="left"/>
        <w:rPr>
          <w:rFonts w:ascii="Arial" w:hAnsi="Arial" w:eastAsia="Arial" w:cs="Arial"/>
          <w:b/>
          <w:bCs/>
          <w:color w:val="2E75B6"/>
          <w:sz w:val="28"/>
          <w:szCs w:val="28"/>
        </w:rPr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7. Összefoglaló</w:t>
      </w:r>
    </w:p>
    <w:p>
      <w:pPr>
        <w:pStyle w:val="Normal"/>
        <w:spacing w:before="0" w:after="120"/>
        <w:ind w:hanging="0" w:left="0" w:right="0"/>
        <w:jc w:val="left"/>
        <w:rPr/>
      </w:pPr>
      <w:r>
        <w:rPr>
          <w:rFonts w:ascii="Arial" w:hAnsi="Arial"/>
          <w:sz w:val="22"/>
        </w:rPr>
        <w:t>A vizsgálat célja annak feltárása volt, hogy a krónikus vesebetegség (CKD) státusza összefügg-e a kreatininszint eltérő időbeli alakulásával 2-es típusú cukorbetegek körében. Az imputált T2DM adatbázis (N=2669) elemzése alapján a modell becslése szerint a CKD-pozitív betegek kreatininszintje a kiindulási időpontban magasabbnak adódott, és ez az eltérés a 12 hónapos követési idő alatt tovább növekedett. A lineáris mixed effects modell szignifikáns interakciót azonosított a CKD státusz és az idő között (β=0,41 µmol/L/hónap, p=0,002); ez az eredmény azonban a log-transzformált érzékenységvizsgálatban nem bizonyult robusztusnak (p=0,423). CKD-pozitív betegekben a kreatinin és az idő között erősebb összefüggés mutatkozott, míg CKD-negatív betegekben nem volt statisztikailag igazolható lineáris időbeli összefüggés (β=-0,03, p=0,579). A modell magas feltételes magyarázóerőt mutatott (feltételes R²=0,845, ICC=0,808), amely jelentős részben a betegek közötti tartós különbségeket tükrözte. Az eredmények arra utalnak, hogy a CKD státusz összefügghet a kreatininszint időbeli alakulásával T2DM-betegek körében, ugyanakkor ez az összefüggés érzékenynek bizonyult a modellezési feltételezésekre.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576"/>
        </w:tabs>
        <w:ind w:left="576" w:hanging="576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720"/>
        </w:tabs>
        <w:ind w:left="720" w:hanging="720"/>
      </w:pPr>
    </w:lvl>
    <w:lvl w:ilvl="3">
      <w:start w:val="1"/>
      <w:pStyle w:val="Heading4"/>
      <w:numFmt w:val="none"/>
      <w:suff w:val="nothing"/>
      <w:lvlText w:val="%4"/>
      <w:lvlJc w:val="left"/>
      <w:pPr>
        <w:tabs>
          <w:tab w:val="num" w:pos="864"/>
        </w:tabs>
        <w:ind w:left="864" w:hanging="864"/>
      </w:pPr>
    </w:lvl>
    <w:lvl w:ilvl="4">
      <w:start w:val="1"/>
      <w:pStyle w:val="Heading5"/>
      <w:numFmt w:val="none"/>
      <w:suff w:val="nothing"/>
      <w:lvlText w:val="%5"/>
      <w:lvlJc w:val="left"/>
      <w:pPr>
        <w:tabs>
          <w:tab w:val="num" w:pos="1008"/>
        </w:tabs>
        <w:ind w:left="1008" w:hanging="1008"/>
      </w:pPr>
    </w:lvl>
    <w:lvl w:ilvl="5">
      <w:start w:val="1"/>
      <w:pStyle w:val="Heading6"/>
      <w:numFmt w:val="none"/>
      <w:suff w:val="nothing"/>
      <w:lvlText w:val="%6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%9"/>
      <w:lvlJc w:val="left"/>
      <w:pPr>
        <w:tabs>
          <w:tab w:val="num" w:pos="1584"/>
        </w:tabs>
        <w:ind w:left="1584" w:hanging="1584"/>
      </w:p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720" w:hanging="432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1080" w:hanging="576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1440" w:hanging="72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1800" w:hanging="864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2160" w:hanging="1008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2520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2880" w:hanging="1296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3240" w:hanging="144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3600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hu-H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numPr>
        <w:ilvl w:val="0"/>
        <w:numId w:val="0"/>
      </w:numPr>
      <w:suppressAutoHyphens w:val="true"/>
      <w:kinsoku w:val="true"/>
      <w:overflowPunct w:val="false"/>
      <w:autoSpaceDE w:val="true"/>
      <w:bidi w:val="0"/>
      <w:spacing w:before="0" w:after="0"/>
      <w:jc w:val="left"/>
    </w:pPr>
    <w:rPr>
      <w:rFonts w:ascii="Arial" w:hAnsi="Arial" w:eastAsia="Arial" w:cs="Arial"/>
      <w:color w:val="00000A"/>
      <w:kern w:val="2"/>
      <w:sz w:val="24"/>
      <w:szCs w:val="24"/>
      <w:lang w:val="hu-HU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300" w:after="150"/>
      <w:outlineLvl w:val="0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00"/>
      <w:outlineLvl w:val="1"/>
    </w:pPr>
    <w:rPr>
      <w:rFonts w:ascii="Arial" w:hAnsi="Arial" w:eastAsia="Arial" w:cs="Arial"/>
      <w:b/>
      <w:bCs/>
      <w:color w:val="2E74B5"/>
      <w:sz w:val="26"/>
      <w:szCs w:val="2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outlineLvl w:val="3"/>
    </w:pPr>
    <w:rPr>
      <w:i/>
      <w:iCs/>
      <w:color w:val="2E74B5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outlineLvl w:val="4"/>
    </w:pPr>
    <w:rPr>
      <w:color w:val="2E74B5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outlineLvl w:val="5"/>
    </w:pPr>
    <w:rPr>
      <w:color w:val="1F4D78"/>
    </w:rPr>
  </w:style>
  <w:style w:type="character" w:styleId="Hyperlink">
    <w:name w:val="Hyperlink"/>
    <w:rPr>
      <w:color w:val="0563C1"/>
      <w:u w:val="single"/>
      <w:lang w:val="hu-HU" w:eastAsia="hu-HU" w:bidi="hu-HU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qFormat/>
    <w:rPr>
      <w:sz w:val="20"/>
      <w:szCs w:val="20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before="0" w:after="120"/>
    </w:pPr>
    <w:rPr/>
  </w:style>
  <w:style w:type="paragraph" w:styleId="List">
    <w:name w:val="List"/>
    <w:basedOn w:val="BodyText"/>
    <w:pPr>
      <w:numPr>
        <w:ilvl w:val="0"/>
        <w:numId w:val="0"/>
      </w:numPr>
    </w:pPr>
    <w:rPr>
      <w:rFonts w:cs="Arial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</w:pPr>
    <w:rPr>
      <w:rFonts w:cs="Arial"/>
    </w:rPr>
  </w:style>
  <w:style w:type="paragraph" w:styleId="Title">
    <w:name w:val="Title"/>
    <w:basedOn w:val="Heading"/>
    <w:next w:val="Subtitle"/>
    <w:qFormat/>
    <w:pPr>
      <w:numPr>
        <w:ilvl w:val="0"/>
        <w:numId w:val="0"/>
      </w:numPr>
      <w:jc w:val="left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numPr>
        <w:ilvl w:val="0"/>
        <w:numId w:val="0"/>
      </w:numPr>
      <w:jc w:val="center"/>
    </w:pPr>
    <w:rPr>
      <w:i/>
      <w:iCs/>
      <w:sz w:val="28"/>
      <w:szCs w:val="28"/>
    </w:rPr>
  </w:style>
  <w:style w:type="paragraph" w:styleId="StrongEmphasis">
    <w:name w:val="Strong Emphasis"/>
    <w:qFormat/>
    <w:pPr>
      <w:widowControl w:val="false"/>
      <w:numPr>
        <w:ilvl w:val="0"/>
        <w:numId w:val="0"/>
      </w:numPr>
      <w:suppressAutoHyphens w:val="true"/>
      <w:kinsoku w:val="true"/>
      <w:overflowPunct w:val="false"/>
      <w:autoSpaceDE w:val="true"/>
      <w:bidi w:val="0"/>
      <w:spacing w:before="0" w:after="0"/>
      <w:jc w:val="left"/>
    </w:pPr>
    <w:rPr>
      <w:rFonts w:ascii="Arial" w:hAnsi="Arial" w:eastAsia="Arial" w:cs="Arial"/>
      <w:b/>
      <w:bCs/>
      <w:color w:val="00000A"/>
      <w:kern w:val="2"/>
      <w:sz w:val="24"/>
      <w:szCs w:val="24"/>
      <w:lang w:val="hu-HU" w:eastAsia="zh-CN" w:bidi="hi-IN"/>
    </w:rPr>
  </w:style>
  <w:style w:type="paragraph" w:styleId="ListParagraph">
    <w:name w:val="List Paragraph"/>
    <w:qFormat/>
    <w:pPr>
      <w:widowControl w:val="false"/>
      <w:numPr>
        <w:ilvl w:val="0"/>
        <w:numId w:val="0"/>
      </w:numPr>
      <w:suppressAutoHyphens w:val="true"/>
      <w:kinsoku w:val="true"/>
      <w:overflowPunct w:val="false"/>
      <w:autoSpaceDE w:val="true"/>
      <w:bidi w:val="0"/>
      <w:spacing w:before="0" w:after="0"/>
      <w:jc w:val="left"/>
    </w:pPr>
    <w:rPr>
      <w:rFonts w:ascii="Arial" w:hAnsi="Arial" w:eastAsia="Arial" w:cs="Arial"/>
      <w:color w:val="00000A"/>
      <w:kern w:val="2"/>
      <w:sz w:val="24"/>
      <w:szCs w:val="24"/>
      <w:lang w:val="hu-HU" w:eastAsia="zh-CN" w:bidi="hi-IN"/>
    </w:rPr>
  </w:style>
  <w:style w:type="paragraph" w:styleId="FootnoteText">
    <w:name w:val="footnote text"/>
    <w:basedOn w:val="Normal"/>
    <w:pPr>
      <w:widowControl w:val="false"/>
      <w:numPr>
        <w:ilvl w:val="0"/>
        <w:numId w:val="0"/>
      </w:numPr>
      <w:suppressLineNumbers/>
      <w:suppressAutoHyphens w:val="true"/>
      <w:overflowPunct w:val="false"/>
      <w:bidi w:val="0"/>
      <w:spacing w:lineRule="auto" w:line="240" w:before="0" w:after="0"/>
      <w:ind w:hanging="283" w:left="283" w:right="0"/>
      <w:jc w:val="left"/>
    </w:pPr>
    <w:rPr>
      <w:rFonts w:ascii="Arial" w:hAnsi="Arial" w:eastAsia="Arial" w:cs="Arial"/>
      <w:color w:val="00000A"/>
      <w:kern w:val="2"/>
      <w:sz w:val="20"/>
      <w:szCs w:val="20"/>
      <w:lang w:val="hu-HU" w:eastAsia="zh-CN" w:bidi="hi-IN"/>
    </w:rPr>
  </w:style>
  <w:style w:type="paragraph" w:styleId="EndnoteSymbol">
    <w:name w:val="Endnote Symbol"/>
    <w:qFormat/>
    <w:pPr>
      <w:widowControl w:val="false"/>
      <w:numPr>
        <w:ilvl w:val="0"/>
        <w:numId w:val="0"/>
      </w:numPr>
      <w:suppressAutoHyphens w:val="true"/>
      <w:kinsoku w:val="true"/>
      <w:overflowPunct w:val="false"/>
      <w:autoSpaceDE w:val="true"/>
      <w:bidi w:val="0"/>
      <w:spacing w:lineRule="auto" w:line="240" w:before="0" w:after="0"/>
      <w:jc w:val="left"/>
    </w:pPr>
    <w:rPr>
      <w:rFonts w:ascii="Arial" w:hAnsi="Arial" w:eastAsia="Arial" w:cs="Arial"/>
      <w:color w:val="00000A"/>
      <w:kern w:val="2"/>
      <w:sz w:val="20"/>
      <w:szCs w:val="20"/>
      <w:lang w:val="hu-HU" w:eastAsia="zh-CN" w:bidi="hi-IN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6</Pages>
  <Words>1548</Words>
  <CharactersWithSpaces>11716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2026-06-12T10:02:01Z</dcterms:created>
  <dc:creator>Un-named</dc:creator>
  <dc:description/>
  <dc:language>en-US</dc:language>
  <cp:lastModifiedBy/>
  <dcterms:modified xsi:type="dcterms:W3CDTF">2026-07-17T14:20:55Z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