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 xml:space="preserve">CSense — Client Needs Specification</w:t>
      </w:r>
    </w:p>
    <w:p>
      <w:pPr>
        <w:spacing w:after="60"/>
        <w:jc w:val="center"/>
      </w:pPr>
      <w:r>
        <w:rPr>
          <w:i/>
          <w:iCs/>
          <w:color w:val="595959"/>
          <w:sz w:val="18"/>
          <w:szCs w:val="18"/>
        </w:rPr>
        <w:t xml:space="preserve">Cybersecurity Awareness Training Platform  |  Requirements derived from the C-Sense solution and implementation reports</w:t>
      </w:r>
    </w:p>
    <w:p>
      <w:pPr>
        <w:pBdr>
          <w:bottom w:val="single" w:color="2E5496" w:sz="10" w:space="1"/>
        </w:pBdr>
        <w:spacing w:after="160"/>
      </w:pP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1. Project Context</w:t>
      </w:r>
    </w:p>
    <w:p>
      <w:pPr>
        <w:spacing w:after="100" w:line="276"/>
      </w:pPr>
      <w:r>
        <w:rPr>
          <w:sz w:val="22"/>
          <w:szCs w:val="22"/>
        </w:rPr>
        <w:t xml:space="preserve">CSense is a cybersecurity awareness training platform for an organisation's employees (the reports use Condor Electronics as the deploying client). It replaces a passive onboarding process (a single pre-recorded video plus a signed paper form) with an enforced, interactive, and measurable programme. CSense is delivered as a desktop application that intercepts the employee at workstation start-up through a pre-access security gate: the employee must demonstrate engagement before workstation access is granted. Employees progress through sequentially locked learning modules, each ending in a quiz, followed by a final assessment, while administrators (the security team) provision accounts, manage content, and monitor an individual risk profile for every employee.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2. Functional Needs (what the system must do)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Enforce awareness at the workstation: show a pre-access security gate at start-up and grant full access only when the required interaction is completed; offer a limited number of retries, then move the employee to a restricted-access state and alert the security team.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Authenticate users securely; employee and administrator accounts are created only by an administrator (self-registration is disabled).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Deliver training as a sequence of locked modules (video and interactive formats); unlock the next module only after the current module's quiz is passed at the required score.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Provide a guided onboarding / welcome experience for first-time employees.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Present module content: video lessons and interactive exercises, with immediate right/wrong feedback and short explanations.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Give each module a multiple-choice quiz (e.g. five questions) with a passing threshold, and allow the employee to review answers and retry on failure.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Provide a comprehensive final assessment (around fifteen questions) after all modules are completed.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Award experience points (XP) and apply a five-tier progression ladder: Apprentice, Aware, Practitioner, Guardian, Defender.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Automatically award a named badge on each module completion.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Give each employee a personal progress dashboard (modules, scores, XP and level, badges).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Compute a dynamic per-employee risk profile from four weighted dimensions (Knowledge 30%, Behavioural 25%, Simulation 30%, Engagement 15%) and classify a risk level (Low / Medium / High, mapped to Green / Amber / Red governance states).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Run a governance and escalation workflow: elevated risk triggers a targeted review and notifies the security team; critical events (for example, credential submission in a simulation) are logged in an auditable record and escalated for management review.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Provide an administrator dashboard with overview KPIs, an employee-progress table, a per-module completion breakdown, risk profiles, a scoreboard, badges, and on-demand reports.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Let administrators manage users (create, edit, deactivate, assign modules), manage module and final-test content, and generate governance and compliance reports.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Provide phishing simulation campaigns: configure a campaign, deploy simulated emails, and record outcomes (see Assumptions regarding delivery status).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Support a continuous awareness phase with periodic reviews and simulations after initial completion.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3. Non-Functional Needs</w:t>
      </w:r>
    </w:p>
    <w:p>
      <w:pPr>
        <w:pStyle w:val="Heading2"/>
        <w:spacing w:after="60" w:before="140"/>
      </w:pPr>
      <w:r>
        <w:rPr>
          <w:b/>
          <w:bCs/>
          <w:color w:val="2E5496"/>
          <w:sz w:val="22"/>
          <w:szCs w:val="22"/>
        </w:rPr>
        <w:t xml:space="preserve">Security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Secure authentication using short-lived access tokens and longer-lived refresh tokens; passwords stored only as salted hashes.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Hardened HTTP security headers, request rate limiting, and server-side input validation.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Role-based access control that separates employee and administrator functions.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Anti-cheating during assessments: a lockdown / kiosk mode that restricts keyboard shortcuts, clipboard, and developer tools while a quiz is active.</w:t>
      </w:r>
    </w:p>
    <w:p>
      <w:pPr>
        <w:pStyle w:val="Heading2"/>
        <w:spacing w:after="60" w:before="140"/>
      </w:pPr>
      <w:r>
        <w:rPr>
          <w:b/>
          <w:bCs/>
          <w:color w:val="2E5496"/>
          <w:sz w:val="22"/>
          <w:szCs w:val="22"/>
        </w:rPr>
        <w:t xml:space="preserve">Usability and User Experience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Interface that feels enterprise-grade yet approachable, using a dark-mode-primary visual language.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 consistent, semantic colour system (blue for information, green for success, amber for caution, red for critical).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Guided, low-cognitive-load onboarding; progressive disclosure; immediate feedback on every interaction; purposeful motion design; and alignment with the client's brand identity.</w:t>
      </w:r>
    </w:p>
    <w:p>
      <w:pPr>
        <w:pStyle w:val="Heading2"/>
        <w:spacing w:after="60" w:before="140"/>
      </w:pPr>
      <w:r>
        <w:rPr>
          <w:b/>
          <w:bCs/>
          <w:color w:val="2E5496"/>
          <w:sz w:val="22"/>
          <w:szCs w:val="22"/>
        </w:rPr>
        <w:t xml:space="preserve">Performance and Reliability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Responsive application with fast media delivery through a content-delivery network (CDN).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Hosted on managed cloud infrastructure so database availability and backups are not an operational burden.</w:t>
      </w:r>
    </w:p>
    <w:p>
      <w:pPr>
        <w:pStyle w:val="Heading2"/>
        <w:spacing w:after="60" w:before="140"/>
      </w:pPr>
      <w:r>
        <w:rPr>
          <w:b/>
          <w:bCs/>
          <w:color w:val="2E5496"/>
          <w:sz w:val="22"/>
          <w:szCs w:val="22"/>
        </w:rPr>
        <w:t xml:space="preserve">Compliance and Governance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Support the awareness and training requirements of ISO/IEC 27001:2022, NIST SP 800-50, and CIS Controls v8 (Control 14).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Maintain auditable, defensible logs of risk escalations and the organisation's responses to them.</w:t>
      </w:r>
    </w:p>
    <w:p>
      <w:pPr>
        <w:pStyle w:val="Heading2"/>
        <w:spacing w:after="60" w:before="140"/>
      </w:pPr>
      <w:r>
        <w:rPr>
          <w:b/>
          <w:bCs/>
          <w:color w:val="2E5496"/>
          <w:sz w:val="22"/>
          <w:szCs w:val="22"/>
        </w:rPr>
        <w:t xml:space="preserve">Deployment and Maintainability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Native desktop delivery via an installer across the organisation's managed device fleet, for a controlled and consistent rollout; native OS notifications for training reminders.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sz w:val="21"/>
          <w:szCs w:val="21"/>
        </w:rPr>
        <w:t xml:space="preserve">A modular, feature-based architecture so individual features can evolve and be deployed independently.</w:t>
      </w:r>
    </w:p>
    <w:p>
      <w:pPr>
        <w:pStyle w:val="Heading1"/>
        <w:spacing w:after="100" w:before="240"/>
      </w:pPr>
      <w:r>
        <w:rPr>
          <w:b/>
          <w:bCs/>
          <w:color w:val="1F3864"/>
          <w:sz w:val="26"/>
          <w:szCs w:val="26"/>
        </w:rPr>
        <w:t xml:space="preserve">4. Constraints and Assumptions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[Constraint] </w:t>
      </w:r>
      <w:r>
        <w:rPr>
          <w:sz w:val="21"/>
          <w:szCs w:val="21"/>
        </w:rPr>
        <w:t xml:space="preserve">The platform is a desktop application (not a voluntary web portal) and must sit in front of workstation access.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[Constraint] </w:t>
      </w:r>
      <w:r>
        <w:rPr>
          <w:sz w:val="21"/>
          <w:szCs w:val="21"/>
        </w:rPr>
        <w:t xml:space="preserve">Enrollment is administrator-controlled; self-registration is intentionally disabled.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[Assumption] </w:t>
      </w:r>
      <w:r>
        <w:rPr>
          <w:sz w:val="21"/>
          <w:szCs w:val="21"/>
        </w:rPr>
        <w:t xml:space="preserve">The "client" is taken to be the organisation deploying CSense to its employees; the reports use Condor Electronics as that organisation. Please confirm the intended client.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[Assumption] </w:t>
      </w:r>
      <w:r>
        <w:rPr>
          <w:sz w:val="21"/>
          <w:szCs w:val="21"/>
        </w:rPr>
        <w:t xml:space="preserve">Module set differs between the two reports: the design report defines six modules, while the implementation report describes seven (adding a "What is CSense / Welcome" module and separating phishing and social engineering). A seven-module, sequentially locked set is assumed. Please confirm the final module list.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[Assumption] </w:t>
      </w:r>
      <w:r>
        <w:rPr>
          <w:sz w:val="21"/>
          <w:szCs w:val="21"/>
        </w:rPr>
        <w:t xml:space="preserve">The passing threshold is stated inconsistently (for example three of five per module, versus a 70% threshold and a fifteen-question final test shown in screenshots). A per-module configurable threshold is assumed. Please confirm the values.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[Assumption] </w:t>
      </w:r>
      <w:r>
        <w:rPr>
          <w:sz w:val="21"/>
          <w:szCs w:val="21"/>
        </w:rPr>
        <w:t xml:space="preserve">Phishing simulation and the continuous-review phase are central in the design report but appear as a future enhancement in the implementation report. They are treated here as required capabilities; current build status to be confirmed.</w:t>
      </w:r>
    </w:p>
    <w:p>
      <w:pPr>
        <w:pStyle w:val="ListParagraph"/>
        <w:numPr>
          <w:ilvl w:val="0"/>
          <w:numId w:val="1"/>
        </w:numPr>
        <w:spacing w:after="40" w:line="264"/>
      </w:pPr>
      <w:r>
        <w:rPr>
          <w:b/>
          <w:bCs/>
          <w:sz w:val="21"/>
          <w:szCs w:val="21"/>
        </w:rPr>
        <w:t xml:space="preserve">[Assumption] </w:t>
      </w:r>
      <w:r>
        <w:rPr>
          <w:sz w:val="21"/>
          <w:szCs w:val="21"/>
        </w:rPr>
        <w:t xml:space="preserve">Offline module caching and automated certificate generation are named only as future enhancements, not current requirements.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CSense - Client Needs Specification</dc:title>
  <dc:creator>CSense</dc:creator>
  <cp:lastModifiedBy>Un-named</cp:lastModifiedBy>
  <cp:revision>1</cp:revision>
  <dcterms:created xsi:type="dcterms:W3CDTF">2026-10-18T21:25:08.734Z</dcterms:created>
  <dcterms:modified xsi:type="dcterms:W3CDTF">2026-10-18T21:25:08.742Z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