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766E"/>
          <w:sz w:val="56"/>
        </w:rPr>
        <w:t>CargoXpress</w:t>
      </w:r>
    </w:p>
    <w:p>
      <w:pPr>
        <w:spacing w:after="360"/>
      </w:pPr>
      <w:r>
        <w:rPr>
          <w:i/>
          <w:color w:val="556972"/>
          <w:sz w:val="28"/>
        </w:rPr>
        <w:t>Smart Truck Load Merging &amp; Logistics Optimization Platform</w:t>
      </w:r>
    </w:p>
    <w:p>
      <w:pPr>
        <w:pStyle w:val="Heading1"/>
        <w:spacing w:before="280" w:after="120"/>
      </w:pPr>
      <w:r>
        <w:rPr>
          <w:color w:val="0F766E"/>
        </w:rPr>
        <w:t>1. Executive Summary</w:t>
      </w:r>
    </w:p>
    <w:p>
      <w:pPr>
        <w:spacing w:after="120"/>
      </w:pPr>
      <w:r>
        <w:t>In the commercial freight and road logistics industry, over 30% to 40% of truck capacity goes unused on highways. Transport companies frequently burn expensive fuel running half-filled trucks along the exact same highway corridors. Concurrently, small and medium traders struggle to move partial loads because hiring a full truck is prohibitively expensive.</w:t>
      </w:r>
    </w:p>
    <w:p>
      <w:pPr>
        <w:spacing w:after="240"/>
      </w:pPr>
      <w:r>
        <w:t>CargoXpress solves this systemic market inefficiency through an automated consolidation and route optimization system. It continuously analyzes delivery schedules, highway corridors, and multi-stop capacities to merge compatible shipments into a single carrier vehicle, releasing redundant trucks into an on-demand Free Truck Pool and enabling traders to book spare capacity on active trucks.</w:t>
      </w:r>
    </w:p>
    <w:tbl>
      <w:tblPr>
        <w:tblW w:type="auto" w:w="0"/>
        <w:jc w:val="center"/>
        <w:tblLayout w:type="fixed"/>
        <w:tblLook w:firstColumn="1" w:firstRow="1" w:lastColumn="0" w:lastRow="0" w:noHBand="0" w:noVBand="1" w:val="04A0"/>
      </w:tblPr>
      <w:tblGrid>
        <w:gridCol w:w="9792"/>
      </w:tblGrid>
      <w:tr>
        <w:tc>
          <w:tcPr>
            <w:tcW w:type="dxa" w:w="9936"/>
            <w:shd w:fill="E6FFFA"/>
            <w:tcMar>
              <w:top w:w="140" w:type="dxa"/>
              <w:bottom w:w="140" w:type="dxa"/>
              <w:left w:w="200" w:type="dxa"/>
              <w:right w:w="200" w:type="dxa"/>
            </w:tcMar>
          </w:tcPr>
          <w:p>
            <w:pPr>
              <w:spacing w:after="0"/>
            </w:pPr>
            <w:r>
              <w:rPr>
                <w:b/>
                <w:color w:val="0F766E"/>
              </w:rPr>
              <w:t xml:space="preserve">Core Platform Principle: </w:t>
            </w:r>
            <w:r>
              <w:rPr>
                <w:color w:val="134E4A"/>
              </w:rPr>
              <w:t>Never dispatch two half-empty trucks along the same highway corridor when one truck can comfortably carry both loads. Transform empty vehicle space into shared profitability and reduced emissions.</w:t>
            </w:r>
          </w:p>
        </w:tc>
      </w:tr>
    </w:tbl>
    <w:p>
      <w:pPr>
        <w:spacing w:after="160"/>
      </w:pPr>
    </w:p>
    <w:p>
      <w:pPr>
        <w:pStyle w:val="Heading1"/>
        <w:spacing w:before="280" w:after="120"/>
      </w:pPr>
      <w:r>
        <w:rPr>
          <w:color w:val="0F766E"/>
        </w:rPr>
        <w:t>2. Platform Stakeholders &amp; Role-Based Access</w:t>
      </w:r>
    </w:p>
    <w:p>
      <w:r>
        <w:t>CargoXpress coordinates three distinct user personas through dedicated, secure interfaces:</w:t>
      </w:r>
    </w:p>
    <w:tbl>
      <w:tblPr>
        <w:tblW w:type="auto" w:w="0"/>
        <w:jc w:val="center"/>
        <w:tblLayout w:type="fixed"/>
        <w:tblLook w:firstColumn="1" w:firstRow="1" w:lastColumn="0" w:lastRow="0" w:noHBand="0" w:noVBand="1" w:val="04A0"/>
      </w:tblPr>
      <w:tblGrid>
        <w:gridCol w:w="2592"/>
        <w:gridCol w:w="2592"/>
        <w:gridCol w:w="4608"/>
      </w:tblGrid>
      <w:tr>
        <w:tc>
          <w:tcPr>
            <w:tcW w:type="dxa" w:w="3312"/>
            <w:shd w:fill="0F766E"/>
            <w:tcMar>
              <w:top w:w="100" w:type="dxa"/>
              <w:bottom w:w="100" w:type="dxa"/>
              <w:left w:w="120" w:type="dxa"/>
              <w:right w:w="120" w:type="dxa"/>
            </w:tcMar>
          </w:tcPr>
          <w:p>
            <w:r>
              <w:rPr>
                <w:b/>
                <w:color w:val="FFFFFF"/>
              </w:rPr>
              <w:t>Role</w:t>
            </w:r>
          </w:p>
        </w:tc>
        <w:tc>
          <w:tcPr>
            <w:tcW w:type="dxa" w:w="3312"/>
            <w:shd w:fill="0F766E"/>
            <w:tcMar>
              <w:top w:w="100" w:type="dxa"/>
              <w:bottom w:w="100" w:type="dxa"/>
              <w:left w:w="120" w:type="dxa"/>
              <w:right w:w="120" w:type="dxa"/>
            </w:tcMar>
          </w:tcPr>
          <w:p>
            <w:r>
              <w:rPr>
                <w:b/>
                <w:color w:val="FFFFFF"/>
              </w:rPr>
              <w:t>Primary User</w:t>
            </w:r>
          </w:p>
        </w:tc>
        <w:tc>
          <w:tcPr>
            <w:tcW w:type="dxa" w:w="3312"/>
            <w:shd w:fill="0F766E"/>
            <w:tcMar>
              <w:top w:w="100" w:type="dxa"/>
              <w:bottom w:w="100" w:type="dxa"/>
              <w:left w:w="120" w:type="dxa"/>
              <w:right w:w="120" w:type="dxa"/>
            </w:tcMar>
          </w:tcPr>
          <w:p>
            <w:r>
              <w:rPr>
                <w:b/>
                <w:color w:val="FFFFFF"/>
              </w:rPr>
              <w:t>Key Responsibilities &amp; Actions</w:t>
            </w:r>
          </w:p>
        </w:tc>
      </w:tr>
      <w:tr>
        <w:tc>
          <w:tcPr>
            <w:tcW w:type="dxa" w:w="3312"/>
            <w:shd w:fill="F0FDF4"/>
            <w:tcMar>
              <w:top w:w="80" w:type="dxa"/>
              <w:bottom w:w="80" w:type="dxa"/>
              <w:left w:w="100" w:type="dxa"/>
              <w:right w:w="100" w:type="dxa"/>
            </w:tcMar>
          </w:tcPr>
          <w:p>
            <w:r>
              <w:t>Transport Company</w:t>
            </w:r>
          </w:p>
        </w:tc>
        <w:tc>
          <w:tcPr>
            <w:tcW w:type="dxa" w:w="3312"/>
            <w:shd w:fill="F0FDF4"/>
            <w:tcMar>
              <w:top w:w="80" w:type="dxa"/>
              <w:bottom w:w="80" w:type="dxa"/>
              <w:left w:w="100" w:type="dxa"/>
              <w:right w:w="100" w:type="dxa"/>
            </w:tcMar>
          </w:tcPr>
          <w:p>
            <w:r>
              <w:t>Fleet owners &amp; logistics operators</w:t>
            </w:r>
          </w:p>
        </w:tc>
        <w:tc>
          <w:tcPr>
            <w:tcW w:type="dxa" w:w="3312"/>
            <w:shd w:fill="F0FDF4"/>
            <w:tcMar>
              <w:top w:w="80" w:type="dxa"/>
              <w:bottom w:w="80" w:type="dxa"/>
              <w:left w:w="100" w:type="dxa"/>
              <w:right w:w="100" w:type="dxa"/>
            </w:tcMar>
          </w:tcPr>
          <w:p>
            <w:r>
              <w:t>• Registers trucks with weight capacity and current load distribution across stops.</w:t>
              <w:br/>
              <w:t>• Maps highway corridors with sequence of stops (source, destination, intermediate).</w:t>
              <w:br/>
              <w:t>• Monitors real-time fleet utilization.</w:t>
            </w:r>
          </w:p>
        </w:tc>
      </w:tr>
      <w:tr>
        <w:tc>
          <w:tcPr>
            <w:tcW w:type="dxa" w:w="3312"/>
            <w:shd w:fill="FFFFFF"/>
            <w:tcMar>
              <w:top w:w="80" w:type="dxa"/>
              <w:bottom w:w="80" w:type="dxa"/>
              <w:left w:w="100" w:type="dxa"/>
              <w:right w:w="100" w:type="dxa"/>
            </w:tcMar>
          </w:tcPr>
          <w:p>
            <w:r>
              <w:t>Trader (Shipper)</w:t>
            </w:r>
          </w:p>
        </w:tc>
        <w:tc>
          <w:tcPr>
            <w:tcW w:type="dxa" w:w="3312"/>
            <w:shd w:fill="FFFFFF"/>
            <w:tcMar>
              <w:top w:w="80" w:type="dxa"/>
              <w:bottom w:w="80" w:type="dxa"/>
              <w:left w:w="100" w:type="dxa"/>
              <w:right w:w="100" w:type="dxa"/>
            </w:tcMar>
          </w:tcPr>
          <w:p>
            <w:r>
              <w:t>Commercial traders &amp; business shippers</w:t>
            </w:r>
          </w:p>
        </w:tc>
        <w:tc>
          <w:tcPr>
            <w:tcW w:type="dxa" w:w="3312"/>
            <w:shd w:fill="FFFFFF"/>
            <w:tcMar>
              <w:top w:w="80" w:type="dxa"/>
              <w:bottom w:w="80" w:type="dxa"/>
              <w:left w:w="100" w:type="dxa"/>
              <w:right w:w="100" w:type="dxa"/>
            </w:tcMar>
          </w:tcPr>
          <w:p>
            <w:r>
              <w:t>• Submits delivery requests specifying origin, destination, intermediate delivery points, and shipment weight (kg).</w:t>
              <w:br/>
              <w:t>• Secures pay-per-kg shipping rates without renting entire vehicles.</w:t>
            </w:r>
          </w:p>
        </w:tc>
      </w:tr>
      <w:tr>
        <w:tc>
          <w:tcPr>
            <w:tcW w:type="dxa" w:w="3312"/>
            <w:shd w:fill="F0FDF4"/>
            <w:tcMar>
              <w:top w:w="80" w:type="dxa"/>
              <w:bottom w:w="80" w:type="dxa"/>
              <w:left w:w="100" w:type="dxa"/>
              <w:right w:w="100" w:type="dxa"/>
            </w:tcMar>
          </w:tcPr>
          <w:p>
            <w:r>
              <w:t>Admin / Dispatcher</w:t>
            </w:r>
          </w:p>
        </w:tc>
        <w:tc>
          <w:tcPr>
            <w:tcW w:type="dxa" w:w="3312"/>
            <w:shd w:fill="F0FDF4"/>
            <w:tcMar>
              <w:top w:w="80" w:type="dxa"/>
              <w:bottom w:w="80" w:type="dxa"/>
              <w:left w:w="100" w:type="dxa"/>
              <w:right w:w="100" w:type="dxa"/>
            </w:tcMar>
          </w:tcPr>
          <w:p>
            <w:r>
              <w:t>Platform operations team</w:t>
            </w:r>
          </w:p>
        </w:tc>
        <w:tc>
          <w:tcPr>
            <w:tcW w:type="dxa" w:w="3312"/>
            <w:shd w:fill="F0FDF4"/>
            <w:tcMar>
              <w:top w:w="80" w:type="dxa"/>
              <w:bottom w:w="80" w:type="dxa"/>
              <w:left w:w="100" w:type="dxa"/>
              <w:right w:w="100" w:type="dxa"/>
            </w:tcMar>
          </w:tcPr>
          <w:p>
            <w:r>
              <w:t>• Runs the Truck Optimization Engine to discover mergeable truck pairs.</w:t>
              <w:br/>
              <w:t>• Approves or rejects truck merges.</w:t>
              <w:br/>
              <w:t>• Matches pending trader cargo with compatible truck routes.</w:t>
              <w:br/>
              <w:t>• Manages the Free Truck pool.</w:t>
            </w:r>
          </w:p>
        </w:tc>
      </w:tr>
    </w:tbl>
    <w:p>
      <w:pPr>
        <w:spacing w:after="160"/>
      </w:pPr>
    </w:p>
    <w:p>
      <w:pPr>
        <w:pStyle w:val="Heading1"/>
        <w:spacing w:before="280" w:after="120"/>
      </w:pPr>
      <w:r>
        <w:rPr>
          <w:color w:val="0F766E"/>
        </w:rPr>
        <w:t>3. The Two Core Optimization Engines</w:t>
      </w:r>
    </w:p>
    <w:p>
      <w:pPr>
        <w:pStyle w:val="Heading2"/>
      </w:pPr>
      <w:r>
        <w:rPr>
          <w:color w:val="065F46"/>
        </w:rPr>
        <w:t>A. Truck-to-Truck Merging Engine</w:t>
      </w:r>
    </w:p>
    <w:p>
      <w:pPr>
        <w:spacing w:after="120"/>
      </w:pPr>
      <w:r>
        <w:t>1. Corridor Containment: Identifies two trucks (Truck A and Truck B) where the route stops of the smaller-capacity truck form a subset of the larger truck's route stops.</w:t>
        <w:br/>
        <w:t>2. Capacity Feasibility Check: Validates that for every shared stop on the itinerary, the remaining capacity of the larger truck is greater than or equal to the current load of the smaller truck.</w:t>
        <w:br/>
        <w:t>3. Combined Manifest Creation: When the merge is accepted by the admin, a unified MergedSchedule is generated with the combined load, and the secondary truck is immediately transitioned into the Free Truck pool.</w:t>
      </w:r>
    </w:p>
    <w:p>
      <w:pPr>
        <w:pStyle w:val="Heading2"/>
      </w:pPr>
      <w:r>
        <w:rPr>
          <w:color w:val="065F46"/>
        </w:rPr>
        <w:t>B. Trader-to-Truck Cargo Matching Engine</w:t>
      </w:r>
    </w:p>
    <w:p>
      <w:pPr>
        <w:spacing w:after="200"/>
      </w:pPr>
      <w:r>
        <w:t>1. Route Intersection: Scans pending trader shipments and matches them with active trucks whose itinerary completely encompasses the trader's origin and destination stops.</w:t>
        <w:br/>
        <w:t>2. Live Capacity Deduction: When the admin approves the trader match, the truck's load is incremented across the respective segment stops, and the remaining capacity is deducted in real time in both the Truck document and active MergedSchedule records.</w:t>
      </w:r>
    </w:p>
    <w:p>
      <w:pPr>
        <w:pStyle w:val="Heading1"/>
        <w:spacing w:before="280" w:after="120"/>
      </w:pPr>
      <w:r>
        <w:rPr>
          <w:color w:val="0F766E"/>
        </w:rPr>
        <w:t>4. Concrete Scenario Walkthrough</w:t>
      </w:r>
    </w:p>
    <w:p>
      <w:r>
        <w:t>Consider the default seed scenario deployed in the CargoXpress database:</w:t>
      </w:r>
    </w:p>
    <w:p>
      <w:pPr>
        <w:pStyle w:val="ListBullet"/>
      </w:pPr>
      <w:r>
        <w:t>• Truck 1 (FastTrack Logistics): Capacity = 8,000 kg. Route = Mumbai → Surat → Vadodara → Ahmedabad → Rajkot. Current loads at stops = [1000, 800, 600, 500, 400] kg.</w:t>
      </w:r>
    </w:p>
    <w:p>
      <w:pPr>
        <w:pStyle w:val="ListBullet"/>
      </w:pPr>
      <w:r>
        <w:t>• Truck 2 (NorthStar Transport): Capacity = 5,000 kg. Route = Mumbai → Surat → Vadodara → Ahmedabad (exact subset). Current loads = [900, 700, 600, 500] kg.</w:t>
      </w:r>
    </w:p>
    <w:p>
      <w:pPr>
        <w:pStyle w:val="ListBullet"/>
      </w:pPr>
      <w:r>
        <w:t>• Optimization Result: CargoXpress merges both into Truck 1. Total load at Mumbai is 1,900 kg (well below the 8,000 kg limit). Truck 2 is placed in the Free Truck Pool ready for a new contract.</w:t>
      </w:r>
    </w:p>
    <w:p>
      <w:pPr>
        <w:pStyle w:val="ListBullet"/>
      </w:pPr>
      <w:r>
        <w:t>• Trader Cargo Placement: Trader Ramesh Kumar requests shipping 500 kg from Surat to Ahmedabad. Truck 1 has ample remaining room, so the cargo is ingested directly onto Truck 1, maximizing load factor and earning extra revenue for the carrier.</w:t>
      </w:r>
    </w:p>
    <w:p>
      <w:pPr>
        <w:spacing w:after="120"/>
      </w:pPr>
    </w:p>
    <w:p>
      <w:pPr>
        <w:pStyle w:val="Heading1"/>
        <w:spacing w:before="280" w:after="120"/>
      </w:pPr>
      <w:r>
        <w:rPr>
          <w:color w:val="0F766E"/>
        </w:rPr>
        <w:t>5. Measurable Business &amp; Environmental Impact</w:t>
      </w:r>
    </w:p>
    <w:tbl>
      <w:tblPr>
        <w:tblW w:type="auto" w:w="0"/>
        <w:jc w:val="center"/>
        <w:tblLayout w:type="fixed"/>
        <w:tblLook w:firstColumn="1" w:firstRow="1" w:lastColumn="0" w:lastRow="0" w:noHBand="0" w:noVBand="1" w:val="04A0"/>
      </w:tblPr>
      <w:tblGrid>
        <w:gridCol w:w="2592"/>
        <w:gridCol w:w="3312"/>
        <w:gridCol w:w="3888"/>
      </w:tblGrid>
      <w:tr>
        <w:tc>
          <w:tcPr>
            <w:tcW w:type="dxa" w:w="3312"/>
            <w:shd w:fill="0F766E"/>
            <w:tcMar>
              <w:top w:w="100" w:type="dxa"/>
              <w:bottom w:w="100" w:type="dxa"/>
              <w:left w:w="120" w:type="dxa"/>
              <w:right w:w="120" w:type="dxa"/>
            </w:tcMar>
          </w:tcPr>
          <w:p>
            <w:r>
              <w:rPr>
                <w:b/>
                <w:color w:val="FFFFFF"/>
              </w:rPr>
              <w:t>Key Metric</w:t>
            </w:r>
          </w:p>
        </w:tc>
        <w:tc>
          <w:tcPr>
            <w:tcW w:type="dxa" w:w="3312"/>
            <w:shd w:fill="0F766E"/>
            <w:tcMar>
              <w:top w:w="100" w:type="dxa"/>
              <w:bottom w:w="100" w:type="dxa"/>
              <w:left w:w="120" w:type="dxa"/>
              <w:right w:w="120" w:type="dxa"/>
            </w:tcMar>
          </w:tcPr>
          <w:p>
            <w:r>
              <w:rPr>
                <w:b/>
                <w:color w:val="FFFFFF"/>
              </w:rPr>
              <w:t>Traditional Logistics</w:t>
            </w:r>
          </w:p>
        </w:tc>
        <w:tc>
          <w:tcPr>
            <w:tcW w:type="dxa" w:w="3312"/>
            <w:shd w:fill="0F766E"/>
            <w:tcMar>
              <w:top w:w="100" w:type="dxa"/>
              <w:bottom w:w="100" w:type="dxa"/>
              <w:left w:w="120" w:type="dxa"/>
              <w:right w:w="120" w:type="dxa"/>
            </w:tcMar>
          </w:tcPr>
          <w:p>
            <w:r>
              <w:rPr>
                <w:b/>
                <w:color w:val="FFFFFF"/>
              </w:rPr>
              <w:t>With CargoXpress</w:t>
            </w:r>
          </w:p>
        </w:tc>
      </w:tr>
      <w:tr>
        <w:tc>
          <w:tcPr>
            <w:tcW w:type="dxa" w:w="3312"/>
            <w:shd w:fill="F0FDF4"/>
            <w:tcMar>
              <w:top w:w="80" w:type="dxa"/>
              <w:bottom w:w="80" w:type="dxa"/>
              <w:left w:w="100" w:type="dxa"/>
              <w:right w:w="100" w:type="dxa"/>
            </w:tcMar>
          </w:tcPr>
          <w:p>
            <w:r>
              <w:t>Capacity Utilization</w:t>
            </w:r>
          </w:p>
        </w:tc>
        <w:tc>
          <w:tcPr>
            <w:tcW w:type="dxa" w:w="3312"/>
            <w:shd w:fill="F0FDF4"/>
            <w:tcMar>
              <w:top w:w="80" w:type="dxa"/>
              <w:bottom w:w="80" w:type="dxa"/>
              <w:left w:w="100" w:type="dxa"/>
              <w:right w:w="100" w:type="dxa"/>
            </w:tcMar>
          </w:tcPr>
          <w:p>
            <w:r>
              <w:t>40% – 60% on average</w:t>
            </w:r>
          </w:p>
        </w:tc>
        <w:tc>
          <w:tcPr>
            <w:tcW w:type="dxa" w:w="3312"/>
            <w:shd w:fill="F0FDF4"/>
            <w:tcMar>
              <w:top w:w="80" w:type="dxa"/>
              <w:bottom w:w="80" w:type="dxa"/>
              <w:left w:w="100" w:type="dxa"/>
              <w:right w:w="100" w:type="dxa"/>
            </w:tcMar>
          </w:tcPr>
          <w:p>
            <w:r>
              <w:t>85% – 95%+ through corridor consolidation</w:t>
            </w:r>
          </w:p>
        </w:tc>
      </w:tr>
      <w:tr>
        <w:tc>
          <w:tcPr>
            <w:tcW w:type="dxa" w:w="3312"/>
            <w:shd w:fill="FFFFFF"/>
            <w:tcMar>
              <w:top w:w="80" w:type="dxa"/>
              <w:bottom w:w="80" w:type="dxa"/>
              <w:left w:w="100" w:type="dxa"/>
              <w:right w:w="100" w:type="dxa"/>
            </w:tcMar>
          </w:tcPr>
          <w:p>
            <w:r>
              <w:t>Fuel &amp; Operating Cost</w:t>
            </w:r>
          </w:p>
        </w:tc>
        <w:tc>
          <w:tcPr>
            <w:tcW w:type="dxa" w:w="3312"/>
            <w:shd w:fill="FFFFFF"/>
            <w:tcMar>
              <w:top w:w="80" w:type="dxa"/>
              <w:bottom w:w="80" w:type="dxa"/>
              <w:left w:w="100" w:type="dxa"/>
              <w:right w:w="100" w:type="dxa"/>
            </w:tcMar>
          </w:tcPr>
          <w:p>
            <w:r>
              <w:t>Duplicated across parallel trucks</w:t>
            </w:r>
          </w:p>
        </w:tc>
        <w:tc>
          <w:tcPr>
            <w:tcW w:type="dxa" w:w="3312"/>
            <w:shd w:fill="FFFFFF"/>
            <w:tcMar>
              <w:top w:w="80" w:type="dxa"/>
              <w:bottom w:w="80" w:type="dxa"/>
              <w:left w:w="100" w:type="dxa"/>
              <w:right w:w="100" w:type="dxa"/>
            </w:tcMar>
          </w:tcPr>
          <w:p>
            <w:r>
              <w:t>Up to 50% savings on merged corridors</w:t>
            </w:r>
          </w:p>
        </w:tc>
      </w:tr>
      <w:tr>
        <w:tc>
          <w:tcPr>
            <w:tcW w:type="dxa" w:w="3312"/>
            <w:shd w:fill="F0FDF4"/>
            <w:tcMar>
              <w:top w:w="80" w:type="dxa"/>
              <w:bottom w:w="80" w:type="dxa"/>
              <w:left w:w="100" w:type="dxa"/>
              <w:right w:w="100" w:type="dxa"/>
            </w:tcMar>
          </w:tcPr>
          <w:p>
            <w:r>
              <w:t>Carbon Footprint (CO2)</w:t>
            </w:r>
          </w:p>
        </w:tc>
        <w:tc>
          <w:tcPr>
            <w:tcW w:type="dxa" w:w="3312"/>
            <w:shd w:fill="F0FDF4"/>
            <w:tcMar>
              <w:top w:w="80" w:type="dxa"/>
              <w:bottom w:w="80" w:type="dxa"/>
              <w:left w:w="100" w:type="dxa"/>
              <w:right w:w="100" w:type="dxa"/>
            </w:tcMar>
          </w:tcPr>
          <w:p>
            <w:r>
              <w:t>High emissions per ton-km</w:t>
            </w:r>
          </w:p>
        </w:tc>
        <w:tc>
          <w:tcPr>
            <w:tcW w:type="dxa" w:w="3312"/>
            <w:shd w:fill="F0FDF4"/>
            <w:tcMar>
              <w:top w:w="80" w:type="dxa"/>
              <w:bottom w:w="80" w:type="dxa"/>
              <w:left w:w="100" w:type="dxa"/>
              <w:right w:w="100" w:type="dxa"/>
            </w:tcMar>
          </w:tcPr>
          <w:p>
            <w:r>
              <w:t>Substantially reduced via vehicle reduction</w:t>
            </w:r>
          </w:p>
        </w:tc>
      </w:tr>
      <w:tr>
        <w:tc>
          <w:tcPr>
            <w:tcW w:type="dxa" w:w="3312"/>
            <w:shd w:fill="FFFFFF"/>
            <w:tcMar>
              <w:top w:w="80" w:type="dxa"/>
              <w:bottom w:w="80" w:type="dxa"/>
              <w:left w:w="100" w:type="dxa"/>
              <w:right w:w="100" w:type="dxa"/>
            </w:tcMar>
          </w:tcPr>
          <w:p>
            <w:r>
              <w:t>Fleet Availability</w:t>
            </w:r>
          </w:p>
        </w:tc>
        <w:tc>
          <w:tcPr>
            <w:tcW w:type="dxa" w:w="3312"/>
            <w:shd w:fill="FFFFFF"/>
            <w:tcMar>
              <w:top w:w="80" w:type="dxa"/>
              <w:bottom w:w="80" w:type="dxa"/>
              <w:left w:w="100" w:type="dxa"/>
              <w:right w:w="100" w:type="dxa"/>
            </w:tcMar>
          </w:tcPr>
          <w:p>
            <w:r>
              <w:t>Vehicles locked in low-yield runs</w:t>
            </w:r>
          </w:p>
        </w:tc>
        <w:tc>
          <w:tcPr>
            <w:tcW w:type="dxa" w:w="3312"/>
            <w:shd w:fill="FFFFFF"/>
            <w:tcMar>
              <w:top w:w="80" w:type="dxa"/>
              <w:bottom w:w="80" w:type="dxa"/>
              <w:left w:w="100" w:type="dxa"/>
              <w:right w:w="100" w:type="dxa"/>
            </w:tcMar>
          </w:tcPr>
          <w:p>
            <w:r>
              <w:t>Free Truck Pool generates immediate capacity</w:t>
            </w:r>
          </w:p>
        </w:tc>
      </w:tr>
      <w:tr>
        <w:tc>
          <w:tcPr>
            <w:tcW w:type="dxa" w:w="3312"/>
            <w:shd w:fill="F0FDF4"/>
            <w:tcMar>
              <w:top w:w="80" w:type="dxa"/>
              <w:bottom w:w="80" w:type="dxa"/>
              <w:left w:w="100" w:type="dxa"/>
              <w:right w:w="100" w:type="dxa"/>
            </w:tcMar>
          </w:tcPr>
          <w:p>
            <w:r>
              <w:t>Trader Freight Rates</w:t>
            </w:r>
          </w:p>
        </w:tc>
        <w:tc>
          <w:tcPr>
            <w:tcW w:type="dxa" w:w="3312"/>
            <w:shd w:fill="F0FDF4"/>
            <w:tcMar>
              <w:top w:w="80" w:type="dxa"/>
              <w:bottom w:w="80" w:type="dxa"/>
              <w:left w:w="100" w:type="dxa"/>
              <w:right w:w="100" w:type="dxa"/>
            </w:tcMar>
          </w:tcPr>
          <w:p>
            <w:r>
              <w:t>Expensive dedicated truck hire</w:t>
            </w:r>
          </w:p>
        </w:tc>
        <w:tc>
          <w:tcPr>
            <w:tcW w:type="dxa" w:w="3312"/>
            <w:shd w:fill="F0FDF4"/>
            <w:tcMar>
              <w:top w:w="80" w:type="dxa"/>
              <w:bottom w:w="80" w:type="dxa"/>
              <w:left w:w="100" w:type="dxa"/>
              <w:right w:w="100" w:type="dxa"/>
            </w:tcMar>
          </w:tcPr>
          <w:p>
            <w:r>
              <w:t>Affordable pay-per-segment freight rates</w:t>
            </w:r>
          </w:p>
        </w:tc>
      </w:tr>
    </w:tbl>
    <w:p>
      <w:pPr>
        <w:spacing w:after="240"/>
      </w:pPr>
    </w:p>
    <w:p>
      <w:pPr>
        <w:pStyle w:val="Heading1"/>
        <w:spacing w:before="280" w:after="120"/>
      </w:pPr>
      <w:r>
        <w:rPr>
          <w:color w:val="0F766E"/>
        </w:rPr>
        <w:t>6. Technical Architecture &amp; Stack</w:t>
      </w:r>
    </w:p>
    <w:p>
      <w:r>
        <w:t>• Frontend: React 19, Vite 6, Redux Toolkit, React Router v7, Tailwind CSS, DaisyUI, Lucide React.</w:t>
      </w:r>
    </w:p>
    <w:p>
      <w:r>
        <w:t>• Backend: Node.js, Express.js REST API, Mongoose ODM, JSON Web Tokens (httpOnly cookies), Bcrypt.</w:t>
      </w:r>
    </w:p>
    <w:p>
      <w:r>
        <w:t>• Database: MongoDB Atlas (Document models for Trucks, Routes, TraderRequests, MergeablePairs, MergedSchedules, FreeTrucks).</w:t>
      </w:r>
    </w:p>
    <w:p>
      <w:r>
        <w:t>• Deployment: Supports dual execution — local Node dev server or serverless Vercel function handler.</w:t>
      </w:r>
    </w:p>
    <w:p>
      <w:pPr>
        <w:pStyle w:val="Heading1"/>
        <w:spacing w:before="280" w:after="120"/>
      </w:pPr>
      <w:r>
        <w:rPr>
          <w:color w:val="0F766E"/>
        </w:rPr>
        <w:t>7. Quick Demo Credentials</w:t>
      </w:r>
    </w:p>
    <w:p>
      <w:r>
        <w:t>• Admin: dinky@cargoxpress.com | Password: Admin@1234 (or Dinky@123)</w:t>
      </w:r>
    </w:p>
    <w:p>
      <w:r>
        <w:t>• Transport Company: fasttrack@logistics.com (or thakur@gmail.com) | Password: Test@1234 (or Thakur@123)</w:t>
      </w:r>
    </w:p>
    <w:p>
      <w:r>
        <w:t>• Trader: ramesh@trading.com (or sanchita@gmail.com) | Password: Test@1234 (or Sanchita@123)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