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300" w:lineRule="auto"/>
      </w:pPr>
      <w:r>
        <w:rPr>
          <w:b/>
          <w:color w:val="1F4D78"/>
          <w:sz w:val="44"/>
        </w:rPr>
        <w:t>Salinas and Jobos BESS Notebook Training Guide</w:t>
      </w:r>
    </w:p>
    <w:p>
      <w:pPr>
        <w:spacing w:after="240" w:line="300" w:lineRule="auto"/>
      </w:pPr>
      <w:r>
        <w:rPr>
          <w:i/>
          <w:color w:val="555555"/>
          <w:sz w:val="22"/>
        </w:rPr>
        <w:t>Monthly invoice calculator workflow for Puerto Rico BESS contract analysts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9360"/>
      </w:tblGrid>
      <w:tr>
        <w:trPr>
          <w:tblHeader w:val="true"/>
        </w:trPr>
        <w:tc>
          <w:tcPr>
            <w:tcW w:w="9360" w:type="dxa"/>
            <w:shd w:fill="F2F4F7"/>
            <w:tcMar>
              <w:top w:w="80" w:type="dxa"/>
              <w:start w:w="120" w:type="dxa"/>
              <w:bottom w:w="80" w:type="dxa"/>
              <w:end w:w="120" w:type="dxa"/>
            </w:tcMar>
            <w:vAlign w:val="center"/>
          </w:tcPr>
          <w:p>
            <w:pPr>
              <w:spacing w:after="0" w:line="300" w:lineRule="auto"/>
            </w:pPr>
            <w:r>
              <w:rPr>
                <w:b/>
                <w:color w:val="1F4D78"/>
              </w:rPr>
              <w:t>Training objective: Enable analysts to run the Salinas and Jobos BESS invoice notebook, validate required inputs, review warnings, and assemble an audit-ready monthly output package.</w:t>
            </w:r>
          </w:p>
        </w:tc>
      </w:tr>
    </w:tbl>
    <w:p>
      <w:pPr>
        <w:spacing w:after="80" w:line="300" w:lineRule="auto"/>
      </w:pPr>
      <w:r>
        <w:t/>
      </w:r>
    </w:p>
    <w:p>
      <w:pPr>
        <w:pStyle w:val="Heading1"/>
      </w:pPr>
      <w:r>
        <w:t>1. Purpose and Scope</w:t>
      </w:r>
    </w:p>
    <w:p>
      <w:r>
        <w:t>This guide trains experienced contract and settlement analysts to use the BESS invoice notebook as an operator workflow. It is not intended to teach Python. The analyst's responsibility is to prepare inputs, run the notebook from top to bottom, review calculator warnings, and confirm the output package is ready for internal review.</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2700"/>
        <w:gridCol w:w="6660"/>
      </w:tblGrid>
      <w:tr>
        <w:trPr>
          <w:tblHeader w:val="true"/>
        </w:trPr>
        <w:tc>
          <w:tcPr>
            <w:tcW w:w="2700" w:type="dxa"/>
            <w:shd w:fill="E8EEF5"/>
            <w:tcMar>
              <w:top w:w="80" w:type="dxa"/>
              <w:start w:w="120" w:type="dxa"/>
              <w:bottom w:w="80" w:type="dxa"/>
              <w:end w:w="120" w:type="dxa"/>
            </w:tcMar>
            <w:vAlign w:val="center"/>
          </w:tcPr>
          <w:p>
            <w:pPr>
              <w:spacing w:after="0" w:line="300" w:lineRule="auto"/>
            </w:pPr>
            <w:r>
              <w:rPr>
                <w:b/>
                <w:color w:val="1F4D78"/>
              </w:rPr>
              <w:t>Area</w:t>
            </w:r>
          </w:p>
        </w:tc>
        <w:tc>
          <w:tcPr>
            <w:tcW w:w="6660" w:type="dxa"/>
            <w:shd w:fill="E8EEF5"/>
            <w:tcMar>
              <w:top w:w="80" w:type="dxa"/>
              <w:start w:w="120" w:type="dxa"/>
              <w:bottom w:w="80" w:type="dxa"/>
              <w:end w:w="120" w:type="dxa"/>
            </w:tcMar>
            <w:vAlign w:val="center"/>
          </w:tcPr>
          <w:p>
            <w:pPr>
              <w:spacing w:after="0" w:line="300" w:lineRule="auto"/>
            </w:pPr>
            <w:r>
              <w:rPr>
                <w:b/>
                <w:color w:val="1F4D78"/>
              </w:rPr>
              <w:t>Analyst responsibility</w:t>
            </w:r>
          </w:p>
        </w:tc>
      </w:tr>
      <w:tr>
        <w:tc>
          <w:tcPr>
            <w:tcW w:w="2700" w:type="dxa"/>
            <w:tcMar>
              <w:top w:w="80" w:type="dxa"/>
              <w:start w:w="120" w:type="dxa"/>
              <w:bottom w:w="80" w:type="dxa"/>
              <w:end w:w="120" w:type="dxa"/>
            </w:tcMar>
            <w:vAlign w:val="center"/>
          </w:tcPr>
          <w:p>
            <w:pPr>
              <w:spacing w:after="0" w:line="300" w:lineRule="auto"/>
            </w:pPr>
            <w:r>
              <w:t>Projects</w:t>
            </w:r>
          </w:p>
        </w:tc>
        <w:tc>
          <w:tcPr>
            <w:tcW w:w="6660" w:type="dxa"/>
            <w:tcMar>
              <w:top w:w="80" w:type="dxa"/>
              <w:start w:w="120" w:type="dxa"/>
              <w:bottom w:w="80" w:type="dxa"/>
              <w:end w:w="120" w:type="dxa"/>
            </w:tcMar>
            <w:vAlign w:val="center"/>
          </w:tcPr>
          <w:p>
            <w:pPr>
              <w:spacing w:after="0" w:line="300" w:lineRule="auto"/>
            </w:pPr>
            <w:r>
              <w:t>Salinas BESS and Jobos BESS, using the same calculation engine with project-specific input folders.</w:t>
            </w:r>
          </w:p>
        </w:tc>
      </w:tr>
      <w:tr>
        <w:tc>
          <w:tcPr>
            <w:tcW w:w="2700" w:type="dxa"/>
            <w:tcMar>
              <w:top w:w="80" w:type="dxa"/>
              <w:start w:w="120" w:type="dxa"/>
              <w:bottom w:w="80" w:type="dxa"/>
              <w:end w:w="120" w:type="dxa"/>
            </w:tcMar>
            <w:vAlign w:val="center"/>
          </w:tcPr>
          <w:p>
            <w:pPr>
              <w:spacing w:after="0" w:line="300" w:lineRule="auto"/>
            </w:pPr>
            <w:r>
              <w:t>Core outputs</w:t>
            </w:r>
          </w:p>
        </w:tc>
        <w:tc>
          <w:tcPr>
            <w:tcW w:w="6660" w:type="dxa"/>
            <w:tcMar>
              <w:top w:w="80" w:type="dxa"/>
              <w:start w:w="120" w:type="dxa"/>
              <w:bottom w:w="80" w:type="dxa"/>
              <w:end w:w="120" w:type="dxa"/>
            </w:tcMar>
            <w:vAlign w:val="center"/>
          </w:tcPr>
          <w:p>
            <w:pPr>
              <w:spacing w:after="0" w:line="300" w:lineRule="auto"/>
            </w:pPr>
            <w:r>
              <w:t>Monthly result CSV and invoice support report showing CPP, MCC, FA, FAA, PRA, MFP, Other_ADJ, ALD, CLD, ELD, ADJ_Total, and MP.</w:t>
            </w:r>
          </w:p>
        </w:tc>
      </w:tr>
      <w:tr>
        <w:tc>
          <w:tcPr>
            <w:tcW w:w="2700" w:type="dxa"/>
            <w:tcMar>
              <w:top w:w="80" w:type="dxa"/>
              <w:start w:w="120" w:type="dxa"/>
              <w:bottom w:w="80" w:type="dxa"/>
              <w:end w:w="120" w:type="dxa"/>
            </w:tcMar>
            <w:vAlign w:val="center"/>
          </w:tcPr>
          <w:p>
            <w:pPr>
              <w:spacing w:after="0" w:line="300" w:lineRule="auto"/>
            </w:pPr>
            <w:r>
              <w:t>Notebook role</w:t>
            </w:r>
          </w:p>
        </w:tc>
        <w:tc>
          <w:tcPr>
            <w:tcW w:w="6660" w:type="dxa"/>
            <w:tcMar>
              <w:top w:w="80" w:type="dxa"/>
              <w:start w:w="120" w:type="dxa"/>
              <w:bottom w:w="80" w:type="dxa"/>
              <w:end w:w="120" w:type="dxa"/>
            </w:tcMar>
            <w:vAlign w:val="center"/>
          </w:tcPr>
          <w:p>
            <w:pPr>
              <w:spacing w:after="0" w:line="300" w:lineRule="auto"/>
            </w:pPr>
            <w:r>
              <w:t>Provides a repeatable run surface for the calculator. Source data and contract evidence still need analyst review.</w:t>
            </w:r>
          </w:p>
        </w:tc>
      </w:tr>
      <w:tr>
        <w:tc>
          <w:tcPr>
            <w:tcW w:w="2700" w:type="dxa"/>
            <w:tcMar>
              <w:top w:w="80" w:type="dxa"/>
              <w:start w:w="120" w:type="dxa"/>
              <w:bottom w:w="80" w:type="dxa"/>
              <w:end w:w="120" w:type="dxa"/>
            </w:tcMar>
            <w:vAlign w:val="center"/>
          </w:tcPr>
          <w:p>
            <w:pPr>
              <w:spacing w:after="0" w:line="300" w:lineRule="auto"/>
            </w:pPr>
            <w:r>
              <w:t>Training outcome</w:t>
            </w:r>
          </w:p>
        </w:tc>
        <w:tc>
          <w:tcPr>
            <w:tcW w:w="6660" w:type="dxa"/>
            <w:tcMar>
              <w:top w:w="80" w:type="dxa"/>
              <w:start w:w="120" w:type="dxa"/>
              <w:bottom w:w="80" w:type="dxa"/>
              <w:end w:w="120" w:type="dxa"/>
            </w:tcMar>
            <w:vAlign w:val="center"/>
          </w:tcPr>
          <w:p>
            <w:pPr>
              <w:spacing w:after="0" w:line="300" w:lineRule="auto"/>
            </w:pPr>
            <w:r>
              <w:t>A trained analyst can rerun a month, identify missing or suspicious input data, interpret warnings, and explain the output package.</w:t>
            </w:r>
          </w:p>
        </w:tc>
      </w:tr>
    </w:tbl>
    <w:p>
      <w:pPr>
        <w:spacing w:after="80" w:line="300" w:lineRule="auto"/>
      </w:pPr>
      <w:r>
        <w:t/>
      </w:r>
    </w:p>
    <w:p>
      <w:pPr>
        <w:pStyle w:val="Heading1"/>
      </w:pPr>
      <w:r>
        <w:t>2. Monthly Input Workflow</w:t>
      </w:r>
    </w:p>
    <w:p>
      <w:r>
        <w:t>Before running the notebook, confirm that the project folder contains a complete and current input set. Do not edit formulas in the notebook to force a result. Correct the CSV input or document the exception.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2700"/>
        <w:gridCol w:w="6660"/>
      </w:tblGrid>
      <w:tr>
        <w:trPr>
          <w:tblHeader w:val="true"/>
        </w:trPr>
        <w:tc>
          <w:tcPr>
            <w:tcW w:w="2700" w:type="dxa"/>
            <w:shd w:fill="E8EEF5"/>
            <w:tcMar>
              <w:top w:w="80" w:type="dxa"/>
              <w:start w:w="120" w:type="dxa"/>
              <w:bottom w:w="80" w:type="dxa"/>
              <w:end w:w="120" w:type="dxa"/>
            </w:tcMar>
            <w:vAlign w:val="center"/>
          </w:tcPr>
          <w:p>
            <w:pPr>
              <w:spacing w:after="0" w:line="300" w:lineRule="auto"/>
            </w:pPr>
            <w:r>
              <w:rPr>
                <w:b/>
                <w:color w:val="1F4D78"/>
              </w:rPr>
              <w:t>Input area</w:t>
            </w:r>
          </w:p>
        </w:tc>
        <w:tc>
          <w:tcPr>
            <w:tcW w:w="6660" w:type="dxa"/>
            <w:shd w:fill="E8EEF5"/>
            <w:tcMar>
              <w:top w:w="80" w:type="dxa"/>
              <w:start w:w="120" w:type="dxa"/>
              <w:bottom w:w="80" w:type="dxa"/>
              <w:end w:w="120" w:type="dxa"/>
            </w:tcMar>
            <w:vAlign w:val="center"/>
          </w:tcPr>
          <w:p>
            <w:pPr>
              <w:spacing w:after="0" w:line="300" w:lineRule="auto"/>
            </w:pPr>
            <w:r>
              <w:rPr>
                <w:b/>
                <w:color w:val="1F4D78"/>
              </w:rPr>
              <w:t>What to confirm</w:t>
            </w:r>
          </w:p>
        </w:tc>
      </w:tr>
      <w:tr>
        <w:tc>
          <w:tcPr>
            <w:tcW w:w="2700" w:type="dxa"/>
            <w:tcMar>
              <w:top w:w="80" w:type="dxa"/>
              <w:start w:w="120" w:type="dxa"/>
              <w:bottom w:w="80" w:type="dxa"/>
              <w:end w:w="120" w:type="dxa"/>
            </w:tcMar>
            <w:vAlign w:val="center"/>
          </w:tcPr>
          <w:p>
            <w:pPr>
              <w:spacing w:after="0" w:line="300" w:lineRule="auto"/>
            </w:pPr>
            <w:r>
              <w:t>Contract values</w:t>
            </w:r>
          </w:p>
        </w:tc>
        <w:tc>
          <w:tcPr>
            <w:tcW w:w="6660" w:type="dxa"/>
            <w:tcMar>
              <w:top w:w="80" w:type="dxa"/>
              <w:start w:w="120" w:type="dxa"/>
              <w:bottom w:w="80" w:type="dxa"/>
              <w:end w:w="120" w:type="dxa"/>
            </w:tcMar>
            <w:vAlign w:val="center"/>
          </w:tcPr>
          <w:p>
            <w:pPr>
              <w:spacing w:after="0" w:line="300" w:lineRule="auto"/>
            </w:pPr>
            <w:r>
              <w:t>Normally fixed unless a contract amendment changes CPPF, CPPPIF, DDD, TA, RER, GE, design values, degradation rate, or outage allowances.</w:t>
            </w:r>
          </w:p>
        </w:tc>
      </w:tr>
      <w:tr>
        <w:tc>
          <w:tcPr>
            <w:tcW w:w="2700" w:type="dxa"/>
            <w:tcMar>
              <w:top w:w="80" w:type="dxa"/>
              <w:start w:w="120" w:type="dxa"/>
              <w:bottom w:w="80" w:type="dxa"/>
              <w:end w:w="120" w:type="dxa"/>
            </w:tcMar>
            <w:vAlign w:val="center"/>
          </w:tcPr>
          <w:p>
            <w:pPr>
              <w:spacing w:after="0" w:line="300" w:lineRule="auto"/>
            </w:pPr>
            <w:r>
              <w:t>Yearly inputs</w:t>
            </w:r>
          </w:p>
        </w:tc>
        <w:tc>
          <w:tcPr>
            <w:tcW w:w="6660" w:type="dxa"/>
            <w:tcMar>
              <w:top w:w="80" w:type="dxa"/>
              <w:start w:w="120" w:type="dxa"/>
              <w:bottom w:w="80" w:type="dxa"/>
              <w:end w:w="120" w:type="dxa"/>
            </w:tcMar>
            <w:vAlign w:val="center"/>
          </w:tcPr>
          <w:p>
            <w:pPr>
              <w:spacing w:after="0" w:line="300" w:lineRule="auto"/>
            </w:pPr>
            <w:r>
              <w:t>Provide DDE and optional GC. Manual TR is not an input; the calculator derives Tested Result from approved Performance Test history.</w:t>
            </w:r>
          </w:p>
        </w:tc>
      </w:tr>
      <w:tr>
        <w:tc>
          <w:tcPr>
            <w:tcW w:w="2700" w:type="dxa"/>
            <w:tcMar>
              <w:top w:w="80" w:type="dxa"/>
              <w:start w:w="120" w:type="dxa"/>
              <w:bottom w:w="80" w:type="dxa"/>
              <w:end w:w="120" w:type="dxa"/>
            </w:tcMar>
            <w:vAlign w:val="center"/>
          </w:tcPr>
          <w:p>
            <w:pPr>
              <w:spacing w:after="0" w:line="300" w:lineRule="auto"/>
            </w:pPr>
            <w:r>
              <w:t>Monthly inputs</w:t>
            </w:r>
          </w:p>
        </w:tc>
        <w:tc>
          <w:tcPr>
            <w:tcW w:w="6660" w:type="dxa"/>
            <w:tcMar>
              <w:top w:w="80" w:type="dxa"/>
              <w:start w:w="120" w:type="dxa"/>
              <w:bottom w:w="80" w:type="dxa"/>
              <w:end w:w="120" w:type="dxa"/>
            </w:tcMar>
            <w:vAlign w:val="center"/>
          </w:tcPr>
          <w:p>
            <w:pPr>
              <w:spacing w:after="0" w:line="300" w:lineRule="auto"/>
            </w:pPr>
            <w:r>
              <w:t>Provide timestamp_month, agreement_year, Other_ADJ, BPHRS, POHRS, UNAVHRS, UNAVPRODHRS, GSE, PFM, and IP.</w:t>
            </w:r>
          </w:p>
        </w:tc>
      </w:tr>
      <w:tr>
        <w:tc>
          <w:tcPr>
            <w:tcW w:w="2700" w:type="dxa"/>
            <w:tcMar>
              <w:top w:w="80" w:type="dxa"/>
              <w:start w:w="120" w:type="dxa"/>
              <w:bottom w:w="80" w:type="dxa"/>
              <w:end w:w="120" w:type="dxa"/>
            </w:tcMar>
            <w:vAlign w:val="center"/>
          </w:tcPr>
          <w:p>
            <w:pPr>
              <w:spacing w:after="0" w:line="300" w:lineRule="auto"/>
            </w:pPr>
            <w:r>
              <w:t>Performance guarantee inputs</w:t>
            </w:r>
          </w:p>
        </w:tc>
        <w:tc>
          <w:tcPr>
            <w:tcW w:w="6660" w:type="dxa"/>
            <w:tcMar>
              <w:top w:w="80" w:type="dxa"/>
              <w:start w:w="120" w:type="dxa"/>
              <w:bottom w:w="80" w:type="dxa"/>
              <w:end w:w="120" w:type="dxa"/>
            </w:tcMar>
            <w:vAlign w:val="center"/>
          </w:tcPr>
          <w:p>
            <w:pPr>
              <w:spacing w:after="0" w:line="300" w:lineRule="auto"/>
            </w:pPr>
            <w:r>
              <w:t>Provide CE, DE, AE_beg, and AE_end for monthly efficiency calculations and ELD review.</w:t>
            </w:r>
          </w:p>
        </w:tc>
      </w:tr>
      <w:tr>
        <w:tc>
          <w:tcPr>
            <w:tcW w:w="2700" w:type="dxa"/>
            <w:tcMar>
              <w:top w:w="80" w:type="dxa"/>
              <w:start w:w="120" w:type="dxa"/>
              <w:bottom w:w="80" w:type="dxa"/>
              <w:end w:w="120" w:type="dxa"/>
            </w:tcMar>
            <w:vAlign w:val="center"/>
          </w:tcPr>
          <w:p>
            <w:pPr>
              <w:spacing w:after="0" w:line="300" w:lineRule="auto"/>
            </w:pPr>
            <w:r>
              <w:t>Performance tests</w:t>
            </w:r>
          </w:p>
        </w:tc>
        <w:tc>
          <w:tcPr>
            <w:tcW w:w="6660" w:type="dxa"/>
            <w:tcMar>
              <w:top w:w="80" w:type="dxa"/>
              <w:start w:w="120" w:type="dxa"/>
              <w:bottom w:w="80" w:type="dxa"/>
              <w:end w:w="120" w:type="dxa"/>
            </w:tcMar>
            <w:vAlign w:val="center"/>
          </w:tcPr>
          <w:p>
            <w:pPr>
              <w:spacing w:after="0" w:line="300" w:lineRule="auto"/>
            </w:pPr>
            <w:r>
              <w:t>Provide TDE, test date, approval status, cure/retest fields, measured ramp rate, and outage details if a ramp failure caused outage hours.</w:t>
            </w:r>
          </w:p>
        </w:tc>
      </w:tr>
    </w:tbl>
    <w:p>
      <w:pPr>
        <w:spacing w:after="80" w:line="300" w:lineRule="auto"/>
      </w:pPr>
      <w:r>
        <w:t/>
      </w:r>
    </w:p>
    <w:p>
      <w:pPr>
        <w:pStyle w:val="Heading1"/>
      </w:pPr>
      <w:r>
        <w:t>3. How to Run the Notebook</w:t>
      </w:r>
    </w:p>
    <w:p>
      <w:pPr>
        <w:pStyle w:val="ListParagraph"/>
        <w:numPr>
          <w:ilvl w:val="0"/>
          <w:numId w:val="2"/>
        </w:numPr>
        <w:spacing w:after="80" w:line="300" w:lineRule="auto"/>
      </w:pPr>
      <w:r>
        <w:t>Open the notebook from the calculator repository and confirm the kernel/environment is active.</w:t>
      </w:r>
    </w:p>
    <w:p>
      <w:pPr>
        <w:pStyle w:val="ListParagraph"/>
        <w:numPr>
          <w:ilvl w:val="0"/>
          <w:numId w:val="2"/>
        </w:numPr>
        <w:spacing w:after="80" w:line="300" w:lineRule="auto"/>
      </w:pPr>
      <w:r>
        <w:t>Select or confirm the project id: salinas or jobos.</w:t>
      </w:r>
    </w:p>
    <w:p>
      <w:pPr>
        <w:pStyle w:val="ListParagraph"/>
        <w:numPr>
          <w:ilvl w:val="0"/>
          <w:numId w:val="2"/>
        </w:numPr>
        <w:spacing w:after="80" w:line="300" w:lineRule="auto"/>
      </w:pPr>
      <w:r>
        <w:t>Run the setup/import cells first. Resolve any import or path errors before continuing.</w:t>
      </w:r>
    </w:p>
    <w:p>
      <w:pPr>
        <w:pStyle w:val="ListParagraph"/>
        <w:numPr>
          <w:ilvl w:val="0"/>
          <w:numId w:val="2"/>
        </w:numPr>
        <w:spacing w:after="80" w:line="300" w:lineRule="auto"/>
      </w:pPr>
      <w:r>
        <w:t>Run the input-loading and validation cells. Stop if validation raises an error.</w:t>
      </w:r>
    </w:p>
    <w:p>
      <w:pPr>
        <w:pStyle w:val="ListParagraph"/>
        <w:numPr>
          <w:ilvl w:val="0"/>
          <w:numId w:val="2"/>
        </w:numPr>
        <w:spacing w:after="80" w:line="300" w:lineRule="auto"/>
      </w:pPr>
      <w:r>
        <w:t>Run the calculation cells from top to bottom. Do not skip cells after changing project or input data.</w:t>
      </w:r>
    </w:p>
    <w:p>
      <w:pPr>
        <w:pStyle w:val="ListParagraph"/>
        <w:numPr>
          <w:ilvl w:val="0"/>
          <w:numId w:val="2"/>
        </w:numPr>
        <w:spacing w:after="80" w:line="300" w:lineRule="auto"/>
      </w:pPr>
      <w:r>
        <w:t>Run the output/report cells and confirm the monthly result CSV and report text are regenerated.</w:t>
      </w:r>
    </w:p>
    <w:p>
      <w:pPr>
        <w:pStyle w:val="ListParagraph"/>
        <w:numPr>
          <w:ilvl w:val="0"/>
          <w:numId w:val="2"/>
        </w:numPr>
        <w:spacing w:after="80" w:line="300" w:lineRule="auto"/>
      </w:pPr>
      <w:r>
        <w:t>Open the report and review the payment summary, LD lines, warnings, and any unusual negative or low monthly payment values.</w:t>
      </w:r>
    </w:p>
    <w:p>
      <w:pPr>
        <w:pStyle w:val="Heading2"/>
      </w:pPr>
      <w:r>
        <w:t>Expected Output Locations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2700"/>
        <w:gridCol w:w="6660"/>
      </w:tblGrid>
      <w:tr>
        <w:trPr>
          <w:tblHeader w:val="true"/>
        </w:trPr>
        <w:tc>
          <w:tcPr>
            <w:tcW w:w="2700" w:type="dxa"/>
            <w:shd w:fill="E8EEF5"/>
            <w:tcMar>
              <w:top w:w="80" w:type="dxa"/>
              <w:start w:w="120" w:type="dxa"/>
              <w:bottom w:w="80" w:type="dxa"/>
              <w:end w:w="120" w:type="dxa"/>
            </w:tcMar>
            <w:vAlign w:val="center"/>
          </w:tcPr>
          <w:p>
            <w:pPr>
              <w:spacing w:after="0" w:line="300" w:lineRule="auto"/>
            </w:pPr>
            <w:r>
              <w:rPr>
                <w:b/>
                <w:color w:val="1F4D78"/>
              </w:rPr>
              <w:t>Output</w:t>
            </w:r>
          </w:p>
        </w:tc>
        <w:tc>
          <w:tcPr>
            <w:tcW w:w="6660" w:type="dxa"/>
            <w:shd w:fill="E8EEF5"/>
            <w:tcMar>
              <w:top w:w="80" w:type="dxa"/>
              <w:start w:w="120" w:type="dxa"/>
              <w:bottom w:w="80" w:type="dxa"/>
              <w:end w:w="120" w:type="dxa"/>
            </w:tcMar>
            <w:vAlign w:val="center"/>
          </w:tcPr>
          <w:p>
            <w:pPr>
              <w:spacing w:after="0" w:line="300" w:lineRule="auto"/>
            </w:pPr>
            <w:r>
              <w:rPr>
                <w:b/>
                <w:color w:val="1F4D78"/>
              </w:rPr>
              <w:t>Path</w:t>
            </w:r>
          </w:p>
        </w:tc>
      </w:tr>
      <w:tr>
        <w:tc>
          <w:tcPr>
            <w:tcW w:w="2700" w:type="dxa"/>
            <w:tcMar>
              <w:top w:w="80" w:type="dxa"/>
              <w:start w:w="120" w:type="dxa"/>
              <w:bottom w:w="80" w:type="dxa"/>
              <w:end w:w="120" w:type="dxa"/>
            </w:tcMar>
            <w:vAlign w:val="center"/>
          </w:tcPr>
          <w:p>
            <w:pPr>
              <w:spacing w:after="0" w:line="300" w:lineRule="auto"/>
            </w:pPr>
            <w:r>
              <w:t>Salinas CSV</w:t>
            </w:r>
          </w:p>
        </w:tc>
        <w:tc>
          <w:tcPr>
            <w:tcW w:w="6660" w:type="dxa"/>
            <w:tcMar>
              <w:top w:w="80" w:type="dxa"/>
              <w:start w:w="120" w:type="dxa"/>
              <w:bottom w:w="80" w:type="dxa"/>
              <w:end w:w="120" w:type="dxa"/>
            </w:tcMar>
            <w:vAlign w:val="center"/>
          </w:tcPr>
          <w:p>
            <w:pPr>
              <w:spacing w:after="0" w:line="300" w:lineRule="auto"/>
            </w:pPr>
            <w:r>
              <w:t>output/salinas/bess_monthly_results.csv</w:t>
            </w:r>
          </w:p>
        </w:tc>
      </w:tr>
      <w:tr>
        <w:tc>
          <w:tcPr>
            <w:tcW w:w="2700" w:type="dxa"/>
            <w:tcMar>
              <w:top w:w="80" w:type="dxa"/>
              <w:start w:w="120" w:type="dxa"/>
              <w:bottom w:w="80" w:type="dxa"/>
              <w:end w:w="120" w:type="dxa"/>
            </w:tcMar>
            <w:vAlign w:val="center"/>
          </w:tcPr>
          <w:p>
            <w:pPr>
              <w:spacing w:after="0" w:line="300" w:lineRule="auto"/>
            </w:pPr>
            <w:r>
              <w:t>Salinas report</w:t>
            </w:r>
          </w:p>
        </w:tc>
        <w:tc>
          <w:tcPr>
            <w:tcW w:w="6660" w:type="dxa"/>
            <w:tcMar>
              <w:top w:w="80" w:type="dxa"/>
              <w:start w:w="120" w:type="dxa"/>
              <w:bottom w:w="80" w:type="dxa"/>
              <w:end w:w="120" w:type="dxa"/>
            </w:tcMar>
            <w:vAlign w:val="center"/>
          </w:tcPr>
          <w:p>
            <w:pPr>
              <w:spacing w:after="0" w:line="300" w:lineRule="auto"/>
            </w:pPr>
            <w:r>
              <w:t>output/salinas/report.txt</w:t>
            </w:r>
          </w:p>
        </w:tc>
      </w:tr>
      <w:tr>
        <w:tc>
          <w:tcPr>
            <w:tcW w:w="2700" w:type="dxa"/>
            <w:tcMar>
              <w:top w:w="80" w:type="dxa"/>
              <w:start w:w="120" w:type="dxa"/>
              <w:bottom w:w="80" w:type="dxa"/>
              <w:end w:w="120" w:type="dxa"/>
            </w:tcMar>
            <w:vAlign w:val="center"/>
          </w:tcPr>
          <w:p>
            <w:pPr>
              <w:spacing w:after="0" w:line="300" w:lineRule="auto"/>
            </w:pPr>
            <w:r>
              <w:t>Jobos CSV</w:t>
            </w:r>
          </w:p>
        </w:tc>
        <w:tc>
          <w:tcPr>
            <w:tcW w:w="6660" w:type="dxa"/>
            <w:tcMar>
              <w:top w:w="80" w:type="dxa"/>
              <w:start w:w="120" w:type="dxa"/>
              <w:bottom w:w="80" w:type="dxa"/>
              <w:end w:w="120" w:type="dxa"/>
            </w:tcMar>
            <w:vAlign w:val="center"/>
          </w:tcPr>
          <w:p>
            <w:pPr>
              <w:spacing w:after="0" w:line="300" w:lineRule="auto"/>
            </w:pPr>
            <w:r>
              <w:t>output/jobos/bess_monthly_results.csv</w:t>
            </w:r>
          </w:p>
        </w:tc>
      </w:tr>
      <w:tr>
        <w:tc>
          <w:tcPr>
            <w:tcW w:w="2700" w:type="dxa"/>
            <w:tcMar>
              <w:top w:w="80" w:type="dxa"/>
              <w:start w:w="120" w:type="dxa"/>
              <w:bottom w:w="80" w:type="dxa"/>
              <w:end w:w="120" w:type="dxa"/>
            </w:tcMar>
            <w:vAlign w:val="center"/>
          </w:tcPr>
          <w:p>
            <w:pPr>
              <w:spacing w:after="0" w:line="300" w:lineRule="auto"/>
            </w:pPr>
            <w:r>
              <w:t>Jobos report</w:t>
            </w:r>
          </w:p>
        </w:tc>
        <w:tc>
          <w:tcPr>
            <w:tcW w:w="6660" w:type="dxa"/>
            <w:tcMar>
              <w:top w:w="80" w:type="dxa"/>
              <w:start w:w="120" w:type="dxa"/>
              <w:bottom w:w="80" w:type="dxa"/>
              <w:end w:w="120" w:type="dxa"/>
            </w:tcMar>
            <w:vAlign w:val="center"/>
          </w:tcPr>
          <w:p>
            <w:pPr>
              <w:spacing w:after="0" w:line="300" w:lineRule="auto"/>
            </w:pPr>
            <w:r>
              <w:t>output/jobos/report.txt</w:t>
            </w:r>
          </w:p>
        </w:tc>
      </w:tr>
      <w:tr>
        <w:tc>
          <w:tcPr>
            <w:tcW w:w="2700" w:type="dxa"/>
            <w:tcMar>
              <w:top w:w="80" w:type="dxa"/>
              <w:start w:w="120" w:type="dxa"/>
              <w:bottom w:w="80" w:type="dxa"/>
              <w:end w:w="120" w:type="dxa"/>
            </w:tcMar>
            <w:vAlign w:val="center"/>
          </w:tcPr>
          <w:p>
            <w:pPr>
              <w:spacing w:after="0" w:line="300" w:lineRule="auto"/>
            </w:pPr>
            <w:r>
              <w:t>Validation reports</w:t>
            </w:r>
          </w:p>
        </w:tc>
        <w:tc>
          <w:tcPr>
            <w:tcW w:w="6660" w:type="dxa"/>
            <w:tcMar>
              <w:top w:w="80" w:type="dxa"/>
              <w:start w:w="120" w:type="dxa"/>
              <w:bottom w:w="80" w:type="dxa"/>
              <w:end w:w="120" w:type="dxa"/>
            </w:tcMar>
            <w:vAlign w:val="center"/>
          </w:tcPr>
          <w:p>
            <w:pPr>
              <w:spacing w:after="0" w:line="300" w:lineRule="auto"/>
            </w:pPr>
            <w:r>
              <w:t>output/validation/ when using validation scenario tooling.</w:t>
            </w:r>
          </w:p>
        </w:tc>
      </w:tr>
    </w:tbl>
    <w:p>
      <w:pPr>
        <w:spacing w:after="80" w:line="300" w:lineRule="auto"/>
      </w:pPr>
      <w:r>
        <w:t/>
      </w:r>
    </w:p>
    <w:p>
      <w:pPr>
        <w:pStyle w:val="Heading1"/>
      </w:pPr>
      <w:r>
        <w:t>4. Review Checks Before Submission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900"/>
        <w:gridCol w:w="3300"/>
        <w:gridCol w:w="5160"/>
      </w:tblGrid>
      <w:tr>
        <w:trPr>
          <w:tblHeader w:val="true"/>
        </w:trPr>
        <w:tc>
          <w:tcPr>
            <w:tcW w:w="900" w:type="dxa"/>
            <w:shd w:fill="E8EEF5"/>
            <w:tcMar>
              <w:top w:w="80" w:type="dxa"/>
              <w:start w:w="120" w:type="dxa"/>
              <w:bottom w:w="80" w:type="dxa"/>
              <w:end w:w="120" w:type="dxa"/>
            </w:tcMar>
            <w:vAlign w:val="center"/>
          </w:tcPr>
          <w:p>
            <w:pPr>
              <w:spacing w:after="0" w:line="300" w:lineRule="auto"/>
            </w:pPr>
            <w:r>
              <w:rPr>
                <w:b/>
                <w:color w:val="1F4D78"/>
              </w:rPr>
              <w:t>Done</w:t>
            </w:r>
          </w:p>
        </w:tc>
        <w:tc>
          <w:tcPr>
            <w:tcW w:w="3300" w:type="dxa"/>
            <w:shd w:fill="E8EEF5"/>
            <w:tcMar>
              <w:top w:w="80" w:type="dxa"/>
              <w:start w:w="120" w:type="dxa"/>
              <w:bottom w:w="80" w:type="dxa"/>
              <w:end w:w="120" w:type="dxa"/>
            </w:tcMar>
            <w:vAlign w:val="center"/>
          </w:tcPr>
          <w:p>
            <w:pPr>
              <w:spacing w:after="0" w:line="300" w:lineRule="auto"/>
            </w:pPr>
            <w:r>
              <w:rPr>
                <w:b/>
                <w:color w:val="1F4D78"/>
              </w:rPr>
              <w:t>Check</w:t>
            </w:r>
          </w:p>
        </w:tc>
        <w:tc>
          <w:tcPr>
            <w:tcW w:w="5160" w:type="dxa"/>
            <w:shd w:fill="E8EEF5"/>
            <w:tcMar>
              <w:top w:w="80" w:type="dxa"/>
              <w:start w:w="120" w:type="dxa"/>
              <w:bottom w:w="80" w:type="dxa"/>
              <w:end w:w="120" w:type="dxa"/>
            </w:tcMar>
            <w:vAlign w:val="center"/>
          </w:tcPr>
          <w:p>
            <w:pPr>
              <w:spacing w:after="0" w:line="300" w:lineRule="auto"/>
            </w:pPr>
            <w:r>
              <w:rPr>
                <w:b/>
                <w:color w:val="1F4D78"/>
              </w:rPr>
              <w:t>Acceptance standard</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Other_ADJ</w:t>
            </w:r>
          </w:p>
        </w:tc>
        <w:tc>
          <w:tcPr>
            <w:tcW w:w="5160" w:type="dxa"/>
            <w:tcMar>
              <w:top w:w="80" w:type="dxa"/>
              <w:start w:w="120" w:type="dxa"/>
              <w:bottom w:w="80" w:type="dxa"/>
              <w:end w:w="120" w:type="dxa"/>
            </w:tcMar>
            <w:vAlign w:val="center"/>
          </w:tcPr>
          <w:p>
            <w:pPr>
              <w:spacing w:after="0" w:line="300" w:lineRule="auto"/>
            </w:pPr>
            <w:r>
              <w:t>Confirm Other_ADJ does not duplicate calculator-generated ALD, CLD, or ELD.</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DDE</w:t>
            </w:r>
          </w:p>
        </w:tc>
        <w:tc>
          <w:tcPr>
            <w:tcW w:w="5160" w:type="dxa"/>
            <w:tcMar>
              <w:top w:w="80" w:type="dxa"/>
              <w:start w:w="120" w:type="dxa"/>
              <w:bottom w:w="80" w:type="dxa"/>
              <w:end w:w="120" w:type="dxa"/>
            </w:tcMar>
            <w:vAlign w:val="center"/>
          </w:tcPr>
          <w:p>
            <w:pPr>
              <w:spacing w:after="0" w:line="300" w:lineRule="auto"/>
            </w:pPr>
            <w:r>
              <w:t>Confirm DDE matches Appendix J design/degradation expectations or has documented support for an override.</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Performance Tests</w:t>
            </w:r>
          </w:p>
        </w:tc>
        <w:tc>
          <w:tcPr>
            <w:tcW w:w="5160" w:type="dxa"/>
            <w:tcMar>
              <w:top w:w="80" w:type="dxa"/>
              <w:start w:w="120" w:type="dxa"/>
              <w:bottom w:w="80" w:type="dxa"/>
              <w:end w:w="120" w:type="dxa"/>
            </w:tcMar>
            <w:vAlign w:val="center"/>
          </w:tcPr>
          <w:p>
            <w:pPr>
              <w:spacing w:after="0" w:line="300" w:lineRule="auto"/>
            </w:pPr>
            <w:r>
              <w:t>Confirm Performance_Tests.csv contains approved test rows and date support for any MCC or CLD effect.</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CLD</w:t>
            </w:r>
          </w:p>
        </w:tc>
        <w:tc>
          <w:tcPr>
            <w:tcW w:w="5160" w:type="dxa"/>
            <w:tcMar>
              <w:top w:w="80" w:type="dxa"/>
              <w:start w:w="120" w:type="dxa"/>
              <w:bottom w:w="80" w:type="dxa"/>
              <w:end w:w="120" w:type="dxa"/>
            </w:tcMar>
            <w:vAlign w:val="center"/>
          </w:tcPr>
          <w:p>
            <w:pPr>
              <w:spacing w:after="0" w:line="300" w:lineRule="auto"/>
            </w:pPr>
            <w:r>
              <w:t>Confirm failed tests, cure/retest dates, and in-month allocation days are consistent with source evidence.</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ELD</w:t>
            </w:r>
          </w:p>
        </w:tc>
        <w:tc>
          <w:tcPr>
            <w:tcW w:w="5160" w:type="dxa"/>
            <w:tcMar>
              <w:top w:w="80" w:type="dxa"/>
              <w:start w:w="120" w:type="dxa"/>
              <w:bottom w:w="80" w:type="dxa"/>
              <w:end w:w="120" w:type="dxa"/>
            </w:tcMar>
            <w:vAlign w:val="center"/>
          </w:tcPr>
          <w:p>
            <w:pPr>
              <w:spacing w:after="0" w:line="300" w:lineRule="auto"/>
            </w:pPr>
            <w:r>
              <w:t>Confirm CE, DE, AE_beg, and AE_end are populated and that the calculator uses the CE x GE formula.</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Payment reasonableness</w:t>
            </w:r>
          </w:p>
        </w:tc>
        <w:tc>
          <w:tcPr>
            <w:tcW w:w="5160" w:type="dxa"/>
            <w:tcMar>
              <w:top w:w="80" w:type="dxa"/>
              <w:start w:w="120" w:type="dxa"/>
              <w:bottom w:w="80" w:type="dxa"/>
              <w:end w:w="120" w:type="dxa"/>
            </w:tcMar>
            <w:vAlign w:val="center"/>
          </w:tcPr>
          <w:p>
            <w:pPr>
              <w:spacing w:after="0" w:line="300" w:lineRule="auto"/>
            </w:pPr>
            <w:r>
              <w:t>Review low, zero, or negative MP values and confirm they are explained by FAA, PRA, ALD, CLD, ELD, or Other_ADJ.</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Output package</w:t>
            </w:r>
          </w:p>
        </w:tc>
        <w:tc>
          <w:tcPr>
            <w:tcW w:w="5160" w:type="dxa"/>
            <w:tcMar>
              <w:top w:w="80" w:type="dxa"/>
              <w:start w:w="120" w:type="dxa"/>
              <w:bottom w:w="80" w:type="dxa"/>
              <w:end w:w="120" w:type="dxa"/>
            </w:tcMar>
            <w:vAlign w:val="center"/>
          </w:tcPr>
          <w:p>
            <w:pPr>
              <w:spacing w:after="0" w:line="300" w:lineRule="auto"/>
            </w:pPr>
            <w:r>
              <w:t>Confirm the CSV and report timestamps changed after the notebook run and correspond to the selected project.</w:t>
            </w:r>
          </w:p>
        </w:tc>
      </w:tr>
    </w:tbl>
    <w:p>
      <w:pPr>
        <w:spacing w:after="80" w:line="300" w:lineRule="auto"/>
      </w:pPr>
      <w:r>
        <w:t/>
      </w:r>
    </w:p>
    <w:p>
      <w:pPr>
        <w:pStyle w:val="Heading1"/>
      </w:pPr>
      <w:r>
        <w:t>5. Troubleshooting</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2700"/>
        <w:gridCol w:w="6660"/>
      </w:tblGrid>
      <w:tr>
        <w:trPr>
          <w:tblHeader w:val="true"/>
        </w:trPr>
        <w:tc>
          <w:tcPr>
            <w:tcW w:w="2700" w:type="dxa"/>
            <w:shd w:fill="E8EEF5"/>
            <w:tcMar>
              <w:top w:w="80" w:type="dxa"/>
              <w:start w:w="120" w:type="dxa"/>
              <w:bottom w:w="80" w:type="dxa"/>
              <w:end w:w="120" w:type="dxa"/>
            </w:tcMar>
            <w:vAlign w:val="center"/>
          </w:tcPr>
          <w:p>
            <w:pPr>
              <w:spacing w:after="0" w:line="300" w:lineRule="auto"/>
            </w:pPr>
            <w:r>
              <w:rPr>
                <w:b/>
                <w:color w:val="1F4D78"/>
              </w:rPr>
              <w:t>Issue</w:t>
            </w:r>
          </w:p>
        </w:tc>
        <w:tc>
          <w:tcPr>
            <w:tcW w:w="6660" w:type="dxa"/>
            <w:shd w:fill="E8EEF5"/>
            <w:tcMar>
              <w:top w:w="80" w:type="dxa"/>
              <w:start w:w="120" w:type="dxa"/>
              <w:bottom w:w="80" w:type="dxa"/>
              <w:end w:w="120" w:type="dxa"/>
            </w:tcMar>
            <w:vAlign w:val="center"/>
          </w:tcPr>
          <w:p>
            <w:pPr>
              <w:spacing w:after="0" w:line="300" w:lineRule="auto"/>
            </w:pPr>
            <w:r>
              <w:rPr>
                <w:b/>
                <w:color w:val="1F4D78"/>
              </w:rPr>
              <w:t>Response</w:t>
            </w:r>
          </w:p>
        </w:tc>
      </w:tr>
      <w:tr>
        <w:tc>
          <w:tcPr>
            <w:tcW w:w="2700" w:type="dxa"/>
            <w:tcMar>
              <w:top w:w="80" w:type="dxa"/>
              <w:start w:w="120" w:type="dxa"/>
              <w:bottom w:w="80" w:type="dxa"/>
              <w:end w:w="120" w:type="dxa"/>
            </w:tcMar>
            <w:vAlign w:val="center"/>
          </w:tcPr>
          <w:p>
            <w:pPr>
              <w:spacing w:after="0" w:line="300" w:lineRule="auto"/>
            </w:pPr>
            <w:r>
              <w:t>Missing CSV column</w:t>
            </w:r>
          </w:p>
        </w:tc>
        <w:tc>
          <w:tcPr>
            <w:tcW w:w="6660" w:type="dxa"/>
            <w:tcMar>
              <w:top w:w="80" w:type="dxa"/>
              <w:start w:w="120" w:type="dxa"/>
              <w:bottom w:w="80" w:type="dxa"/>
              <w:end w:w="120" w:type="dxa"/>
            </w:tcMar>
            <w:vAlign w:val="center"/>
          </w:tcPr>
          <w:p>
            <w:pPr>
              <w:spacing w:after="0" w:line="300" w:lineRule="auto"/>
            </w:pPr>
            <w:r>
              <w:t>Use the validation error to identify the required column. Add the column to the correct input file rather than bypassing validation.</w:t>
            </w:r>
          </w:p>
        </w:tc>
      </w:tr>
      <w:tr>
        <w:tc>
          <w:tcPr>
            <w:tcW w:w="2700" w:type="dxa"/>
            <w:tcMar>
              <w:top w:w="80" w:type="dxa"/>
              <w:start w:w="120" w:type="dxa"/>
              <w:bottom w:w="80" w:type="dxa"/>
              <w:end w:w="120" w:type="dxa"/>
            </w:tcMar>
            <w:vAlign w:val="center"/>
          </w:tcPr>
          <w:p>
            <w:pPr>
              <w:spacing w:after="0" w:line="300" w:lineRule="auto"/>
            </w:pPr>
            <w:r>
              <w:t>Invalid TRUE/FALSE value</w:t>
            </w:r>
          </w:p>
        </w:tc>
        <w:tc>
          <w:tcPr>
            <w:tcW w:w="6660" w:type="dxa"/>
            <w:tcMar>
              <w:top w:w="80" w:type="dxa"/>
              <w:start w:w="120" w:type="dxa"/>
              <w:bottom w:w="80" w:type="dxa"/>
              <w:end w:w="120" w:type="dxa"/>
            </w:tcMar>
            <w:vAlign w:val="center"/>
          </w:tcPr>
          <w:p>
            <w:pPr>
              <w:spacing w:after="0" w:line="300" w:lineRule="auto"/>
            </w:pPr>
            <w:r>
              <w:t>Correct typos such as Trye or Flase. Accepted values include TRUE/FALSE, YES/NO, and 1/0.</w:t>
            </w:r>
          </w:p>
        </w:tc>
      </w:tr>
      <w:tr>
        <w:tc>
          <w:tcPr>
            <w:tcW w:w="2700" w:type="dxa"/>
            <w:tcMar>
              <w:top w:w="80" w:type="dxa"/>
              <w:start w:w="120" w:type="dxa"/>
              <w:bottom w:w="80" w:type="dxa"/>
              <w:end w:w="120" w:type="dxa"/>
            </w:tcMar>
            <w:vAlign w:val="center"/>
          </w:tcPr>
          <w:p>
            <w:pPr>
              <w:spacing w:after="0" w:line="300" w:lineRule="auto"/>
            </w:pPr>
            <w:r>
              <w:t>DDE validation error</w:t>
            </w:r>
          </w:p>
        </w:tc>
        <w:tc>
          <w:tcPr>
            <w:tcW w:w="6660" w:type="dxa"/>
            <w:tcMar>
              <w:top w:w="80" w:type="dxa"/>
              <w:start w:w="120" w:type="dxa"/>
              <w:bottom w:w="80" w:type="dxa"/>
              <w:end w:w="120" w:type="dxa"/>
            </w:tcMar>
            <w:vAlign w:val="center"/>
          </w:tcPr>
          <w:p>
            <w:pPr>
              <w:spacing w:after="0" w:line="300" w:lineRule="auto"/>
            </w:pPr>
            <w:r>
              <w:t>Check agreement_year, design_duration_energy, and annual_duration_energy_degradation_rate. Document any contract-supported override before changing DDE.</w:t>
            </w:r>
          </w:p>
        </w:tc>
      </w:tr>
      <w:tr>
        <w:tc>
          <w:tcPr>
            <w:tcW w:w="2700" w:type="dxa"/>
            <w:tcMar>
              <w:top w:w="80" w:type="dxa"/>
              <w:start w:w="120" w:type="dxa"/>
              <w:bottom w:w="80" w:type="dxa"/>
              <w:end w:w="120" w:type="dxa"/>
            </w:tcMar>
            <w:vAlign w:val="center"/>
          </w:tcPr>
          <w:p>
            <w:pPr>
              <w:spacing w:after="0" w:line="300" w:lineRule="auto"/>
            </w:pPr>
            <w:r>
              <w:t>Other_ADJ warning</w:t>
            </w:r>
          </w:p>
        </w:tc>
        <w:tc>
          <w:tcPr>
            <w:tcW w:w="6660" w:type="dxa"/>
            <w:tcMar>
              <w:top w:w="80" w:type="dxa"/>
              <w:start w:w="120" w:type="dxa"/>
              <w:bottom w:w="80" w:type="dxa"/>
              <w:end w:w="120" w:type="dxa"/>
            </w:tcMar>
            <w:vAlign w:val="center"/>
          </w:tcPr>
          <w:p>
            <w:pPr>
              <w:spacing w:after="0" w:line="300" w:lineRule="auto"/>
            </w:pPr>
            <w:r>
              <w:t>Review the row and confirm the amount is not a manually entered LD that the calculator is already computing.</w:t>
            </w:r>
          </w:p>
        </w:tc>
      </w:tr>
      <w:tr>
        <w:tc>
          <w:tcPr>
            <w:tcW w:w="2700" w:type="dxa"/>
            <w:tcMar>
              <w:top w:w="80" w:type="dxa"/>
              <w:start w:w="120" w:type="dxa"/>
              <w:bottom w:w="80" w:type="dxa"/>
              <w:end w:w="120" w:type="dxa"/>
            </w:tcMar>
            <w:vAlign w:val="center"/>
          </w:tcPr>
          <w:p>
            <w:pPr>
              <w:spacing w:after="0" w:line="300" w:lineRule="auto"/>
            </w:pPr>
            <w:r>
              <w:t>Negative monthly payment</w:t>
            </w:r>
          </w:p>
        </w:tc>
        <w:tc>
          <w:tcPr>
            <w:tcW w:w="6660" w:type="dxa"/>
            <w:tcMar>
              <w:top w:w="80" w:type="dxa"/>
              <w:start w:w="120" w:type="dxa"/>
              <w:bottom w:w="80" w:type="dxa"/>
              <w:end w:w="120" w:type="dxa"/>
            </w:tcMar>
            <w:vAlign w:val="center"/>
          </w:tcPr>
          <w:p>
            <w:pPr>
              <w:spacing w:after="0" w:line="300" w:lineRule="auto"/>
            </w:pPr>
            <w:r>
              <w:t>Inspect ALD, CLD, ELD, FAA, and Other_ADJ. A negative MP may be valid when damages or credits exceed MFP.</w:t>
            </w:r>
          </w:p>
        </w:tc>
      </w:tr>
      <w:tr>
        <w:tc>
          <w:tcPr>
            <w:tcW w:w="2700" w:type="dxa"/>
            <w:tcMar>
              <w:top w:w="80" w:type="dxa"/>
              <w:start w:w="120" w:type="dxa"/>
              <w:bottom w:w="80" w:type="dxa"/>
              <w:end w:w="120" w:type="dxa"/>
            </w:tcMar>
            <w:vAlign w:val="center"/>
          </w:tcPr>
          <w:p>
            <w:pPr>
              <w:spacing w:after="0" w:line="300" w:lineRule="auto"/>
            </w:pPr>
            <w:r>
              <w:t>Report did not update</w:t>
            </w:r>
          </w:p>
        </w:tc>
        <w:tc>
          <w:tcPr>
            <w:tcW w:w="6660" w:type="dxa"/>
            <w:tcMar>
              <w:top w:w="80" w:type="dxa"/>
              <w:start w:w="120" w:type="dxa"/>
              <w:bottom w:w="80" w:type="dxa"/>
              <w:end w:w="120" w:type="dxa"/>
            </w:tcMar>
            <w:vAlign w:val="center"/>
          </w:tcPr>
          <w:p>
            <w:pPr>
              <w:spacing w:after="0" w:line="300" w:lineRule="auto"/>
            </w:pPr>
            <w:r>
              <w:t>Confirm the project id, output folder, and that the final output cell ran after any input changes.</w:t>
            </w:r>
          </w:p>
        </w:tc>
      </w:tr>
      <w:tr>
        <w:tc>
          <w:tcPr>
            <w:tcW w:w="2700" w:type="dxa"/>
            <w:tcMar>
              <w:top w:w="80" w:type="dxa"/>
              <w:start w:w="120" w:type="dxa"/>
              <w:bottom w:w="80" w:type="dxa"/>
              <w:end w:w="120" w:type="dxa"/>
            </w:tcMar>
            <w:vAlign w:val="center"/>
          </w:tcPr>
          <w:p>
            <w:pPr>
              <w:spacing w:after="0" w:line="300" w:lineRule="auto"/>
            </w:pPr>
            <w:r>
              <w:t>Unexpected efficiency result</w:t>
            </w:r>
          </w:p>
        </w:tc>
        <w:tc>
          <w:tcPr>
            <w:tcW w:w="6660" w:type="dxa"/>
            <w:tcMar>
              <w:top w:w="80" w:type="dxa"/>
              <w:start w:w="120" w:type="dxa"/>
              <w:bottom w:w="80" w:type="dxa"/>
              <w:end w:w="120" w:type="dxa"/>
            </w:tcMar>
            <w:vAlign w:val="center"/>
          </w:tcPr>
          <w:p>
            <w:pPr>
              <w:spacing w:after="0" w:line="300" w:lineRule="auto"/>
            </w:pPr>
            <w:r>
              <w:t>Check CE is greater than zero and verify DE, AE_beg, and AE_end are in the correct units and period.</w:t>
            </w:r>
          </w:p>
        </w:tc>
      </w:tr>
    </w:tbl>
    <w:p>
      <w:pPr>
        <w:spacing w:after="80" w:line="300" w:lineRule="auto"/>
      </w:pPr>
      <w:r>
        <w:t/>
      </w:r>
    </w:p>
    <w:p>
      <w:pPr>
        <w:pStyle w:val="Heading1"/>
      </w:pPr>
      <w:r>
        <w:t>6. Monthly Sign-Off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900"/>
        <w:gridCol w:w="3300"/>
        <w:gridCol w:w="5160"/>
      </w:tblGrid>
      <w:tr>
        <w:trPr>
          <w:tblHeader w:val="true"/>
        </w:trPr>
        <w:tc>
          <w:tcPr>
            <w:tcW w:w="900" w:type="dxa"/>
            <w:shd w:fill="E8EEF5"/>
            <w:tcMar>
              <w:top w:w="80" w:type="dxa"/>
              <w:start w:w="120" w:type="dxa"/>
              <w:bottom w:w="80" w:type="dxa"/>
              <w:end w:w="120" w:type="dxa"/>
            </w:tcMar>
            <w:vAlign w:val="center"/>
          </w:tcPr>
          <w:p>
            <w:pPr>
              <w:spacing w:after="0" w:line="300" w:lineRule="auto"/>
            </w:pPr>
            <w:r>
              <w:rPr>
                <w:b/>
                <w:color w:val="1F4D78"/>
              </w:rPr>
              <w:t>Done</w:t>
            </w:r>
          </w:p>
        </w:tc>
        <w:tc>
          <w:tcPr>
            <w:tcW w:w="3300" w:type="dxa"/>
            <w:shd w:fill="E8EEF5"/>
            <w:tcMar>
              <w:top w:w="80" w:type="dxa"/>
              <w:start w:w="120" w:type="dxa"/>
              <w:bottom w:w="80" w:type="dxa"/>
              <w:end w:w="120" w:type="dxa"/>
            </w:tcMar>
            <w:vAlign w:val="center"/>
          </w:tcPr>
          <w:p>
            <w:pPr>
              <w:spacing w:after="0" w:line="300" w:lineRule="auto"/>
            </w:pPr>
            <w:r>
              <w:rPr>
                <w:b/>
                <w:color w:val="1F4D78"/>
              </w:rPr>
              <w:t>Sign-off item</w:t>
            </w:r>
          </w:p>
        </w:tc>
        <w:tc>
          <w:tcPr>
            <w:tcW w:w="5160" w:type="dxa"/>
            <w:shd w:fill="E8EEF5"/>
            <w:tcMar>
              <w:top w:w="80" w:type="dxa"/>
              <w:start w:w="120" w:type="dxa"/>
              <w:bottom w:w="80" w:type="dxa"/>
              <w:end w:w="120" w:type="dxa"/>
            </w:tcMar>
            <w:vAlign w:val="center"/>
          </w:tcPr>
          <w:p>
            <w:pPr>
              <w:spacing w:after="0" w:line="300" w:lineRule="auto"/>
            </w:pPr>
            <w:r>
              <w:rPr>
                <w:b/>
                <w:color w:val="1F4D78"/>
              </w:rPr>
              <w:t>Acceptance standard</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Inputs received</w:t>
            </w:r>
          </w:p>
        </w:tc>
        <w:tc>
          <w:tcPr>
            <w:tcW w:w="5160" w:type="dxa"/>
            <w:tcMar>
              <w:top w:w="80" w:type="dxa"/>
              <w:start w:w="120" w:type="dxa"/>
              <w:bottom w:w="80" w:type="dxa"/>
              <w:end w:w="120" w:type="dxa"/>
            </w:tcMar>
            <w:vAlign w:val="center"/>
          </w:tcPr>
          <w:p>
            <w:pPr>
              <w:spacing w:after="0" w:line="300" w:lineRule="auto"/>
            </w:pPr>
            <w:r>
              <w:t>All required contract, yearly, monthly, performance guarantee, and performance test files are present.</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Notebook run</w:t>
            </w:r>
          </w:p>
        </w:tc>
        <w:tc>
          <w:tcPr>
            <w:tcW w:w="5160" w:type="dxa"/>
            <w:tcMar>
              <w:top w:w="80" w:type="dxa"/>
              <w:start w:w="120" w:type="dxa"/>
              <w:bottom w:w="80" w:type="dxa"/>
              <w:end w:w="120" w:type="dxa"/>
            </w:tcMar>
            <w:vAlign w:val="center"/>
          </w:tcPr>
          <w:p>
            <w:pPr>
              <w:spacing w:after="0" w:line="300" w:lineRule="auto"/>
            </w:pPr>
            <w:r>
              <w:t>All cells run from top to bottom without validation errors.</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Warnings reviewed</w:t>
            </w:r>
          </w:p>
        </w:tc>
        <w:tc>
          <w:tcPr>
            <w:tcW w:w="5160" w:type="dxa"/>
            <w:tcMar>
              <w:top w:w="80" w:type="dxa"/>
              <w:start w:w="120" w:type="dxa"/>
              <w:bottom w:w="80" w:type="dxa"/>
              <w:end w:w="120" w:type="dxa"/>
            </w:tcMar>
            <w:vAlign w:val="center"/>
          </w:tcPr>
          <w:p>
            <w:pPr>
              <w:spacing w:after="0" w:line="300" w:lineRule="auto"/>
            </w:pPr>
            <w:r>
              <w:t>Warnings are either resolved or documented for reviewer attention.</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Outputs regenerated</w:t>
            </w:r>
          </w:p>
        </w:tc>
        <w:tc>
          <w:tcPr>
            <w:tcW w:w="5160" w:type="dxa"/>
            <w:tcMar>
              <w:top w:w="80" w:type="dxa"/>
              <w:start w:w="120" w:type="dxa"/>
              <w:bottom w:w="80" w:type="dxa"/>
              <w:end w:w="120" w:type="dxa"/>
            </w:tcMar>
            <w:vAlign w:val="center"/>
          </w:tcPr>
          <w:p>
            <w:pPr>
              <w:spacing w:after="0" w:line="300" w:lineRule="auto"/>
            </w:pPr>
            <w:r>
              <w:t>Monthly result CSV and report file are updated in the correct output folder.</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Report reviewed</w:t>
            </w:r>
          </w:p>
        </w:tc>
        <w:tc>
          <w:tcPr>
            <w:tcW w:w="5160" w:type="dxa"/>
            <w:tcMar>
              <w:top w:w="80" w:type="dxa"/>
              <w:start w:w="120" w:type="dxa"/>
              <w:bottom w:w="80" w:type="dxa"/>
              <w:end w:w="120" w:type="dxa"/>
            </w:tcMar>
            <w:vAlign w:val="center"/>
          </w:tcPr>
          <w:p>
            <w:pPr>
              <w:spacing w:after="0" w:line="300" w:lineRule="auto"/>
            </w:pPr>
            <w:r>
              <w:t>MFP, MP, ADJ_Total, ALD, CLD, ELD, FA, FAA, PRA, and Actual_Efficiency are reviewed.</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Exceptions documented</w:t>
            </w:r>
          </w:p>
        </w:tc>
        <w:tc>
          <w:tcPr>
            <w:tcW w:w="5160" w:type="dxa"/>
            <w:tcMar>
              <w:top w:w="80" w:type="dxa"/>
              <w:start w:w="120" w:type="dxa"/>
              <w:bottom w:w="80" w:type="dxa"/>
              <w:end w:w="120" w:type="dxa"/>
            </w:tcMar>
            <w:vAlign w:val="center"/>
          </w:tcPr>
          <w:p>
            <w:pPr>
              <w:spacing w:after="0" w:line="300" w:lineRule="auto"/>
            </w:pPr>
            <w:r>
              <w:t>Any unusual result has a source note or reviewer comment.</w:t>
            </w:r>
          </w:p>
        </w:tc>
      </w:tr>
      <w:tr>
        <w:tc>
          <w:tcPr>
            <w:tcW w:w="900" w:type="dxa"/>
            <w:tcMar>
              <w:top w:w="80" w:type="dxa"/>
              <w:start w:w="120" w:type="dxa"/>
              <w:bottom w:w="80" w:type="dxa"/>
              <w:end w:w="120" w:type="dxa"/>
            </w:tcMar>
            <w:vAlign w:val="center"/>
          </w:tcPr>
          <w:p>
            <w:pPr>
              <w:spacing w:after="0" w:line="300" w:lineRule="auto"/>
            </w:pPr>
            <w:r>
              <w:t>[ ]</w:t>
            </w:r>
          </w:p>
        </w:tc>
        <w:tc>
          <w:tcPr>
            <w:tcW w:w="3300" w:type="dxa"/>
            <w:tcMar>
              <w:top w:w="80" w:type="dxa"/>
              <w:start w:w="120" w:type="dxa"/>
              <w:bottom w:w="80" w:type="dxa"/>
              <w:end w:w="120" w:type="dxa"/>
            </w:tcMar>
            <w:vAlign w:val="center"/>
          </w:tcPr>
          <w:p>
            <w:pPr>
              <w:spacing w:after="0" w:line="300" w:lineRule="auto"/>
            </w:pPr>
            <w:r>
              <w:t>Package ready</w:t>
            </w:r>
          </w:p>
        </w:tc>
        <w:tc>
          <w:tcPr>
            <w:tcW w:w="5160" w:type="dxa"/>
            <w:tcMar>
              <w:top w:w="80" w:type="dxa"/>
              <w:start w:w="120" w:type="dxa"/>
              <w:bottom w:w="80" w:type="dxa"/>
              <w:end w:w="120" w:type="dxa"/>
            </w:tcMar>
            <w:vAlign w:val="center"/>
          </w:tcPr>
          <w:p>
            <w:pPr>
              <w:spacing w:after="0" w:line="300" w:lineRule="auto"/>
            </w:pPr>
            <w:r>
              <w:t>CSV, report, and supporting source files are ready for internal review or invoice package assembly.</w:t>
            </w:r>
          </w:p>
        </w:tc>
      </w:tr>
    </w:tbl>
    <w:p>
      <w:pPr>
        <w:spacing w:after="80" w:line="300" w:lineRule="auto"/>
      </w:pPr>
      <w:r>
        <w:t/>
      </w:r>
    </w:p>
    <w:p>
      <w:pPr>
        <w:pStyle w:val="Heading1"/>
      </w:pPr>
      <w:r>
        <w:t>Appendix A. Quick Reference: Key Formulas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tblPr>
      <w:tblGrid>
        <w:gridCol w:w="2700"/>
        <w:gridCol w:w="6660"/>
      </w:tblGrid>
      <w:tr>
        <w:trPr>
          <w:tblHeader w:val="true"/>
        </w:trPr>
        <w:tc>
          <w:tcPr>
            <w:tcW w:w="2700" w:type="dxa"/>
            <w:shd w:fill="E8EEF5"/>
            <w:tcMar>
              <w:top w:w="80" w:type="dxa"/>
              <w:start w:w="120" w:type="dxa"/>
              <w:bottom w:w="80" w:type="dxa"/>
              <w:end w:w="120" w:type="dxa"/>
            </w:tcMar>
            <w:vAlign w:val="center"/>
          </w:tcPr>
          <w:p>
            <w:pPr>
              <w:spacing w:after="0" w:line="300" w:lineRule="auto"/>
            </w:pPr>
            <w:r>
              <w:rPr>
                <w:b/>
                <w:color w:val="1F4D78"/>
              </w:rPr>
              <w:t>Formula</w:t>
            </w:r>
          </w:p>
        </w:tc>
        <w:tc>
          <w:tcPr>
            <w:tcW w:w="6660" w:type="dxa"/>
            <w:shd w:fill="E8EEF5"/>
            <w:tcMar>
              <w:top w:w="80" w:type="dxa"/>
              <w:start w:w="120" w:type="dxa"/>
              <w:bottom w:w="80" w:type="dxa"/>
              <w:end w:w="120" w:type="dxa"/>
            </w:tcMar>
            <w:vAlign w:val="center"/>
          </w:tcPr>
          <w:p>
            <w:pPr>
              <w:spacing w:after="0" w:line="300" w:lineRule="auto"/>
            </w:pPr>
            <w:r>
              <w:rPr>
                <w:b/>
                <w:color w:val="1F4D78"/>
              </w:rPr>
              <w:t>Definition</w:t>
            </w:r>
          </w:p>
        </w:tc>
      </w:tr>
      <w:tr>
        <w:tc>
          <w:tcPr>
            <w:tcW w:w="2700" w:type="dxa"/>
            <w:tcMar>
              <w:top w:w="80" w:type="dxa"/>
              <w:start w:w="120" w:type="dxa"/>
              <w:bottom w:w="80" w:type="dxa"/>
              <w:end w:w="120" w:type="dxa"/>
            </w:tcMar>
            <w:vAlign w:val="center"/>
          </w:tcPr>
          <w:p>
            <w:pPr>
              <w:spacing w:after="0" w:line="300" w:lineRule="auto"/>
            </w:pPr>
            <w:r>
              <w:t>CPP</w:t>
            </w:r>
          </w:p>
        </w:tc>
        <w:tc>
          <w:tcPr>
            <w:tcW w:w="6660" w:type="dxa"/>
            <w:tcMar>
              <w:top w:w="80" w:type="dxa"/>
              <w:start w:w="120" w:type="dxa"/>
              <w:bottom w:w="80" w:type="dxa"/>
              <w:end w:w="120" w:type="dxa"/>
            </w:tcMar>
            <w:vAlign w:val="center"/>
          </w:tcPr>
          <w:p>
            <w:pPr>
              <w:spacing w:after="0" w:line="300" w:lineRule="auto"/>
            </w:pPr>
            <w:r>
              <w:t>CPPF + CPPPIF</w:t>
            </w:r>
          </w:p>
        </w:tc>
      </w:tr>
      <w:tr>
        <w:tc>
          <w:tcPr>
            <w:tcW w:w="2700" w:type="dxa"/>
            <w:tcMar>
              <w:top w:w="80" w:type="dxa"/>
              <w:start w:w="120" w:type="dxa"/>
              <w:bottom w:w="80" w:type="dxa"/>
              <w:end w:w="120" w:type="dxa"/>
            </w:tcMar>
            <w:vAlign w:val="center"/>
          </w:tcPr>
          <w:p>
            <w:pPr>
              <w:spacing w:after="0" w:line="300" w:lineRule="auto"/>
            </w:pPr>
            <w:r>
              <w:t>MFP</w:t>
            </w:r>
          </w:p>
        </w:tc>
        <w:tc>
          <w:tcPr>
            <w:tcW w:w="6660" w:type="dxa"/>
            <w:tcMar>
              <w:top w:w="80" w:type="dxa"/>
              <w:start w:w="120" w:type="dxa"/>
              <w:bottom w:w="80" w:type="dxa"/>
              <w:end w:w="120" w:type="dxa"/>
            </w:tcMar>
            <w:vAlign w:val="center"/>
          </w:tcPr>
          <w:p>
            <w:pPr>
              <w:spacing w:after="0" w:line="300" w:lineRule="auto"/>
            </w:pPr>
            <w:r>
              <w:t>CPP x MCC x FAA x PRA</w:t>
            </w:r>
          </w:p>
        </w:tc>
      </w:tr>
      <w:tr>
        <w:tc>
          <w:tcPr>
            <w:tcW w:w="2700" w:type="dxa"/>
            <w:tcMar>
              <w:top w:w="80" w:type="dxa"/>
              <w:start w:w="120" w:type="dxa"/>
              <w:bottom w:w="80" w:type="dxa"/>
              <w:end w:w="120" w:type="dxa"/>
            </w:tcMar>
            <w:vAlign w:val="center"/>
          </w:tcPr>
          <w:p>
            <w:pPr>
              <w:spacing w:after="0" w:line="300" w:lineRule="auto"/>
            </w:pPr>
            <w:r>
              <w:t>MP</w:t>
            </w:r>
          </w:p>
        </w:tc>
        <w:tc>
          <w:tcPr>
            <w:tcW w:w="6660" w:type="dxa"/>
            <w:tcMar>
              <w:top w:w="80" w:type="dxa"/>
              <w:start w:w="120" w:type="dxa"/>
              <w:bottom w:w="80" w:type="dxa"/>
              <w:end w:w="120" w:type="dxa"/>
            </w:tcMar>
            <w:vAlign w:val="center"/>
          </w:tcPr>
          <w:p>
            <w:pPr>
              <w:spacing w:after="0" w:line="300" w:lineRule="auto"/>
            </w:pPr>
            <w:r>
              <w:t>MFP - ADJ_Total</w:t>
            </w:r>
          </w:p>
        </w:tc>
      </w:tr>
      <w:tr>
        <w:tc>
          <w:tcPr>
            <w:tcW w:w="2700" w:type="dxa"/>
            <w:tcMar>
              <w:top w:w="80" w:type="dxa"/>
              <w:start w:w="120" w:type="dxa"/>
              <w:bottom w:w="80" w:type="dxa"/>
              <w:end w:w="120" w:type="dxa"/>
            </w:tcMar>
            <w:vAlign w:val="center"/>
          </w:tcPr>
          <w:p>
            <w:pPr>
              <w:spacing w:after="0" w:line="300" w:lineRule="auto"/>
            </w:pPr>
            <w:r>
              <w:t>FA</w:t>
            </w:r>
          </w:p>
        </w:tc>
        <w:tc>
          <w:tcPr>
            <w:tcW w:w="6660" w:type="dxa"/>
            <w:tcMar>
              <w:top w:w="80" w:type="dxa"/>
              <w:start w:w="120" w:type="dxa"/>
              <w:bottom w:w="80" w:type="dxa"/>
              <w:end w:w="120" w:type="dxa"/>
            </w:tcMar>
            <w:vAlign w:val="center"/>
          </w:tcPr>
          <w:p>
            <w:pPr>
              <w:spacing w:after="0" w:line="300" w:lineRule="auto"/>
            </w:pPr>
            <w:r>
              <w:t>(BPHRS - (POHRS + UNAVHRS + UNAVPRODHRS)) / (BPHRS - POHRS)</w:t>
            </w:r>
          </w:p>
        </w:tc>
      </w:tr>
      <w:tr>
        <w:tc>
          <w:tcPr>
            <w:tcW w:w="2700" w:type="dxa"/>
            <w:tcMar>
              <w:top w:w="80" w:type="dxa"/>
              <w:start w:w="120" w:type="dxa"/>
              <w:bottom w:w="80" w:type="dxa"/>
              <w:end w:w="120" w:type="dxa"/>
            </w:tcMar>
            <w:vAlign w:val="center"/>
          </w:tcPr>
          <w:p>
            <w:pPr>
              <w:spacing w:after="0" w:line="300" w:lineRule="auto"/>
            </w:pPr>
            <w:r>
              <w:t>ALD</w:t>
            </w:r>
          </w:p>
        </w:tc>
        <w:tc>
          <w:tcPr>
            <w:tcW w:w="6660" w:type="dxa"/>
            <w:tcMar>
              <w:top w:w="80" w:type="dxa"/>
              <w:start w:w="120" w:type="dxa"/>
              <w:bottom w:w="80" w:type="dxa"/>
              <w:end w:w="120" w:type="dxa"/>
            </w:tcMar>
            <w:vAlign w:val="center"/>
          </w:tcPr>
          <w:p>
            <w:pPr>
              <w:spacing w:after="0" w:line="300" w:lineRule="auto"/>
            </w:pPr>
            <w:r>
              <w:t>(TA - FA) x DDE x (RER - CPP / (30.33 x 24)), when FA is below TA</w:t>
            </w:r>
          </w:p>
        </w:tc>
      </w:tr>
      <w:tr>
        <w:tc>
          <w:tcPr>
            <w:tcW w:w="2700" w:type="dxa"/>
            <w:tcMar>
              <w:top w:w="80" w:type="dxa"/>
              <w:start w:w="120" w:type="dxa"/>
              <w:bottom w:w="80" w:type="dxa"/>
              <w:end w:w="120" w:type="dxa"/>
            </w:tcMar>
            <w:vAlign w:val="center"/>
          </w:tcPr>
          <w:p>
            <w:pPr>
              <w:spacing w:after="0" w:line="300" w:lineRule="auto"/>
            </w:pPr>
            <w:r>
              <w:t>CLD</w:t>
            </w:r>
          </w:p>
        </w:tc>
        <w:tc>
          <w:tcPr>
            <w:tcW w:w="6660" w:type="dxa"/>
            <w:tcMar>
              <w:top w:w="80" w:type="dxa"/>
              <w:start w:w="120" w:type="dxa"/>
              <w:bottom w:w="80" w:type="dxa"/>
              <w:end w:w="120" w:type="dxa"/>
            </w:tcMar>
            <w:vAlign w:val="center"/>
          </w:tcPr>
          <w:p>
            <w:pPr>
              <w:spacing w:after="0" w:line="300" w:lineRule="auto"/>
            </w:pPr>
            <w:r>
              <w:t>(GC - TDE) x (RER - CPP / (30.33 x 24)), allocated by applicable days</w:t>
            </w:r>
          </w:p>
        </w:tc>
      </w:tr>
      <w:tr>
        <w:tc>
          <w:tcPr>
            <w:tcW w:w="2700" w:type="dxa"/>
            <w:tcMar>
              <w:top w:w="80" w:type="dxa"/>
              <w:start w:w="120" w:type="dxa"/>
              <w:bottom w:w="80" w:type="dxa"/>
              <w:end w:w="120" w:type="dxa"/>
            </w:tcMar>
            <w:vAlign w:val="center"/>
          </w:tcPr>
          <w:p>
            <w:pPr>
              <w:spacing w:after="0" w:line="300" w:lineRule="auto"/>
            </w:pPr>
            <w:r>
              <w:t>Actual Efficiency</w:t>
            </w:r>
          </w:p>
        </w:tc>
        <w:tc>
          <w:tcPr>
            <w:tcW w:w="6660" w:type="dxa"/>
            <w:tcMar>
              <w:top w:w="80" w:type="dxa"/>
              <w:start w:w="120" w:type="dxa"/>
              <w:bottom w:w="80" w:type="dxa"/>
              <w:end w:w="120" w:type="dxa"/>
            </w:tcMar>
            <w:vAlign w:val="center"/>
          </w:tcPr>
          <w:p>
            <w:pPr>
              <w:spacing w:after="0" w:line="300" w:lineRule="auto"/>
            </w:pPr>
            <w:r>
              <w:t>(DE + (AE_end - AE_beg)) / CE</w:t>
            </w:r>
          </w:p>
        </w:tc>
      </w:tr>
      <w:tr>
        <w:tc>
          <w:tcPr>
            <w:tcW w:w="2700" w:type="dxa"/>
            <w:tcMar>
              <w:top w:w="80" w:type="dxa"/>
              <w:start w:w="120" w:type="dxa"/>
              <w:bottom w:w="80" w:type="dxa"/>
              <w:end w:w="120" w:type="dxa"/>
            </w:tcMar>
            <w:vAlign w:val="center"/>
          </w:tcPr>
          <w:p>
            <w:pPr>
              <w:spacing w:after="0" w:line="300" w:lineRule="auto"/>
            </w:pPr>
            <w:r>
              <w:t>ELD</w:t>
            </w:r>
          </w:p>
        </w:tc>
        <w:tc>
          <w:tcPr>
            <w:tcW w:w="6660" w:type="dxa"/>
            <w:tcMar>
              <w:top w:w="80" w:type="dxa"/>
              <w:start w:w="120" w:type="dxa"/>
              <w:bottom w:w="80" w:type="dxa"/>
              <w:end w:w="120" w:type="dxa"/>
            </w:tcMar>
            <w:vAlign w:val="center"/>
          </w:tcPr>
          <w:p>
            <w:pPr>
              <w:spacing w:after="0" w:line="300" w:lineRule="auto"/>
            </w:pPr>
            <w:r>
              <w:t>(RER - CPP / (30.33 x 24)) x ((CE x GE) - DE), when Actual Efficiency is below GE</w:t>
            </w:r>
          </w:p>
        </w:tc>
      </w:tr>
    </w:tbl>
    <w:p>
      <w:pPr>
        <w:spacing w:after="80" w:line="300" w:lineRule="auto"/>
      </w:pPr>
      <w:r>
        <w:t/>
      </w:r>
    </w:p>
    <w:sectPr>
      <w:footerReference w:type="default" r:id="rId3"/>
      <w:pgSz w:w="12240" w:h="15840"/>
      <w:pgMar w:top="1440" w:right="1440" w:bottom="1440" w:left="1440" w:header="708" w:footer="708" w:gutter="0"/>
      <w:cols w:space="720"/>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color w:val="555555"/>
        <w:sz w:val="16"/>
      </w:rPr>
      <w:t>Salinas and Jobos BESS Notebook Training Guide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start w:val="1"/>
      <w:numFmt w:val="bullet"/>
      <w:lvlText w:val="•"/>
      <w:lvlJc w:val="left"/>
      <w:pPr>
        <w:ind w:left="540" w:hanging="270"/>
      </w:pPr>
      <w:rPr>
        <w:rFonts w:ascii="Symbol" w:hAnsi="Symbol" w:hint="default"/>
      </w:rPr>
    </w:lvl>
    <w:lvl w:ilvl="1">
      <w:start w:val="1"/>
      <w:numFmt w:val="bullet"/>
      <w:lvlText w:val="o"/>
      <w:lvlJc w:val="left"/>
      <w:pPr>
        <w:ind w:left="900" w:hanging="270"/>
      </w:pPr>
    </w:lvl>
  </w:abstractNum>
  <w:num w:numId="1">
    <w:abstractNumId w:val="1"/>
  </w:num>
  <w:abstractNum w:abstractNumId="2">
    <w:lvl w:ilvl="0">
      <w:start w:val="1"/>
      <w:numFmt w:val="decimal"/>
      <w:lvlText w:val="%1."/>
      <w:lvlJc w:val="left"/>
      <w:pPr>
        <w:ind w:left="540" w:hanging="270"/>
      </w:pPr>
    </w:lvl>
  </w:abstractNum>
  <w:num w:numId="2">
    <w:abstractNumId w:val="2"/>
  </w:num>
</w:numbering>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tyle w:type="paragraph" w:default="1" w:styleId="Normal">
    <w:name w:val="Normal"/>
    <w:qFormat/>
    <w:pPr>
      <w:spacing w:after="120" w:line="300" w:lineRule="auto"/>
    </w:pPr>
    <w:rPr>
      <w:rFonts w:ascii="Calibri" w:hAnsi="Calibri"/>
      <w:sz w:val="22"/>
    </w:rPr>
  </w:style>
  <w:style w:type="paragraph" w:styleId="Heading1">
    <w:name w:val="heading 1"/>
    <w:basedOn w:val="Normal"/>
    <w:next w:val="Normal"/>
    <w:qFormat/>
    <w:pPr>
      <w:keepNext/>
      <w:outlineLvl w:val="0"/>
      <w:spacing w:before="360" w:after="200"/>
    </w:pPr>
    <w:rPr>
      <w:rFonts w:ascii="Calibri" w:hAnsi="Calibri"/>
      <w:b/>
      <w:color w:val="2E74B5"/>
      <w:sz w:val="32"/>
    </w:rPr>
  </w:style>
  <w:style w:type="paragraph" w:styleId="Heading2">
    <w:name w:val="heading 2"/>
    <w:basedOn w:val="Normal"/>
    <w:next w:val="Normal"/>
    <w:qFormat/>
    <w:pPr>
      <w:keepNext/>
      <w:outlineLvl w:val="1"/>
      <w:spacing w:before="280" w:after="140"/>
    </w:pPr>
    <w:rPr>
      <w:rFonts w:ascii="Calibri" w:hAnsi="Calibri"/>
      <w:b/>
      <w:color w:val="2E74B5"/>
      <w:sz w:val="26"/>
    </w:rPr>
  </w:style>
  <w:style w:type="paragraph" w:styleId="Heading3">
    <w:name w:val="heading 3"/>
    <w:basedOn w:val="Normal"/>
    <w:next w:val="Normal"/>
    <w:qFormat/>
    <w:pPr>
      <w:keepNext/>
      <w:outlineLvl w:val="2"/>
      <w:spacing w:before="200" w:after="100"/>
    </w:pPr>
    <w:rPr>
      <w:rFonts w:ascii="Calibri" w:hAnsi="Calibri"/>
      <w:b/>
      <w:color w:val="1F4D78"/>
      <w:sz w:val="24"/>
    </w:rPr>
  </w:style>
  <w:style w:type="paragraph" w:styleId="ListParagraph">
    <w:name w:val="List Paragraph"/>
    <w:basedOn w:val="Normal"/>
    <w:pPr>
      <w:spacing w:after="80" w:line="30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s>
</file>