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50FE408E" w:rsidR="00845178" w:rsidRDefault="00440A6E">
            <w:proofErr w:type="spellStart"/>
            <w:r w:rsidRPr="00440A6E">
              <w:t>equal</w:t>
            </w:r>
            <w:proofErr w:type="spellEnd"/>
          </w:p>
        </w:tc>
        <w:tc>
          <w:tcPr>
            <w:tcW w:w="4661" w:type="dxa"/>
          </w:tcPr>
          <w:p w14:paraId="023FEBB5" w14:textId="4BE8EB15" w:rsidR="00845178" w:rsidRDefault="00440A6E">
            <w:r w:rsidRPr="00440A6E">
              <w:t>Este operador coincide con los valores que son iguales al valor dado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0B3693C0" w:rsidR="00845178" w:rsidRDefault="00440A6E">
            <w:proofErr w:type="spellStart"/>
            <w:r w:rsidRPr="00440A6E">
              <w:t>greater</w:t>
            </w:r>
            <w:proofErr w:type="spellEnd"/>
            <w:r w:rsidRPr="00440A6E">
              <w:t xml:space="preserve"> </w:t>
            </w:r>
            <w:proofErr w:type="spellStart"/>
            <w:r w:rsidRPr="00440A6E">
              <w:t>than</w:t>
            </w:r>
            <w:proofErr w:type="spellEnd"/>
          </w:p>
        </w:tc>
        <w:tc>
          <w:tcPr>
            <w:tcW w:w="4661" w:type="dxa"/>
          </w:tcPr>
          <w:p w14:paraId="1D7E0BF0" w14:textId="696942D4" w:rsidR="00845178" w:rsidRDefault="00440A6E">
            <w:r w:rsidRPr="00440A6E">
              <w:t>Este operador coincide si los valores son mayores que el valor dado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3507E4A5" w:rsidR="00845178" w:rsidRDefault="00440A6E">
            <w:proofErr w:type="spellStart"/>
            <w:r w:rsidRPr="00440A6E">
              <w:t>greater</w:t>
            </w:r>
            <w:proofErr w:type="spellEnd"/>
            <w:r w:rsidRPr="00440A6E">
              <w:t xml:space="preserve"> </w:t>
            </w:r>
            <w:proofErr w:type="spellStart"/>
            <w:r w:rsidRPr="00440A6E">
              <w:t>than</w:t>
            </w:r>
            <w:proofErr w:type="spellEnd"/>
            <w:r w:rsidRPr="00440A6E">
              <w:t xml:space="preserve"> </w:t>
            </w:r>
            <w:proofErr w:type="spellStart"/>
            <w:r w:rsidRPr="00440A6E">
              <w:t>equal</w:t>
            </w:r>
            <w:proofErr w:type="spellEnd"/>
          </w:p>
        </w:tc>
        <w:tc>
          <w:tcPr>
            <w:tcW w:w="4661" w:type="dxa"/>
          </w:tcPr>
          <w:p w14:paraId="004F509B" w14:textId="5DF72556" w:rsidR="00845178" w:rsidRDefault="00440A6E">
            <w:r w:rsidRPr="00440A6E">
              <w:t>Este operador coincide cuando los valores son mayores o iguales que el valor dado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16F5ED17" w:rsidR="00845178" w:rsidRDefault="00440A6E">
            <w:proofErr w:type="spellStart"/>
            <w:r w:rsidRPr="00440A6E">
              <w:t>low</w:t>
            </w:r>
            <w:proofErr w:type="spellEnd"/>
            <w:r w:rsidRPr="00440A6E">
              <w:t xml:space="preserve"> </w:t>
            </w:r>
            <w:proofErr w:type="spellStart"/>
            <w:r w:rsidRPr="00440A6E">
              <w:t>than</w:t>
            </w:r>
            <w:proofErr w:type="spellEnd"/>
          </w:p>
        </w:tc>
        <w:tc>
          <w:tcPr>
            <w:tcW w:w="4661" w:type="dxa"/>
          </w:tcPr>
          <w:p w14:paraId="4B8C5BAD" w14:textId="673CDAAE" w:rsidR="00845178" w:rsidRDefault="00440A6E">
            <w:r w:rsidRPr="00440A6E">
              <w:t>Este operador coincide si los valores son menores que el valor proporcionado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1837550B" w:rsidR="00845178" w:rsidRDefault="00440A6E">
            <w:proofErr w:type="spellStart"/>
            <w:r w:rsidRPr="00440A6E">
              <w:t>low</w:t>
            </w:r>
            <w:proofErr w:type="spellEnd"/>
            <w:r w:rsidRPr="00440A6E">
              <w:t xml:space="preserve"> </w:t>
            </w:r>
            <w:r>
              <w:t xml:space="preserve">tan </w:t>
            </w:r>
            <w:proofErr w:type="spellStart"/>
            <w:r>
              <w:t>equal</w:t>
            </w:r>
            <w:proofErr w:type="spellEnd"/>
          </w:p>
        </w:tc>
        <w:tc>
          <w:tcPr>
            <w:tcW w:w="4661" w:type="dxa"/>
          </w:tcPr>
          <w:p w14:paraId="704A6B51" w14:textId="319024E4" w:rsidR="00845178" w:rsidRDefault="00440A6E">
            <w:r w:rsidRPr="00440A6E">
              <w:t>Este operador sólo coincide si los valores son menores o iguales que el valor dado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6DF150D0" w:rsidR="00845178" w:rsidRDefault="00440A6E">
            <w:proofErr w:type="spellStart"/>
            <w:r w:rsidRPr="00440A6E">
              <w:t>not</w:t>
            </w:r>
            <w:proofErr w:type="spellEnd"/>
            <w:r w:rsidRPr="00440A6E">
              <w:t xml:space="preserve"> </w:t>
            </w:r>
            <w:proofErr w:type="spellStart"/>
            <w:r w:rsidRPr="00440A6E">
              <w:t>equal</w:t>
            </w:r>
            <w:proofErr w:type="spellEnd"/>
          </w:p>
        </w:tc>
        <w:tc>
          <w:tcPr>
            <w:tcW w:w="4661" w:type="dxa"/>
          </w:tcPr>
          <w:p w14:paraId="196CD73A" w14:textId="6F215C91" w:rsidR="00845178" w:rsidRDefault="00F424BF">
            <w:r w:rsidRPr="00F424BF">
              <w:t>El operador $</w:t>
            </w:r>
            <w:proofErr w:type="spellStart"/>
            <w:r w:rsidRPr="00F424BF">
              <w:t>ne</w:t>
            </w:r>
            <w:proofErr w:type="spellEnd"/>
            <w:r w:rsidRPr="00F424BF">
              <w:t xml:space="preserve"> devuelve los documentos en los que el valor especificado no es igual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2F45AC3C" w:rsidR="00845178" w:rsidRDefault="00440A6E">
            <w:r>
              <w:t>in</w:t>
            </w:r>
          </w:p>
        </w:tc>
        <w:tc>
          <w:tcPr>
            <w:tcW w:w="4661" w:type="dxa"/>
          </w:tcPr>
          <w:p w14:paraId="496D4DCB" w14:textId="5AEE54DE" w:rsidR="00845178" w:rsidRDefault="00440A6E">
            <w:r w:rsidRPr="00440A6E">
              <w:t>Este operador devuelve los documentos que coinciden con los valores especificados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2082EC51" w:rsidR="00845178" w:rsidRDefault="00440A6E">
            <w:proofErr w:type="spellStart"/>
            <w:r>
              <w:t>Not</w:t>
            </w:r>
            <w:proofErr w:type="spellEnd"/>
            <w:r>
              <w:t xml:space="preserve"> in</w:t>
            </w:r>
          </w:p>
        </w:tc>
        <w:tc>
          <w:tcPr>
            <w:tcW w:w="4661" w:type="dxa"/>
          </w:tcPr>
          <w:p w14:paraId="3D4C0936" w14:textId="4582CA81" w:rsidR="00845178" w:rsidRDefault="00F424BF">
            <w:r w:rsidRPr="00F424BF">
              <w:t>Este operador devuelve los documentos que no coinciden con los valores dados.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2E3F1DC8" w:rsidR="00440A6E" w:rsidRDefault="00440A6E">
            <w:proofErr w:type="spellStart"/>
            <w:r>
              <w:t>Or</w:t>
            </w:r>
            <w:proofErr w:type="spellEnd"/>
          </w:p>
        </w:tc>
        <w:tc>
          <w:tcPr>
            <w:tcW w:w="4661" w:type="dxa"/>
          </w:tcPr>
          <w:p w14:paraId="52BB1110" w14:textId="68C7A689" w:rsidR="00845178" w:rsidRDefault="00F424BF">
            <w:r w:rsidRPr="00F424BF">
              <w:t>Una condición «</w:t>
            </w:r>
            <w:proofErr w:type="spellStart"/>
            <w:r w:rsidRPr="00F424BF">
              <w:t>or</w:t>
            </w:r>
            <w:proofErr w:type="spellEnd"/>
            <w:r w:rsidRPr="00F424BF">
              <w:t>» realiza una operación lógica «</w:t>
            </w:r>
            <w:proofErr w:type="spellStart"/>
            <w:r w:rsidRPr="00F424BF">
              <w:t>or</w:t>
            </w:r>
            <w:proofErr w:type="spellEnd"/>
            <w:r w:rsidRPr="00F424BF">
              <w:t>» en una matriz de dos o más expresiones. Selecciona los documentos en los que al menos una de las expresiones es verdadera.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2F0A7264" w:rsidR="00845178" w:rsidRDefault="00440A6E">
            <w:r>
              <w:t>And</w:t>
            </w:r>
          </w:p>
        </w:tc>
        <w:tc>
          <w:tcPr>
            <w:tcW w:w="4661" w:type="dxa"/>
          </w:tcPr>
          <w:p w14:paraId="23866442" w14:textId="318823FD" w:rsidR="00845178" w:rsidRDefault="00F424BF">
            <w:r w:rsidRPr="00F424BF">
              <w:t>Una condición «and» realiza una operación lógica «and» en una matriz de dos o más expresiones. Selecciona los documentos en los que se cumplen todas las condiciones de las expresiones.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6C166BBD" w:rsidR="00845178" w:rsidRDefault="00440A6E">
            <w:proofErr w:type="spellStart"/>
            <w:r>
              <w:t>Not</w:t>
            </w:r>
            <w:proofErr w:type="spellEnd"/>
          </w:p>
        </w:tc>
        <w:tc>
          <w:tcPr>
            <w:tcW w:w="4661" w:type="dxa"/>
          </w:tcPr>
          <w:p w14:paraId="4D86A35B" w14:textId="64AF8B17" w:rsidR="00845178" w:rsidRDefault="00F424BF">
            <w:r w:rsidRPr="00F424BF">
              <w:t>Este operador realiza una operación lógica de «</w:t>
            </w:r>
            <w:proofErr w:type="spellStart"/>
            <w:r w:rsidRPr="00F424BF">
              <w:t>not</w:t>
            </w:r>
            <w:proofErr w:type="spellEnd"/>
            <w:r w:rsidRPr="00F424BF">
              <w:t>» en una matriz para la expresión especificada. A continuación, selecciona los documentos que no coinciden con las expresiones de la consulta. Esto incluye los documentos que no contienen el campo.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0ABB40EC" w:rsidR="00845178" w:rsidRDefault="00440A6E">
            <w:proofErr w:type="spellStart"/>
            <w:r>
              <w:t>nor</w:t>
            </w:r>
            <w:proofErr w:type="spellEnd"/>
          </w:p>
        </w:tc>
        <w:tc>
          <w:tcPr>
            <w:tcW w:w="4661" w:type="dxa"/>
          </w:tcPr>
          <w:p w14:paraId="68118C37" w14:textId="4F17BCE3" w:rsidR="00845178" w:rsidRDefault="00F424BF">
            <w:r w:rsidRPr="00F424BF">
              <w:t>Este operador realiza una operación lógica «</w:t>
            </w:r>
            <w:proofErr w:type="spellStart"/>
            <w:r w:rsidRPr="00F424BF">
              <w:t>nor</w:t>
            </w:r>
            <w:proofErr w:type="spellEnd"/>
            <w:r w:rsidRPr="00F424BF">
              <w:t>» en una matriz utilizando una o varias expresiones. A continuación, selecciona los documentos que no cumplen las expresiones de la consulta. En términos más sencillos, hace lo contrario de la condición $</w:t>
            </w:r>
            <w:proofErr w:type="spellStart"/>
            <w:r w:rsidRPr="00F424BF">
              <w:t>or</w:t>
            </w:r>
            <w:proofErr w:type="spellEnd"/>
            <w:r w:rsidRPr="00F424BF">
              <w:t>.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lastRenderedPageBreak/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1B23E28D" w:rsidR="00845178" w:rsidRDefault="00440A6E">
            <w:proofErr w:type="spellStart"/>
            <w:r>
              <w:t>exists</w:t>
            </w:r>
            <w:proofErr w:type="spellEnd"/>
          </w:p>
        </w:tc>
        <w:tc>
          <w:tcPr>
            <w:tcW w:w="4661" w:type="dxa"/>
          </w:tcPr>
          <w:p w14:paraId="2053BA80" w14:textId="3692D40D" w:rsidR="00845178" w:rsidRDefault="00F424BF">
            <w:r w:rsidRPr="00F424BF">
              <w:t>Este operador coincide con los documentos que tienen un campo especificado. Este operador tiene un valor booleano que puede ser true o false.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6F4FEDC2" w:rsidR="00845178" w:rsidRDefault="00440A6E">
            <w:proofErr w:type="spellStart"/>
            <w:r>
              <w:t>type</w:t>
            </w:r>
            <w:proofErr w:type="spellEnd"/>
          </w:p>
        </w:tc>
        <w:tc>
          <w:tcPr>
            <w:tcW w:w="4661" w:type="dxa"/>
          </w:tcPr>
          <w:p w14:paraId="6267E305" w14:textId="6BF27EB8" w:rsidR="00845178" w:rsidRDefault="00F424BF">
            <w:r w:rsidRPr="00F424BF">
              <w:t>Este operador hace coincidir los documentos según el tipo de campo especificado. Es útil cuando tienes datos muy desestructurados, o cuando los tipos de datos no son predecibles. Estos tipos de campo son tipos BSON especificados y pueden definirse por número de tipo o por alias.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24DEFF0F" w:rsidR="00845178" w:rsidRDefault="00F424BF">
            <w:r>
              <w:t>mod</w:t>
            </w:r>
          </w:p>
        </w:tc>
        <w:tc>
          <w:tcPr>
            <w:tcW w:w="4661" w:type="dxa"/>
          </w:tcPr>
          <w:p w14:paraId="621C233B" w14:textId="020D19C7" w:rsidR="00845178" w:rsidRDefault="00F424BF">
            <w:r w:rsidRPr="00F424BF">
              <w:t>Puedes utilizar este operador para hacer coincidir los documentos en los que el valor de un campo especificado es igual al resto después de ser dividido por un valor especificado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1488CB8C" w:rsidR="00845178" w:rsidRDefault="00F424BF">
            <w:r>
              <w:t xml:space="preserve">Regular </w:t>
            </w:r>
            <w:proofErr w:type="spellStart"/>
            <w:r>
              <w:t>expression</w:t>
            </w:r>
            <w:proofErr w:type="spellEnd"/>
          </w:p>
        </w:tc>
        <w:tc>
          <w:tcPr>
            <w:tcW w:w="4661" w:type="dxa"/>
          </w:tcPr>
          <w:p w14:paraId="6FD522F0" w14:textId="19CDF28A" w:rsidR="00845178" w:rsidRDefault="00F424BF">
            <w:r w:rsidRPr="00F424BF">
              <w:t>El operador $</w:t>
            </w:r>
            <w:proofErr w:type="spellStart"/>
            <w:r w:rsidRPr="00F424BF">
              <w:t>regex</w:t>
            </w:r>
            <w:proofErr w:type="spellEnd"/>
            <w:r w:rsidRPr="00F424BF">
              <w:t xml:space="preserve"> ofrece la posibilidad de utilizar expresiones regulares para hacer coincidir cadenas con patrones en las consultas. MongoDB aprovecha las expresiones regulares que son compatibles con Perl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749E0834" w:rsidR="00845178" w:rsidRDefault="00F424BF">
            <w:proofErr w:type="spellStart"/>
            <w:r>
              <w:t>Elements</w:t>
            </w:r>
            <w:proofErr w:type="spellEnd"/>
            <w:r>
              <w:t xml:space="preserve"> match</w:t>
            </w:r>
          </w:p>
        </w:tc>
        <w:tc>
          <w:tcPr>
            <w:tcW w:w="4661" w:type="dxa"/>
          </w:tcPr>
          <w:p w14:paraId="12AF4752" w14:textId="4B7E7477" w:rsidR="00845178" w:rsidRDefault="00F424BF">
            <w:r w:rsidRPr="00F424BF">
              <w:t>El operador $</w:t>
            </w:r>
            <w:proofErr w:type="spellStart"/>
            <w:r w:rsidRPr="00F424BF">
              <w:t>elemMatch</w:t>
            </w:r>
            <w:proofErr w:type="spellEnd"/>
            <w:r w:rsidRPr="00F424BF">
              <w:t xml:space="preserve"> coincide con los documentos que contienen un campo de matriz con al menos un elemento que coincide con todos los criterios de consulta especificados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5C6515C9" w:rsidR="00845178" w:rsidRDefault="00F424BF">
            <w:proofErr w:type="spellStart"/>
            <w:r>
              <w:t>size</w:t>
            </w:r>
            <w:proofErr w:type="spellEnd"/>
          </w:p>
        </w:tc>
        <w:tc>
          <w:tcPr>
            <w:tcW w:w="4661" w:type="dxa"/>
          </w:tcPr>
          <w:p w14:paraId="0C107CEA" w14:textId="70426BEC" w:rsidR="00845178" w:rsidRDefault="00F424BF">
            <w:r w:rsidRPr="00F424BF">
              <w:t>El operador $</w:t>
            </w:r>
            <w:proofErr w:type="spellStart"/>
            <w:r w:rsidRPr="00F424BF">
              <w:t>size</w:t>
            </w:r>
            <w:proofErr w:type="spellEnd"/>
            <w:r w:rsidRPr="00F424BF">
              <w:t xml:space="preserve"> devuelve aquellos documentos en los que el tamaño de la matriz coincide con el número de elementos especificado en el argumento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D6FF" w14:textId="77777777" w:rsidR="00B01E8D" w:rsidRDefault="00B01E8D" w:rsidP="007E0CCA">
      <w:pPr>
        <w:spacing w:after="0" w:line="240" w:lineRule="auto"/>
      </w:pPr>
      <w:r>
        <w:separator/>
      </w:r>
    </w:p>
  </w:endnote>
  <w:endnote w:type="continuationSeparator" w:id="0">
    <w:p w14:paraId="356DCED4" w14:textId="77777777" w:rsidR="00B01E8D" w:rsidRDefault="00B01E8D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644F" w14:textId="77777777" w:rsidR="00B01E8D" w:rsidRDefault="00B01E8D" w:rsidP="007E0CCA">
      <w:pPr>
        <w:spacing w:after="0" w:line="240" w:lineRule="auto"/>
      </w:pPr>
      <w:r>
        <w:separator/>
      </w:r>
    </w:p>
  </w:footnote>
  <w:footnote w:type="continuationSeparator" w:id="0">
    <w:p w14:paraId="4F323C65" w14:textId="77777777" w:rsidR="00B01E8D" w:rsidRDefault="00B01E8D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A4E9" w14:textId="77777777" w:rsidR="007E0CCA" w:rsidRDefault="007E0CCA" w:rsidP="007E0CC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680D5" wp14:editId="73095866">
          <wp:simplePos x="0" y="0"/>
          <wp:positionH relativeFrom="column">
            <wp:posOffset>2687458</wp:posOffset>
          </wp:positionH>
          <wp:positionV relativeFrom="paragraph">
            <wp:posOffset>-316948</wp:posOffset>
          </wp:positionV>
          <wp:extent cx="3874770" cy="762000"/>
          <wp:effectExtent l="0" t="0" r="0" b="0"/>
          <wp:wrapSquare wrapText="bothSides"/>
          <wp:docPr id="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387477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89125FC" wp14:editId="036B01CD">
          <wp:simplePos x="0" y="0"/>
          <wp:positionH relativeFrom="page">
            <wp:posOffset>-304800</wp:posOffset>
          </wp:positionH>
          <wp:positionV relativeFrom="paragraph">
            <wp:posOffset>-229235</wp:posOffset>
          </wp:positionV>
          <wp:extent cx="4026535" cy="647700"/>
          <wp:effectExtent l="0" t="0" r="0" b="0"/>
          <wp:wrapNone/>
          <wp:docPr id="6" name="Imagen 6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cabezado-excel-si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40265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440A6E"/>
    <w:rsid w:val="005632EA"/>
    <w:rsid w:val="007E0CCA"/>
    <w:rsid w:val="00845178"/>
    <w:rsid w:val="009507F3"/>
    <w:rsid w:val="009D370F"/>
    <w:rsid w:val="00B01E8D"/>
    <w:rsid w:val="00CA1319"/>
    <w:rsid w:val="00EE3804"/>
    <w:rsid w:val="00F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César José Jose Ortiz Sabogal</cp:lastModifiedBy>
  <cp:revision>6</cp:revision>
  <dcterms:created xsi:type="dcterms:W3CDTF">2021-10-19T12:08:00Z</dcterms:created>
  <dcterms:modified xsi:type="dcterms:W3CDTF">2024-10-25T13:10:00Z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