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A675E4F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4D86C98F" w14:textId="77777777" w:rsidR="00FF760F" w:rsidRDefault="00FF760F" w:rsidP="00FF760F">
      <w:r w:rsidRPr="00FF760F">
        <w:rPr>
          <w:b/>
          <w:bCs/>
        </w:rPr>
        <w:t>String:</w:t>
      </w:r>
      <w:r>
        <w:t xml:space="preserve"> este es el tipo de datos más utilizado para almacenar los datos. La cadena en MongoDB debe ser válida para UTF-8.</w:t>
      </w:r>
    </w:p>
    <w:p w14:paraId="46EF5122" w14:textId="77777777" w:rsidR="00FF760F" w:rsidRDefault="00FF760F" w:rsidP="00FF760F">
      <w:r w:rsidRPr="00FF760F">
        <w:rPr>
          <w:b/>
          <w:bCs/>
        </w:rPr>
        <w:t>Integer:</w:t>
      </w:r>
      <w:r>
        <w:t xml:space="preserve"> este tipo se utiliza para almacenar un valor numérico. El número entero puede ser de 32 o 64 bits, dependiendo de su servidor.</w:t>
      </w:r>
    </w:p>
    <w:p w14:paraId="66086B8D" w14:textId="77777777" w:rsidR="00FF760F" w:rsidRDefault="00FF760F" w:rsidP="00FF760F">
      <w:r w:rsidRPr="00FF760F">
        <w:rPr>
          <w:b/>
          <w:bCs/>
        </w:rPr>
        <w:t>Boolean:</w:t>
      </w:r>
      <w:r>
        <w:t xml:space="preserve"> este tipo se utiliza para almacenar un valor booleano (verdadero / falso).</w:t>
      </w:r>
    </w:p>
    <w:p w14:paraId="6C12F722" w14:textId="77777777" w:rsidR="00FF760F" w:rsidRDefault="00FF760F" w:rsidP="00FF760F">
      <w:r w:rsidRPr="00FF760F">
        <w:rPr>
          <w:b/>
          <w:bCs/>
        </w:rPr>
        <w:t>Double:</w:t>
      </w:r>
      <w:r>
        <w:t xml:space="preserve"> este tipo se utiliza para almacenar valores de punto flotante.</w:t>
      </w:r>
    </w:p>
    <w:p w14:paraId="2E9FB74F" w14:textId="77777777" w:rsidR="00FF760F" w:rsidRDefault="00FF760F" w:rsidP="00FF760F">
      <w:r w:rsidRPr="00FF760F">
        <w:rPr>
          <w:b/>
          <w:bCs/>
        </w:rPr>
        <w:t>Min / Max:</w:t>
      </w:r>
      <w:r>
        <w:t xml:space="preserve"> este tipo se usa para comparar un valor con los elementos BSON más bajos y más altos.</w:t>
      </w:r>
    </w:p>
    <w:p w14:paraId="4048112A" w14:textId="77777777" w:rsidR="00FF760F" w:rsidRDefault="00FF760F" w:rsidP="00FF760F">
      <w:r w:rsidRPr="00FF760F">
        <w:rPr>
          <w:b/>
          <w:bCs/>
        </w:rPr>
        <w:t>Arrays:</w:t>
      </w:r>
      <w:r>
        <w:t xml:space="preserve"> este tipo se usa para almacenar arrays o listas o múltiples valores en una clave.</w:t>
      </w:r>
    </w:p>
    <w:p w14:paraId="27C74C54" w14:textId="77777777" w:rsidR="00FF760F" w:rsidRDefault="00FF760F" w:rsidP="00FF760F">
      <w:r w:rsidRPr="00FF760F">
        <w:rPr>
          <w:b/>
          <w:bCs/>
        </w:rPr>
        <w:t>Timestamp:</w:t>
      </w:r>
      <w:r>
        <w:t xml:space="preserve"> Marca de hora. Esto puede ser útil para grabar cuando un documento ha sido modificado o agregado.</w:t>
      </w:r>
    </w:p>
    <w:p w14:paraId="23C804B7" w14:textId="77777777" w:rsidR="00FF760F" w:rsidRDefault="00FF760F" w:rsidP="00FF760F">
      <w:r w:rsidRPr="00FF760F">
        <w:rPr>
          <w:b/>
          <w:bCs/>
        </w:rPr>
        <w:t>Object:</w:t>
      </w:r>
      <w:r>
        <w:t xml:space="preserve"> este tipo de datos se utiliza para documentos incrustados.</w:t>
      </w:r>
    </w:p>
    <w:p w14:paraId="4B699DEC" w14:textId="77777777" w:rsidR="00FF760F" w:rsidRDefault="00FF760F" w:rsidP="00FF760F">
      <w:r w:rsidRPr="00FF760F">
        <w:rPr>
          <w:b/>
          <w:bCs/>
        </w:rPr>
        <w:t>Null:</w:t>
      </w:r>
      <w:r>
        <w:t xml:space="preserve"> este tipo se utiliza para almacenar un valor nulo.</w:t>
      </w:r>
    </w:p>
    <w:p w14:paraId="1A99D99D" w14:textId="75559CB1" w:rsidR="00FF760F" w:rsidRDefault="00FF760F" w:rsidP="00FF760F">
      <w:r w:rsidRPr="00FF760F">
        <w:rPr>
          <w:b/>
          <w:bCs/>
        </w:rPr>
        <w:t>Symbol:</w:t>
      </w:r>
      <w:r>
        <w:t xml:space="preserve"> este tipo de datos se utiliza de forma idéntica a una cadena; sin embargo, generalmente se reserva para idiomas que usan un tipo de símbolo específico.</w:t>
      </w:r>
    </w:p>
    <w:p w14:paraId="2E852419" w14:textId="77777777" w:rsidR="00FF760F" w:rsidRDefault="00FF760F" w:rsidP="00FF760F">
      <w:r w:rsidRPr="00FF760F">
        <w:rPr>
          <w:b/>
          <w:bCs/>
        </w:rPr>
        <w:t>Date:</w:t>
      </w:r>
      <w:r>
        <w:t xml:space="preserve"> este tipo de datos se utiliza para almacenar la fecha u hora actual en formato de hora UNIX. Puede especificar su propia fecha y hora creando el objeto de Fecha y día, mes, año que pasa.</w:t>
      </w:r>
    </w:p>
    <w:p w14:paraId="44C6A188" w14:textId="77777777" w:rsidR="00FF760F" w:rsidRDefault="00FF760F" w:rsidP="00FF760F">
      <w:r w:rsidRPr="00FF760F">
        <w:rPr>
          <w:b/>
          <w:bCs/>
        </w:rPr>
        <w:t>ObjectId:</w:t>
      </w:r>
      <w:r>
        <w:t xml:space="preserve"> este tipo de datos se utiliza para almacenar la ID del documento.</w:t>
      </w:r>
    </w:p>
    <w:p w14:paraId="132FBF11" w14:textId="77777777" w:rsidR="00FF760F" w:rsidRDefault="00FF760F" w:rsidP="00FF760F">
      <w:r w:rsidRPr="00FF760F">
        <w:rPr>
          <w:b/>
          <w:bCs/>
        </w:rPr>
        <w:t>Binary:</w:t>
      </w:r>
      <w:r>
        <w:t xml:space="preserve"> este tipo de datos se utiliza para almacenar datos binarios.</w:t>
      </w:r>
    </w:p>
    <w:p w14:paraId="7069325A" w14:textId="065B5D65" w:rsidR="00FF760F" w:rsidRDefault="00FF760F" w:rsidP="00FF760F">
      <w:r w:rsidRPr="00FF760F">
        <w:rPr>
          <w:b/>
          <w:bCs/>
        </w:rPr>
        <w:t>Code:</w:t>
      </w:r>
      <w:r>
        <w:t xml:space="preserve"> este tipo de datos se utiliza para almacenar el código JavaScript en el documento.</w:t>
      </w:r>
    </w:p>
    <w:p w14:paraId="7A1A8F47" w14:textId="50737119" w:rsidR="00FF760F" w:rsidRDefault="00FF760F" w:rsidP="00FF760F">
      <w:r w:rsidRPr="00FF760F">
        <w:rPr>
          <w:b/>
          <w:bCs/>
        </w:rPr>
        <w:t>Regular Expression:</w:t>
      </w:r>
      <w:r w:rsidRPr="00FF760F">
        <w:t xml:space="preserve"> este tipo de datos se utiliza para almacenar expresiones regulares.</w:t>
      </w:r>
    </w:p>
    <w:p w14:paraId="77C6BDAC" w14:textId="77777777" w:rsidR="00FF760F" w:rsidRDefault="00FF760F" w:rsidP="00FF760F"/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>
        <w:tc>
          <w:tcPr>
            <w:tcW w:w="1933" w:type="dxa"/>
          </w:tcPr>
          <w:p w14:paraId="7C07D35C" w14:textId="77777777" w:rsidR="00845178" w:rsidRDefault="009D370F">
            <w:r>
              <w:t>$eq</w:t>
            </w:r>
          </w:p>
        </w:tc>
        <w:tc>
          <w:tcPr>
            <w:tcW w:w="2234" w:type="dxa"/>
          </w:tcPr>
          <w:p w14:paraId="53446768" w14:textId="50FE408E" w:rsidR="00845178" w:rsidRDefault="00440A6E">
            <w:r w:rsidRPr="00440A6E">
              <w:t>equal</w:t>
            </w:r>
          </w:p>
        </w:tc>
        <w:tc>
          <w:tcPr>
            <w:tcW w:w="4661" w:type="dxa"/>
          </w:tcPr>
          <w:p w14:paraId="023FEBB5" w14:textId="4BE8EB15" w:rsidR="00845178" w:rsidRDefault="00440A6E">
            <w:r w:rsidRPr="00440A6E">
              <w:t>Este operador coincide con los valores que son iguales al valor dado</w:t>
            </w:r>
          </w:p>
        </w:tc>
      </w:tr>
      <w:tr w:rsidR="00845178" w14:paraId="079CB14F" w14:textId="77777777">
        <w:tc>
          <w:tcPr>
            <w:tcW w:w="1933" w:type="dxa"/>
          </w:tcPr>
          <w:p w14:paraId="2CB5E5CA" w14:textId="77777777" w:rsidR="00845178" w:rsidRDefault="009D370F">
            <w:r>
              <w:lastRenderedPageBreak/>
              <w:t>$gt</w:t>
            </w:r>
          </w:p>
        </w:tc>
        <w:tc>
          <w:tcPr>
            <w:tcW w:w="2234" w:type="dxa"/>
          </w:tcPr>
          <w:p w14:paraId="593D3DF0" w14:textId="0B3693C0" w:rsidR="00845178" w:rsidRDefault="00440A6E">
            <w:r w:rsidRPr="00440A6E">
              <w:t>greater than</w:t>
            </w:r>
          </w:p>
        </w:tc>
        <w:tc>
          <w:tcPr>
            <w:tcW w:w="4661" w:type="dxa"/>
          </w:tcPr>
          <w:p w14:paraId="1D7E0BF0" w14:textId="696942D4" w:rsidR="00845178" w:rsidRDefault="00440A6E">
            <w:r w:rsidRPr="00440A6E">
              <w:t>Este operador coincide si los valores son mayores que el valor dado</w:t>
            </w:r>
          </w:p>
        </w:tc>
      </w:tr>
      <w:tr w:rsidR="00845178" w14:paraId="7DD4081F" w14:textId="77777777">
        <w:tc>
          <w:tcPr>
            <w:tcW w:w="1933" w:type="dxa"/>
          </w:tcPr>
          <w:p w14:paraId="214AE33E" w14:textId="77777777" w:rsidR="00845178" w:rsidRDefault="009D370F">
            <w:r>
              <w:t>$gte</w:t>
            </w:r>
          </w:p>
        </w:tc>
        <w:tc>
          <w:tcPr>
            <w:tcW w:w="2234" w:type="dxa"/>
          </w:tcPr>
          <w:p w14:paraId="50FC7633" w14:textId="3507E4A5" w:rsidR="00845178" w:rsidRDefault="00440A6E">
            <w:r w:rsidRPr="00440A6E">
              <w:t>greater than equal</w:t>
            </w:r>
          </w:p>
        </w:tc>
        <w:tc>
          <w:tcPr>
            <w:tcW w:w="4661" w:type="dxa"/>
          </w:tcPr>
          <w:p w14:paraId="004F509B" w14:textId="5DF72556" w:rsidR="00845178" w:rsidRDefault="00440A6E">
            <w:r w:rsidRPr="00440A6E">
              <w:t>Este operador coincide cuando los valores son mayores o iguales que el valor dado</w:t>
            </w:r>
          </w:p>
        </w:tc>
      </w:tr>
      <w:tr w:rsidR="00845178" w14:paraId="62A5E2B9" w14:textId="77777777">
        <w:tc>
          <w:tcPr>
            <w:tcW w:w="1933" w:type="dxa"/>
          </w:tcPr>
          <w:p w14:paraId="4A4887D8" w14:textId="77777777" w:rsidR="00845178" w:rsidRDefault="009D370F">
            <w:r>
              <w:t>$lt</w:t>
            </w:r>
          </w:p>
        </w:tc>
        <w:tc>
          <w:tcPr>
            <w:tcW w:w="2234" w:type="dxa"/>
          </w:tcPr>
          <w:p w14:paraId="5B9057FD" w14:textId="16F5ED17" w:rsidR="00845178" w:rsidRDefault="00440A6E">
            <w:r w:rsidRPr="00440A6E">
              <w:t>low than</w:t>
            </w:r>
          </w:p>
        </w:tc>
        <w:tc>
          <w:tcPr>
            <w:tcW w:w="4661" w:type="dxa"/>
          </w:tcPr>
          <w:p w14:paraId="4B8C5BAD" w14:textId="673CDAAE" w:rsidR="00845178" w:rsidRDefault="00440A6E">
            <w:r w:rsidRPr="00440A6E">
              <w:t>Este operador coincide si los valores son menores que el valor proporcionado</w:t>
            </w:r>
          </w:p>
        </w:tc>
      </w:tr>
      <w:tr w:rsidR="00845178" w14:paraId="7203F596" w14:textId="77777777">
        <w:tc>
          <w:tcPr>
            <w:tcW w:w="1933" w:type="dxa"/>
          </w:tcPr>
          <w:p w14:paraId="10F7BC1C" w14:textId="77777777" w:rsidR="00845178" w:rsidRDefault="009D370F">
            <w:r>
              <w:t>$lte</w:t>
            </w:r>
          </w:p>
        </w:tc>
        <w:tc>
          <w:tcPr>
            <w:tcW w:w="2234" w:type="dxa"/>
          </w:tcPr>
          <w:p w14:paraId="0AF83D0A" w14:textId="1837550B" w:rsidR="00845178" w:rsidRDefault="00440A6E">
            <w:r w:rsidRPr="00440A6E">
              <w:t xml:space="preserve">low </w:t>
            </w:r>
            <w:r>
              <w:t>tan equal</w:t>
            </w:r>
          </w:p>
        </w:tc>
        <w:tc>
          <w:tcPr>
            <w:tcW w:w="4661" w:type="dxa"/>
          </w:tcPr>
          <w:p w14:paraId="704A6B51" w14:textId="319024E4" w:rsidR="00845178" w:rsidRDefault="00440A6E">
            <w:r w:rsidRPr="00440A6E">
              <w:t>Este operador sólo coincide si los valores son menores o iguales que el valor dado</w:t>
            </w:r>
          </w:p>
        </w:tc>
      </w:tr>
      <w:tr w:rsidR="00845178" w14:paraId="7F899306" w14:textId="77777777">
        <w:tc>
          <w:tcPr>
            <w:tcW w:w="1933" w:type="dxa"/>
          </w:tcPr>
          <w:p w14:paraId="1CF182BD" w14:textId="77777777" w:rsidR="00845178" w:rsidRDefault="009D370F">
            <w:r>
              <w:t>$ne</w:t>
            </w:r>
          </w:p>
        </w:tc>
        <w:tc>
          <w:tcPr>
            <w:tcW w:w="2234" w:type="dxa"/>
          </w:tcPr>
          <w:p w14:paraId="78316140" w14:textId="6DF150D0" w:rsidR="00845178" w:rsidRDefault="00440A6E">
            <w:r w:rsidRPr="00440A6E">
              <w:t>not equal</w:t>
            </w:r>
          </w:p>
        </w:tc>
        <w:tc>
          <w:tcPr>
            <w:tcW w:w="4661" w:type="dxa"/>
          </w:tcPr>
          <w:p w14:paraId="196CD73A" w14:textId="6F215C91" w:rsidR="00845178" w:rsidRDefault="00F424BF">
            <w:r w:rsidRPr="00F424BF">
              <w:t>El operador $ne devuelve los documentos en los que el valor especificado no es igual</w:t>
            </w:r>
          </w:p>
        </w:tc>
      </w:tr>
      <w:tr w:rsidR="00845178" w14:paraId="014E53B8" w14:textId="77777777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234" w:type="dxa"/>
          </w:tcPr>
          <w:p w14:paraId="60EB9984" w14:textId="2F45AC3C" w:rsidR="00845178" w:rsidRDefault="00440A6E">
            <w:r>
              <w:t>in</w:t>
            </w:r>
          </w:p>
        </w:tc>
        <w:tc>
          <w:tcPr>
            <w:tcW w:w="4661" w:type="dxa"/>
          </w:tcPr>
          <w:p w14:paraId="496D4DCB" w14:textId="5AEE54DE" w:rsidR="00845178" w:rsidRDefault="00440A6E">
            <w:r w:rsidRPr="00440A6E">
              <w:t>Este operador devuelve los documentos que coinciden con los valores especificados</w:t>
            </w:r>
          </w:p>
        </w:tc>
      </w:tr>
      <w:tr w:rsidR="00845178" w14:paraId="290A3B54" w14:textId="77777777">
        <w:tc>
          <w:tcPr>
            <w:tcW w:w="1933" w:type="dxa"/>
          </w:tcPr>
          <w:p w14:paraId="34EE6DB2" w14:textId="77777777" w:rsidR="00845178" w:rsidRDefault="009D370F">
            <w:r>
              <w:t>$nin</w:t>
            </w:r>
          </w:p>
        </w:tc>
        <w:tc>
          <w:tcPr>
            <w:tcW w:w="2234" w:type="dxa"/>
          </w:tcPr>
          <w:p w14:paraId="39F313D1" w14:textId="2082EC51" w:rsidR="00845178" w:rsidRDefault="00440A6E">
            <w:r>
              <w:t>Not in</w:t>
            </w:r>
          </w:p>
        </w:tc>
        <w:tc>
          <w:tcPr>
            <w:tcW w:w="4661" w:type="dxa"/>
          </w:tcPr>
          <w:p w14:paraId="3D4C0936" w14:textId="4582CA81" w:rsidR="00845178" w:rsidRDefault="00F424BF">
            <w:r w:rsidRPr="00F424BF">
              <w:t>Este operador devuelve los documentos que no coinciden con los valores dados.</w:t>
            </w:r>
          </w:p>
        </w:tc>
      </w:tr>
      <w:tr w:rsidR="00845178" w14:paraId="6D8A8634" w14:textId="77777777">
        <w:tc>
          <w:tcPr>
            <w:tcW w:w="1933" w:type="dxa"/>
          </w:tcPr>
          <w:p w14:paraId="0892CFC6" w14:textId="77777777" w:rsidR="00845178" w:rsidRDefault="009D370F">
            <w:r>
              <w:t>$or</w:t>
            </w:r>
          </w:p>
        </w:tc>
        <w:tc>
          <w:tcPr>
            <w:tcW w:w="2234" w:type="dxa"/>
          </w:tcPr>
          <w:p w14:paraId="033992A2" w14:textId="2E3F1DC8" w:rsidR="00440A6E" w:rsidRDefault="00440A6E">
            <w:r>
              <w:t>Or</w:t>
            </w:r>
          </w:p>
        </w:tc>
        <w:tc>
          <w:tcPr>
            <w:tcW w:w="4661" w:type="dxa"/>
          </w:tcPr>
          <w:p w14:paraId="52BB1110" w14:textId="68C7A689" w:rsidR="00845178" w:rsidRDefault="00F424BF">
            <w:r w:rsidRPr="00F424BF">
              <w:t>Una condición «or» realiza una operación lógica «or» en una matriz de dos o más expresiones. Selecciona los documentos en los que al menos una de las expresiones es verdadera.</w:t>
            </w:r>
          </w:p>
        </w:tc>
      </w:tr>
      <w:tr w:rsidR="00845178" w14:paraId="75C0F6C3" w14:textId="77777777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234" w:type="dxa"/>
          </w:tcPr>
          <w:p w14:paraId="4491AC28" w14:textId="2F0A7264" w:rsidR="00845178" w:rsidRDefault="00440A6E">
            <w:r>
              <w:t>And</w:t>
            </w:r>
          </w:p>
        </w:tc>
        <w:tc>
          <w:tcPr>
            <w:tcW w:w="4661" w:type="dxa"/>
          </w:tcPr>
          <w:p w14:paraId="23866442" w14:textId="318823FD" w:rsidR="00845178" w:rsidRDefault="00F424BF">
            <w:r w:rsidRPr="00F424BF">
              <w:t>Una condición «and» realiza una operación lógica «and» en una matriz de dos o más expresiones. Selecciona los documentos en los que se cumplen todas las condiciones de las expresiones.</w:t>
            </w:r>
          </w:p>
        </w:tc>
      </w:tr>
      <w:tr w:rsidR="00845178" w14:paraId="4135A703" w14:textId="77777777">
        <w:tc>
          <w:tcPr>
            <w:tcW w:w="1933" w:type="dxa"/>
          </w:tcPr>
          <w:p w14:paraId="06C79F4A" w14:textId="77777777" w:rsidR="00845178" w:rsidRDefault="009D370F">
            <w:r>
              <w:t>$not</w:t>
            </w:r>
          </w:p>
        </w:tc>
        <w:tc>
          <w:tcPr>
            <w:tcW w:w="2234" w:type="dxa"/>
          </w:tcPr>
          <w:p w14:paraId="33368485" w14:textId="6C166BBD" w:rsidR="00845178" w:rsidRDefault="00440A6E">
            <w:r>
              <w:t>Not</w:t>
            </w:r>
          </w:p>
        </w:tc>
        <w:tc>
          <w:tcPr>
            <w:tcW w:w="4661" w:type="dxa"/>
          </w:tcPr>
          <w:p w14:paraId="4D86A35B" w14:textId="64AF8B17" w:rsidR="00845178" w:rsidRDefault="00F424BF">
            <w:r w:rsidRPr="00F424BF">
              <w:t>Este operador realiza una operación lógica de «not» en una matriz para la expresión especificada. A continuación, selecciona los documentos que no coinciden con las expresiones de la consulta. Esto incluye los documentos que no contienen el campo.</w:t>
            </w:r>
          </w:p>
        </w:tc>
      </w:tr>
      <w:tr w:rsidR="00845178" w14:paraId="043D0402" w14:textId="77777777">
        <w:tc>
          <w:tcPr>
            <w:tcW w:w="1933" w:type="dxa"/>
          </w:tcPr>
          <w:p w14:paraId="4254E679" w14:textId="77777777" w:rsidR="00845178" w:rsidRDefault="009D370F">
            <w:r>
              <w:t>$nor</w:t>
            </w:r>
          </w:p>
        </w:tc>
        <w:tc>
          <w:tcPr>
            <w:tcW w:w="2234" w:type="dxa"/>
          </w:tcPr>
          <w:p w14:paraId="4E1A7544" w14:textId="0ABB40EC" w:rsidR="00845178" w:rsidRDefault="00440A6E">
            <w:r>
              <w:t>nor</w:t>
            </w:r>
          </w:p>
        </w:tc>
        <w:tc>
          <w:tcPr>
            <w:tcW w:w="4661" w:type="dxa"/>
          </w:tcPr>
          <w:p w14:paraId="68118C37" w14:textId="4F17BCE3" w:rsidR="00845178" w:rsidRDefault="00F424BF">
            <w:r w:rsidRPr="00F424BF">
              <w:t>Este operador realiza una operación lógica «nor» en una matriz utilizando una o varias expresiones. A continuación, selecciona los documentos que no cumplen las expresiones de la consulta. En términos más sencillos, hace lo contrario de la condición $or.</w:t>
            </w:r>
          </w:p>
        </w:tc>
      </w:tr>
      <w:tr w:rsidR="00845178" w14:paraId="472692D9" w14:textId="77777777">
        <w:tc>
          <w:tcPr>
            <w:tcW w:w="1933" w:type="dxa"/>
          </w:tcPr>
          <w:p w14:paraId="33CF7507" w14:textId="77777777" w:rsidR="00845178" w:rsidRDefault="009D370F">
            <w:r>
              <w:t>$exists</w:t>
            </w:r>
          </w:p>
        </w:tc>
        <w:tc>
          <w:tcPr>
            <w:tcW w:w="2234" w:type="dxa"/>
          </w:tcPr>
          <w:p w14:paraId="38C95F24" w14:textId="1B23E28D" w:rsidR="00845178" w:rsidRDefault="00440A6E">
            <w:r>
              <w:t>exists</w:t>
            </w:r>
          </w:p>
        </w:tc>
        <w:tc>
          <w:tcPr>
            <w:tcW w:w="4661" w:type="dxa"/>
          </w:tcPr>
          <w:p w14:paraId="2053BA80" w14:textId="3692D40D" w:rsidR="00845178" w:rsidRDefault="00F424BF">
            <w:r w:rsidRPr="00F424BF">
              <w:t>Este operador coincide con los documentos que tienen un campo especificado. Este operador tiene un valor booleano que puede ser true o false.</w:t>
            </w:r>
          </w:p>
        </w:tc>
      </w:tr>
      <w:tr w:rsidR="00845178" w14:paraId="467D2FD3" w14:textId="77777777">
        <w:tc>
          <w:tcPr>
            <w:tcW w:w="1933" w:type="dxa"/>
          </w:tcPr>
          <w:p w14:paraId="2DDC5A36" w14:textId="77777777" w:rsidR="00845178" w:rsidRDefault="009D370F">
            <w:r>
              <w:t>$type</w:t>
            </w:r>
          </w:p>
        </w:tc>
        <w:tc>
          <w:tcPr>
            <w:tcW w:w="2234" w:type="dxa"/>
          </w:tcPr>
          <w:p w14:paraId="797D991D" w14:textId="6F4FEDC2" w:rsidR="00845178" w:rsidRDefault="00440A6E">
            <w:r>
              <w:t>type</w:t>
            </w:r>
          </w:p>
        </w:tc>
        <w:tc>
          <w:tcPr>
            <w:tcW w:w="4661" w:type="dxa"/>
          </w:tcPr>
          <w:p w14:paraId="6267E305" w14:textId="6BF27EB8" w:rsidR="00845178" w:rsidRDefault="00F424BF">
            <w:r w:rsidRPr="00F424BF">
              <w:t>Este operador hace coincidir los documentos según el tipo de campo especificado. Es útil cuando tienes datos muy desestructurados, o cuando los tipos de datos no son predecibles. Estos tipos de campo son tipos BSON especificados y pueden definirse por número de tipo o por alias.</w:t>
            </w:r>
          </w:p>
        </w:tc>
      </w:tr>
      <w:tr w:rsidR="00845178" w14:paraId="6C80795B" w14:textId="77777777">
        <w:tc>
          <w:tcPr>
            <w:tcW w:w="1933" w:type="dxa"/>
          </w:tcPr>
          <w:p w14:paraId="4BA098E7" w14:textId="77777777" w:rsidR="00845178" w:rsidRDefault="009D370F">
            <w:r>
              <w:lastRenderedPageBreak/>
              <w:t>$mod</w:t>
            </w:r>
          </w:p>
        </w:tc>
        <w:tc>
          <w:tcPr>
            <w:tcW w:w="2234" w:type="dxa"/>
          </w:tcPr>
          <w:p w14:paraId="6B16BB4B" w14:textId="7D912E95" w:rsidR="00845178" w:rsidRDefault="00F424BF">
            <w:r>
              <w:t>mod</w:t>
            </w:r>
            <w:r w:rsidR="00FF760F">
              <w:t>ule</w:t>
            </w:r>
          </w:p>
        </w:tc>
        <w:tc>
          <w:tcPr>
            <w:tcW w:w="4661" w:type="dxa"/>
          </w:tcPr>
          <w:p w14:paraId="621C233B" w14:textId="020D19C7" w:rsidR="00845178" w:rsidRDefault="00F424BF">
            <w:r w:rsidRPr="00F424BF">
              <w:t>Puedes utilizar este operador para hacer coincidir los documentos en los que el valor de un campo especificado es igual al resto después de ser dividido por un valor especificado</w:t>
            </w:r>
          </w:p>
        </w:tc>
      </w:tr>
      <w:tr w:rsidR="00845178" w14:paraId="5EAA3DC2" w14:textId="77777777">
        <w:tc>
          <w:tcPr>
            <w:tcW w:w="1933" w:type="dxa"/>
          </w:tcPr>
          <w:p w14:paraId="17BC799E" w14:textId="77777777" w:rsidR="00845178" w:rsidRDefault="009D370F">
            <w:r>
              <w:t>$regex</w:t>
            </w:r>
          </w:p>
        </w:tc>
        <w:tc>
          <w:tcPr>
            <w:tcW w:w="2234" w:type="dxa"/>
          </w:tcPr>
          <w:p w14:paraId="3492690F" w14:textId="1488CB8C" w:rsidR="00845178" w:rsidRDefault="00F424BF">
            <w:r>
              <w:t>Regular expression</w:t>
            </w:r>
          </w:p>
        </w:tc>
        <w:tc>
          <w:tcPr>
            <w:tcW w:w="4661" w:type="dxa"/>
          </w:tcPr>
          <w:p w14:paraId="6FD522F0" w14:textId="19CDF28A" w:rsidR="00845178" w:rsidRDefault="00F424BF">
            <w:r w:rsidRPr="00F424BF">
              <w:t>El operador $regex ofrece la posibilidad de utilizar expresiones regulares para hacer coincidir cadenas con patrones en las consultas. MongoDB aprovecha las expresiones regulares que son compatibles con Perl</w:t>
            </w:r>
          </w:p>
        </w:tc>
      </w:tr>
      <w:tr w:rsidR="00845178" w14:paraId="694FE2DD" w14:textId="77777777">
        <w:tc>
          <w:tcPr>
            <w:tcW w:w="1933" w:type="dxa"/>
          </w:tcPr>
          <w:p w14:paraId="44101CF5" w14:textId="77777777" w:rsidR="00845178" w:rsidRDefault="009D370F">
            <w:r>
              <w:t>$elemMatch</w:t>
            </w:r>
          </w:p>
        </w:tc>
        <w:tc>
          <w:tcPr>
            <w:tcW w:w="2234" w:type="dxa"/>
          </w:tcPr>
          <w:p w14:paraId="3933C8E8" w14:textId="749E0834" w:rsidR="00845178" w:rsidRDefault="00F424BF">
            <w:r>
              <w:t>Elements match</w:t>
            </w:r>
          </w:p>
        </w:tc>
        <w:tc>
          <w:tcPr>
            <w:tcW w:w="4661" w:type="dxa"/>
          </w:tcPr>
          <w:p w14:paraId="12AF4752" w14:textId="4B7E7477" w:rsidR="00845178" w:rsidRDefault="00F424BF">
            <w:r w:rsidRPr="00F424BF">
              <w:t>El operador $elemMatch coincide con los documentos que contienen un campo de matriz con al menos un elemento que coincide con todos los criterios de consulta especificados</w:t>
            </w:r>
          </w:p>
        </w:tc>
      </w:tr>
      <w:tr w:rsidR="00845178" w14:paraId="6F94D234" w14:textId="77777777">
        <w:tc>
          <w:tcPr>
            <w:tcW w:w="1933" w:type="dxa"/>
          </w:tcPr>
          <w:p w14:paraId="38BF1C77" w14:textId="77777777" w:rsidR="00845178" w:rsidRDefault="009D370F">
            <w:r>
              <w:t>$size</w:t>
            </w:r>
          </w:p>
        </w:tc>
        <w:tc>
          <w:tcPr>
            <w:tcW w:w="2234" w:type="dxa"/>
          </w:tcPr>
          <w:p w14:paraId="16B3D574" w14:textId="5C6515C9" w:rsidR="00845178" w:rsidRDefault="00F424BF">
            <w:r>
              <w:t>size</w:t>
            </w:r>
          </w:p>
        </w:tc>
        <w:tc>
          <w:tcPr>
            <w:tcW w:w="4661" w:type="dxa"/>
          </w:tcPr>
          <w:p w14:paraId="0C107CEA" w14:textId="70426BEC" w:rsidR="00845178" w:rsidRDefault="00F424BF">
            <w:r w:rsidRPr="00F424BF">
              <w:t>El operador $size devuelve aquellos documentos en los que el tamaño de la matriz coincide con el número de elementos especificado en el argumento</w:t>
            </w: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DE81" w14:textId="77777777" w:rsidR="00D65465" w:rsidRDefault="00D65465" w:rsidP="007E0CCA">
      <w:pPr>
        <w:spacing w:after="0" w:line="240" w:lineRule="auto"/>
      </w:pPr>
      <w:r>
        <w:separator/>
      </w:r>
    </w:p>
  </w:endnote>
  <w:endnote w:type="continuationSeparator" w:id="0">
    <w:p w14:paraId="3056E1CD" w14:textId="77777777" w:rsidR="00D65465" w:rsidRDefault="00D65465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483D" w14:textId="77777777" w:rsidR="00D65465" w:rsidRDefault="00D65465" w:rsidP="007E0CCA">
      <w:pPr>
        <w:spacing w:after="0" w:line="240" w:lineRule="auto"/>
      </w:pPr>
      <w:r>
        <w:separator/>
      </w:r>
    </w:p>
  </w:footnote>
  <w:footnote w:type="continuationSeparator" w:id="0">
    <w:p w14:paraId="483381E0" w14:textId="77777777" w:rsidR="00D65465" w:rsidRDefault="00D65465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A4E9" w14:textId="77777777" w:rsidR="007E0CCA" w:rsidRDefault="007E0CCA" w:rsidP="007E0CC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8680D5" wp14:editId="73095866">
          <wp:simplePos x="0" y="0"/>
          <wp:positionH relativeFrom="column">
            <wp:posOffset>2687458</wp:posOffset>
          </wp:positionH>
          <wp:positionV relativeFrom="paragraph">
            <wp:posOffset>-316948</wp:posOffset>
          </wp:positionV>
          <wp:extent cx="3874770" cy="762000"/>
          <wp:effectExtent l="0" t="0" r="0" b="0"/>
          <wp:wrapSquare wrapText="bothSides"/>
          <wp:docPr id="5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077"/>
                  <a:stretch>
                    <a:fillRect/>
                  </a:stretch>
                </pic:blipFill>
                <pic:spPr bwMode="auto">
                  <a:xfrm>
                    <a:off x="0" y="0"/>
                    <a:ext cx="387477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89125FC" wp14:editId="036B01CD">
          <wp:simplePos x="0" y="0"/>
          <wp:positionH relativeFrom="page">
            <wp:posOffset>-304800</wp:posOffset>
          </wp:positionH>
          <wp:positionV relativeFrom="paragraph">
            <wp:posOffset>-229235</wp:posOffset>
          </wp:positionV>
          <wp:extent cx="4026535" cy="647700"/>
          <wp:effectExtent l="0" t="0" r="0" b="0"/>
          <wp:wrapNone/>
          <wp:docPr id="6" name="Imagen 6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ncabezado-excel-sig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40265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440A6E"/>
    <w:rsid w:val="005632EA"/>
    <w:rsid w:val="007E0CCA"/>
    <w:rsid w:val="00845178"/>
    <w:rsid w:val="009507F3"/>
    <w:rsid w:val="009D370F"/>
    <w:rsid w:val="00B01E8D"/>
    <w:rsid w:val="00CA1319"/>
    <w:rsid w:val="00D65465"/>
    <w:rsid w:val="00EE3804"/>
    <w:rsid w:val="00F424BF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César José Jose Ortiz Sabogal</cp:lastModifiedBy>
  <cp:revision>7</cp:revision>
  <dcterms:created xsi:type="dcterms:W3CDTF">2021-10-19T12:08:00Z</dcterms:created>
  <dcterms:modified xsi:type="dcterms:W3CDTF">2024-10-30T12:18:00Z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