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4E2" w:rsidRDefault="00B26AAD">
      <w:pPr>
        <w:pStyle w:val="Title"/>
      </w:pPr>
      <w:r>
        <w:t>Equivalence Testing for Psychological Research: A Tutorial</w:t>
      </w:r>
    </w:p>
    <w:tbl>
      <w:tblPr>
        <w:tblW w:w="5000" w:type="pct"/>
        <w:tblLook w:val="04A0" w:firstRow="1" w:lastRow="0" w:firstColumn="1" w:lastColumn="0" w:noHBand="0" w:noVBand="1"/>
      </w:tblPr>
      <w:tblGrid>
        <w:gridCol w:w="9072"/>
      </w:tblGrid>
      <w:tr w:rsidR="00D674E2">
        <w:tc>
          <w:tcPr>
            <w:tcW w:w="0" w:type="auto"/>
          </w:tcPr>
          <w:p w:rsidR="00D674E2" w:rsidRDefault="00780F95">
            <w:pPr>
              <w:pStyle w:val="Compact"/>
              <w:jc w:val="center"/>
            </w:pPr>
            <w:proofErr w:type="spellStart"/>
            <w:r>
              <w:t>Danië</w:t>
            </w:r>
            <w:r w:rsidR="00B26AAD">
              <w:t>l</w:t>
            </w:r>
            <w:proofErr w:type="spellEnd"/>
            <w:r w:rsidR="00B26AAD">
              <w:t xml:space="preserve"> Lakens</w:t>
            </w:r>
            <w:r w:rsidR="00B26AAD">
              <w:rPr>
                <w:vertAlign w:val="superscript"/>
              </w:rPr>
              <w:t>1</w:t>
            </w:r>
            <w:r w:rsidR="00B26AAD">
              <w:t>, Anne M. Scheel</w:t>
            </w:r>
            <w:r w:rsidR="00B26AAD">
              <w:rPr>
                <w:vertAlign w:val="superscript"/>
              </w:rPr>
              <w:t>1</w:t>
            </w:r>
            <w:r w:rsidR="00B26AAD">
              <w:t xml:space="preserve">, &amp; </w:t>
            </w:r>
            <w:proofErr w:type="spellStart"/>
            <w:r w:rsidR="00B26AAD">
              <w:t>Peder</w:t>
            </w:r>
            <w:proofErr w:type="spellEnd"/>
            <w:r w:rsidR="00B26AAD">
              <w:t xml:space="preserve"> M. Isager</w:t>
            </w:r>
            <w:r w:rsidR="00B26AAD">
              <w:rPr>
                <w:vertAlign w:val="superscript"/>
              </w:rPr>
              <w:t>1</w:t>
            </w:r>
          </w:p>
        </w:tc>
      </w:tr>
      <w:tr w:rsidR="00D674E2">
        <w:tc>
          <w:tcPr>
            <w:tcW w:w="0" w:type="auto"/>
          </w:tcPr>
          <w:p w:rsidR="00D674E2" w:rsidRDefault="00B26AAD">
            <w:pPr>
              <w:pStyle w:val="Compact"/>
              <w:jc w:val="center"/>
            </w:pPr>
            <w:r>
              <w:t>                                                                                                                                                    </w:t>
            </w:r>
          </w:p>
        </w:tc>
      </w:tr>
      <w:tr w:rsidR="00D674E2">
        <w:tc>
          <w:tcPr>
            <w:tcW w:w="0" w:type="auto"/>
          </w:tcPr>
          <w:p w:rsidR="00D674E2" w:rsidRDefault="00B26AAD">
            <w:pPr>
              <w:pStyle w:val="Compact"/>
              <w:jc w:val="center"/>
            </w:pPr>
            <w:r>
              <w:rPr>
                <w:vertAlign w:val="superscript"/>
              </w:rPr>
              <w:t>1</w:t>
            </w:r>
            <w:r>
              <w:t xml:space="preserve"> Eindhoven University of Technology</w:t>
            </w:r>
          </w:p>
        </w:tc>
      </w:tr>
      <w:tr w:rsidR="00D674E2">
        <w:tc>
          <w:tcPr>
            <w:tcW w:w="0" w:type="auto"/>
          </w:tcPr>
          <w:p w:rsidR="00D674E2" w:rsidRDefault="00B26AAD">
            <w:pPr>
              <w:pStyle w:val="Compact"/>
              <w:jc w:val="center"/>
            </w:pPr>
            <w:r>
              <w:t>                                                                                                                                                    </w:t>
            </w:r>
          </w:p>
        </w:tc>
      </w:tr>
      <w:tr w:rsidR="00D674E2">
        <w:tc>
          <w:tcPr>
            <w:tcW w:w="0" w:type="auto"/>
          </w:tcPr>
          <w:p w:rsidR="00D674E2" w:rsidRDefault="00D674E2">
            <w:pPr>
              <w:pStyle w:val="Compact"/>
              <w:jc w:val="center"/>
            </w:pPr>
          </w:p>
        </w:tc>
      </w:tr>
    </w:tbl>
    <w:p w:rsidR="00D674E2" w:rsidRDefault="00B26AAD">
      <w:pPr>
        <w:pStyle w:val="BodyText"/>
      </w:pPr>
      <w:r>
        <w:t> </w:t>
      </w:r>
    </w:p>
    <w:p w:rsidR="00D674E2" w:rsidRDefault="00B26AAD">
      <w:pPr>
        <w:pStyle w:val="Heading11"/>
      </w:pPr>
      <w:bookmarkStart w:id="0" w:name="author-note"/>
      <w:bookmarkEnd w:id="0"/>
      <w:r>
        <w:t>Author note</w:t>
      </w:r>
    </w:p>
    <w:p w:rsidR="00D674E2" w:rsidRDefault="00B26AAD">
      <w:r>
        <w:t xml:space="preserve">Correspondence concerning this article should be addressed to </w:t>
      </w:r>
      <w:proofErr w:type="spellStart"/>
      <w:r>
        <w:t>Dani</w:t>
      </w:r>
      <w:r w:rsidR="00780F95">
        <w:t>ë</w:t>
      </w:r>
      <w:r>
        <w:t>l</w:t>
      </w:r>
      <w:proofErr w:type="spellEnd"/>
      <w:r>
        <w:t xml:space="preserve"> Lakens, Den </w:t>
      </w:r>
      <w:proofErr w:type="spellStart"/>
      <w:r>
        <w:t>Dolech</w:t>
      </w:r>
      <w:proofErr w:type="spellEnd"/>
      <w:r>
        <w:t xml:space="preserve"> 1, IPO 1.33, 5600 MB, Eindhoven, </w:t>
      </w:r>
      <w:proofErr w:type="gramStart"/>
      <w:r>
        <w:t>The</w:t>
      </w:r>
      <w:proofErr w:type="gramEnd"/>
      <w:r>
        <w:t xml:space="preserve"> Netherlands. E-mail: </w:t>
      </w:r>
      <w:hyperlink r:id="rId7">
        <w:r>
          <w:t>D.Lakens@tue.nl</w:t>
        </w:r>
      </w:hyperlink>
    </w:p>
    <w:p w:rsidR="00D674E2" w:rsidRDefault="00B26AAD">
      <w:pPr>
        <w:pStyle w:val="BodyText"/>
      </w:pPr>
      <w:r>
        <w:t> </w:t>
      </w:r>
    </w:p>
    <w:p w:rsidR="00D674E2" w:rsidRDefault="00B26AAD" w:rsidP="00780F95">
      <w:pPr>
        <w:pStyle w:val="BodyText"/>
      </w:pPr>
      <w:r>
        <w:t> </w:t>
      </w:r>
    </w:p>
    <w:p w:rsidR="00D674E2" w:rsidRDefault="00B26AAD">
      <w:pPr>
        <w:pStyle w:val="Heading11"/>
      </w:pPr>
      <w:bookmarkStart w:id="1" w:name="abstract"/>
      <w:bookmarkEnd w:id="1"/>
      <w:r>
        <w:t>Abstract</w:t>
      </w:r>
    </w:p>
    <w:p w:rsidR="00D674E2" w:rsidRDefault="00B26AAD">
      <w:r>
        <w:t xml:space="preserve">Psychologists must be able to test both for the presence of an effect and for the absence of an effect. In addition to testing against zero, researchers can use the Two One-Sided Tests (TOST) procedure to test for </w:t>
      </w:r>
      <w:r>
        <w:rPr>
          <w:i/>
        </w:rPr>
        <w:t>equivalence</w:t>
      </w:r>
      <w:r>
        <w:t xml:space="preserve"> and reject the presence of a smallest effect size of interest (SESOI). The two one-sided tests procedure can be used to determine if an observed effect is surprisingly small, given that a true effect at least as large as the SESOI exists. We explain a range of approaches to determine the SESOI in psychological science, and provide detailed examples of how equivalence tests should be performed and reported. Equivalence tests are an important extension of statistical tools psychologists currently use, and enable researchers to falsify predictions about the presence, and declare the absence, of meaningful effects.</w:t>
      </w:r>
    </w:p>
    <w:p w:rsidR="00D674E2" w:rsidRDefault="00B26AAD">
      <w:pPr>
        <w:pStyle w:val="BodyText"/>
      </w:pPr>
      <w:r>
        <w:rPr>
          <w:i/>
        </w:rPr>
        <w:t>Keywords:</w:t>
      </w:r>
      <w:r>
        <w:t xml:space="preserve"> Equivalence </w:t>
      </w:r>
      <w:proofErr w:type="gramStart"/>
      <w:r>
        <w:t>Testing</w:t>
      </w:r>
      <w:proofErr w:type="gramEnd"/>
      <w:r>
        <w:t>, null-hypothesis significance test, power, TOST, falsification.</w:t>
      </w:r>
    </w:p>
    <w:p w:rsidR="00D674E2" w:rsidRDefault="00B26AAD" w:rsidP="00780F95">
      <w:pPr>
        <w:pStyle w:val="BodyText"/>
      </w:pPr>
      <w:r>
        <w:t>Word count: 5545</w:t>
      </w:r>
    </w:p>
    <w:p w:rsidR="00D674E2" w:rsidRDefault="00B26AAD">
      <w:pPr>
        <w:pStyle w:val="BodyText"/>
      </w:pPr>
      <w:r>
        <w:t> </w:t>
      </w:r>
    </w:p>
    <w:p w:rsidR="00D674E2" w:rsidRDefault="00B26AAD">
      <w:pPr>
        <w:pStyle w:val="Heading11"/>
      </w:pPr>
      <w:bookmarkStart w:id="2" w:name="equivalence-testing-for-psychological-re"/>
      <w:bookmarkEnd w:id="2"/>
      <w:r>
        <w:lastRenderedPageBreak/>
        <w:t>Equivalence Testing for Psychological Research: A Tutorial</w:t>
      </w:r>
    </w:p>
    <w:p w:rsidR="00D674E2" w:rsidRDefault="00B26AAD">
      <w:r>
        <w:t xml:space="preserve">Psychologists should be able to falsify predictions. A common prediction in psychological research is that an effect that differs from zero exists in the population. For example, we might predict that priming American Asian women with their Asian identity will increase their performance on a math test compared to women who are primed with their female identity. To be able to design a study that allows for strong inferences (Platt, 1964), it is important to specify which test result would </w:t>
      </w:r>
      <w:r>
        <w:rPr>
          <w:i/>
        </w:rPr>
        <w:t>falsify</w:t>
      </w:r>
      <w:r>
        <w:t xml:space="preserve"> this hypothesis.</w:t>
      </w:r>
    </w:p>
    <w:p w:rsidR="00D674E2" w:rsidRDefault="00B26AAD">
      <w:pPr>
        <w:pStyle w:val="BodyText"/>
      </w:pPr>
      <w:r>
        <w:t xml:space="preserve">Equivalence testing can be used to test whether an observed effect is surprisingly small, assuming a meaningful effect exists in the population (see for example </w:t>
      </w:r>
      <w:proofErr w:type="spellStart"/>
      <w:r>
        <w:t>Goertzen</w:t>
      </w:r>
      <w:proofErr w:type="spellEnd"/>
      <w:r>
        <w:t xml:space="preserve"> &amp; </w:t>
      </w:r>
      <w:proofErr w:type="spellStart"/>
      <w:r>
        <w:t>Cribbie</w:t>
      </w:r>
      <w:proofErr w:type="spellEnd"/>
      <w:r>
        <w:t xml:space="preserve">, 2010; </w:t>
      </w:r>
      <w:proofErr w:type="spellStart"/>
      <w:r>
        <w:t>Meyners</w:t>
      </w:r>
      <w:proofErr w:type="spellEnd"/>
      <w:r>
        <w:t xml:space="preserve">, 2012; </w:t>
      </w:r>
      <w:proofErr w:type="spellStart"/>
      <w:r>
        <w:t>Quertemont</w:t>
      </w:r>
      <w:proofErr w:type="spellEnd"/>
      <w:r>
        <w:t xml:space="preserve">, 2011; Rogers, Howard, &amp; </w:t>
      </w:r>
      <w:proofErr w:type="spellStart"/>
      <w:r>
        <w:t>Vessey</w:t>
      </w:r>
      <w:proofErr w:type="spellEnd"/>
      <w:r>
        <w:t>, 1993). The test is a simple variation of widely used null hypothesis significance tests. To understand the idea behind equivalence tests, it is useful to realize the null hypothesis we test against can be any numerical value. When we compare two groups, we often test whether we can reject that the difference between these groups is zero (see Figure 1A), but we may sometimes want to reject other values than zero. Imagine a researcher who is interested in voluntary participation in a national program to train young infants’ motor skills. The researcher wants to test whether more boys than girls are brought into the program by their parents. Because the human sex ratio of newborn boys to girls is not exactly 1:1, we should not expect 50% of participants to be boys. On average, 103 boys are born for every 100 girls (United States &amp; Central Intelligence Agency, 2016), so approximately 50.74% of applicants should be boys, and 49.26% should be girls. If boys and girls were exactly equally likely to be brought into the program by their parents, we would not expect a difference of zero, but 50.74% - 49.26% = 1.5% more boys. Rather than testing against a null hypothesis of 0 difference, the researcher tests against a null hypothesis of 0.015.</w:t>
      </w:r>
    </w:p>
    <w:p w:rsidR="00D674E2" w:rsidRDefault="00B26AAD">
      <w:pPr>
        <w:pStyle w:val="BodyText"/>
      </w:pPr>
      <w:r>
        <w:t xml:space="preserve">Alternatively, the researcher could decide that even if the true ratio in the population is not exactly 0.015, the null hypothesis should consist of a range of values around the difference in proportions of 0.015 that can be considered trivially small. The researcher could for example test if the difference is smaller than -0.005, or larger than 0.035. This test against two bounds, with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being a range rather than one value (see Figure 1B), is known as a </w:t>
      </w:r>
      <w:r>
        <w:rPr>
          <w:i/>
        </w:rPr>
        <w:t>minimal effects test</w:t>
      </w:r>
      <w:r>
        <w:t xml:space="preserve"> (Murphy, </w:t>
      </w:r>
      <w:proofErr w:type="spellStart"/>
      <w:r>
        <w:t>Myors</w:t>
      </w:r>
      <w:proofErr w:type="spellEnd"/>
      <w:r>
        <w:t xml:space="preserve">, &amp; </w:t>
      </w:r>
      <w:proofErr w:type="spellStart"/>
      <w:r>
        <w:t>Wolach</w:t>
      </w:r>
      <w:proofErr w:type="spellEnd"/>
      <w:r>
        <w:t>, 2014).</w:t>
      </w:r>
    </w:p>
    <w:p w:rsidR="00D674E2" w:rsidRDefault="00B26AAD">
      <w:pPr>
        <w:pStyle w:val="BodyText"/>
      </w:pPr>
      <w:r>
        <w:rPr>
          <w:i/>
        </w:rPr>
        <w:t>Equivalence tests</w:t>
      </w:r>
      <w:r>
        <w:t xml:space="preserve"> can be seen as the opposite of minimal effects tests: They examine whether the presence of effects that are large enough to be considered meaningful can be </w:t>
      </w:r>
      <w:r>
        <w:rPr>
          <w:i/>
        </w:rPr>
        <w:lastRenderedPageBreak/>
        <w:t>rejected</w:t>
      </w:r>
      <w:r>
        <w:t xml:space="preserve"> (see Figure 1C). Note that when a meaningful effect can be rejected, it does not imply there is no effect at all. In our example, the researcher can perform an equivalence test to examine whether the gender difference in participants is </w:t>
      </w:r>
      <w:r>
        <w:rPr>
          <w:i/>
        </w:rPr>
        <w:t>not</w:t>
      </w:r>
      <w:r>
        <w:t xml:space="preserve"> as </w:t>
      </w:r>
      <w:proofErr w:type="gramStart"/>
      <w:r>
        <w:t>extreme or</w:t>
      </w:r>
      <w:proofErr w:type="gramEnd"/>
      <w:r>
        <w:t xml:space="preserve"> more extreme than the </w:t>
      </w:r>
      <w:r>
        <w:rPr>
          <w:i/>
        </w:rPr>
        <w:t>smallest effect size of interest</w:t>
      </w:r>
      <w:r>
        <w:t xml:space="preserve"> (SESOI). After an extensive discussion with experts, the researcher decides that as long as the difference in proportions does not deviate from the population gender ratio by more than 6%, the gender difference is too small to care about. Given an expected true difference in the population of 0.015, the researcher will test if the observed difference falls outside the boundary values (or </w:t>
      </w:r>
      <w:r>
        <w:rPr>
          <w:i/>
        </w:rPr>
        <w:t>equivalence bounds</w:t>
      </w:r>
      <w:r>
        <w:t>) of -0.055 and 0.075. If differences more extreme than these boundary values can be rejected in two one-sided tests (TOST), the researcher will conclude statistical equivalence, the gender difference will be considered trivially small, and no money will be spent on addressing a gender difference in participation.</w:t>
      </w:r>
    </w:p>
    <w:p w:rsidR="00D674E2" w:rsidRDefault="00B26AAD">
      <w:pPr>
        <w:pStyle w:val="BodyText"/>
      </w:pPr>
      <w:r>
        <w:t xml:space="preserve">In any one-sided test, for an alpha level of 5%, we can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when the 90% confidence interval around the observed estimate is in the predicted direction, and does not contain the value tested against (e.g., 0). In the two one-sided tests procedure, the first one-sided test is u</w:t>
      </w:r>
      <w:proofErr w:type="spellStart"/>
      <w:r>
        <w:t>sed</w:t>
      </w:r>
      <w:proofErr w:type="spellEnd"/>
      <w:r>
        <w:t xml:space="preserve"> to test against values smaller than the lower equivalence bound (</w:t>
      </w:r>
      <m:oMath>
        <m:sSub>
          <m:sSubPr>
            <m:ctrlPr>
              <w:rPr>
                <w:rFonts w:ascii="Cambria Math" w:hAnsi="Cambria Math"/>
              </w:rPr>
            </m:ctrlPr>
          </m:sSubPr>
          <m:e>
            <m:r>
              <w:rPr>
                <w:rFonts w:ascii="Cambria Math" w:hAnsi="Cambria Math"/>
              </w:rPr>
              <m:t>Δ</m:t>
            </m:r>
          </m:e>
          <m:sub>
            <m:r>
              <w:rPr>
                <w:rFonts w:ascii="Cambria Math" w:hAnsi="Cambria Math"/>
              </w:rPr>
              <m:t>L</m:t>
            </m:r>
          </m:sub>
        </m:sSub>
      </m:oMath>
      <w:r>
        <w:t>), and the second one-sided test is used to test against values larger than the upper equivalence bound (</w:t>
      </w:r>
      <m:oMath>
        <m:sSub>
          <m:sSubPr>
            <m:ctrlPr>
              <w:rPr>
                <w:rFonts w:ascii="Cambria Math" w:hAnsi="Cambria Math"/>
              </w:rPr>
            </m:ctrlPr>
          </m:sSubPr>
          <m:e>
            <m:r>
              <w:rPr>
                <w:rFonts w:ascii="Cambria Math" w:hAnsi="Cambria Math"/>
              </w:rPr>
              <m:t>Δ</m:t>
            </m:r>
          </m:e>
          <m:sub>
            <m:r>
              <w:rPr>
                <w:rFonts w:ascii="Cambria Math" w:hAnsi="Cambria Math"/>
              </w:rPr>
              <m:t>U</m:t>
            </m:r>
          </m:sub>
        </m:sSub>
      </m:oMath>
      <w:r>
        <w:t>). Even though the TOST procedure consists of two one-sided tests, it is n</w:t>
      </w:r>
      <w:proofErr w:type="spellStart"/>
      <w:r>
        <w:t>ot</w:t>
      </w:r>
      <w:proofErr w:type="spellEnd"/>
      <w:r>
        <w:t xml:space="preserve"> necessary to control for multiple comparisons because both tests need to be statistically significant to conclude equivalence. Consequently, when reporting an equivalence test, it suffices to report the one-sided test with the smaller test parameter (e.g. </w:t>
      </w:r>
      <m:oMath>
        <m:r>
          <w:rPr>
            <w:rFonts w:ascii="Cambria Math" w:hAnsi="Cambria Math"/>
          </w:rPr>
          <m:t>t</m:t>
        </m:r>
      </m:oMath>
      <w:r>
        <w:t xml:space="preserve"> </w:t>
      </w:r>
      <w:proofErr w:type="gramStart"/>
      <w:r>
        <w:t xml:space="preserve">or </w:t>
      </w:r>
      <w:proofErr w:type="gramEnd"/>
      <m:oMath>
        <m:r>
          <w:rPr>
            <w:rFonts w:ascii="Cambria Math" w:hAnsi="Cambria Math"/>
          </w:rPr>
          <m:t>r</m:t>
        </m:r>
      </m:oMath>
      <w:r>
        <w:t xml:space="preserve">) and thus the larger </w:t>
      </w:r>
      <m:oMath>
        <m:r>
          <w:rPr>
            <w:rFonts w:ascii="Cambria Math" w:hAnsi="Cambria Math"/>
          </w:rPr>
          <m:t>p</m:t>
        </m:r>
      </m:oMath>
      <w:r>
        <w:t xml:space="preserve">-value. Statistical equivalence can be concluded when the largest of the two </w:t>
      </w:r>
      <m:oMath>
        <m:r>
          <w:rPr>
            <w:rFonts w:ascii="Cambria Math" w:hAnsi="Cambria Math"/>
          </w:rPr>
          <m:t>p</m:t>
        </m:r>
      </m:oMath>
      <w:r>
        <w:t>-values is smaller than alpha. If results are neither statistically different from zero nor statistically equivalent, there is insufficient data to draw conclusions. Further studies are needed, which can be analyzed using a (small-scale) meta-analysis. The additional data will narrow the confidence interval around the observed effect, allowing us to reject the null, reject the SESOI, or both. Analogous to the large sample sizes needed to detect small effects, as the SESOI becomes smaller, the equivalence bounds become narrower, and the sample size needed to obtain a sufficiently narrow confidence interval increases.</w:t>
      </w:r>
    </w:p>
    <w:p w:rsidR="00D674E2" w:rsidRDefault="00B26AAD">
      <w:pPr>
        <w:pStyle w:val="BodyText"/>
      </w:pPr>
      <w:r>
        <w:t xml:space="preserve">Note that in this paper we will control the Type 1 error rate at 5% for all examples, mirroring the studies we reanalyze (but we recommend to justify the Type 1 error rate in original research based on substantive arguments, Lakens et al., 2017). It may be easiest to think of an equivalence test as checking whether the entire 90% confidence interval falls </w:t>
      </w:r>
      <w:r>
        <w:lastRenderedPageBreak/>
        <w:t xml:space="preserve">entirely between the upper and lower equivalence bounds, but for any given study an equivalence test could also be conceptualized as determining whether effect sizes or test statistics are closer to zero than some critical value, or even whether the </w:t>
      </w:r>
      <w:r>
        <w:rPr>
          <w:i/>
        </w:rPr>
        <w:t>p</w:t>
      </w:r>
      <w:r>
        <w:t xml:space="preserve">-value for a null-hypothesis significance test is larger than some </w:t>
      </w:r>
      <w:r>
        <w:rPr>
          <w:i/>
        </w:rPr>
        <w:t>p</w:t>
      </w:r>
      <w:r>
        <w:t>-value bound.</w:t>
      </w:r>
    </w:p>
    <w:p w:rsidR="00D674E2" w:rsidRDefault="00B26AAD">
      <w:r>
        <w:rPr>
          <w:noProof/>
          <w:lang w:val="en-GB" w:eastAsia="en-GB"/>
        </w:rPr>
        <w:drawing>
          <wp:inline distT="0" distB="0" distL="0" distR="0">
            <wp:extent cx="3696101" cy="5727031"/>
            <wp:effectExtent l="0" t="0" r="0" b="0"/>
            <wp:docPr id="1" name="Picture" descr="Figure 1 Illustration of null hypotheses (H_0) and alternative hypotheses (H_1) for different types of significance tests. A) Null-Hypothesis Significance Test: Tests if the hypothesis (H_0) that an effect is equal to 0 can be rejected. B) Minimal effects test: Tests if the hypothesis (H_0) that an effect is larger than \Delta_{L} and smaller than \Delta_{U} can be rejected. C) Equivalence test: Tests if the hypothesis (H_0) that an effect is smaller than \Delta_{L} or larger than \Delta_{U} can be rejected. D) Inferiority test: Tests if the hypothesis (H_0) that an effect is larger than \Delta can be rejected."/>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8"/>
                    <a:stretch>
                      <a:fillRect/>
                    </a:stretch>
                  </pic:blipFill>
                  <pic:spPr bwMode="auto">
                    <a:xfrm>
                      <a:off x="0" y="0"/>
                      <a:ext cx="3696101" cy="5727031"/>
                    </a:xfrm>
                    <a:prstGeom prst="rect">
                      <a:avLst/>
                    </a:prstGeom>
                    <a:noFill/>
                    <a:ln w="9525">
                      <a:noFill/>
                      <a:headEnd/>
                      <a:tailEnd/>
                    </a:ln>
                  </pic:spPr>
                </pic:pic>
              </a:graphicData>
            </a:graphic>
          </wp:inline>
        </w:drawing>
      </w:r>
    </w:p>
    <w:p w:rsidR="00D674E2" w:rsidRDefault="00B26AAD">
      <w:pPr>
        <w:pStyle w:val="ImageCaption"/>
      </w:pPr>
      <w:r>
        <w:t>Figure 1 Illustration of null hypotheses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and alternative hypotheses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for different types of si</w:t>
      </w:r>
      <w:proofErr w:type="spellStart"/>
      <w:r>
        <w:t>gnificance</w:t>
      </w:r>
      <w:proofErr w:type="spellEnd"/>
      <w:r>
        <w:t xml:space="preserve"> tests. </w:t>
      </w:r>
      <w:r>
        <w:rPr>
          <w:b/>
        </w:rPr>
        <w:t>A)</w:t>
      </w:r>
      <w:r>
        <w:t xml:space="preserve"> Null-Hypothesis Significance Test: Tests if the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that an effect is equal to 0 can be rejected. </w:t>
      </w:r>
      <w:r>
        <w:rPr>
          <w:b/>
        </w:rPr>
        <w:t>B)</w:t>
      </w:r>
      <w:r>
        <w:t xml:space="preserve"> Minimal effects test: Tests if the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that an effect is larger than </w:t>
      </w:r>
      <m:oMath>
        <m:sSub>
          <m:sSubPr>
            <m:ctrlPr>
              <w:rPr>
                <w:rFonts w:ascii="Cambria Math" w:hAnsi="Cambria Math"/>
              </w:rPr>
            </m:ctrlPr>
          </m:sSubPr>
          <m:e>
            <m:r>
              <w:rPr>
                <w:rFonts w:ascii="Cambria Math" w:hAnsi="Cambria Math"/>
              </w:rPr>
              <m:t>Δ</m:t>
            </m:r>
          </m:e>
          <m:sub>
            <m:r>
              <w:rPr>
                <w:rFonts w:ascii="Cambria Math" w:hAnsi="Cambria Math"/>
              </w:rPr>
              <m:t>L</m:t>
            </m:r>
          </m:sub>
        </m:sSub>
      </m:oMath>
      <w:r>
        <w:t xml:space="preserve"> and smaller than </w:t>
      </w:r>
      <m:oMath>
        <m:sSub>
          <m:sSubPr>
            <m:ctrlPr>
              <w:rPr>
                <w:rFonts w:ascii="Cambria Math" w:hAnsi="Cambria Math"/>
              </w:rPr>
            </m:ctrlPr>
          </m:sSubPr>
          <m:e>
            <m:r>
              <w:rPr>
                <w:rFonts w:ascii="Cambria Math" w:hAnsi="Cambria Math"/>
              </w:rPr>
              <m:t>Δ</m:t>
            </m:r>
          </m:e>
          <m:sub>
            <m:r>
              <w:rPr>
                <w:rFonts w:ascii="Cambria Math" w:hAnsi="Cambria Math"/>
              </w:rPr>
              <m:t>U</m:t>
            </m:r>
          </m:sub>
        </m:sSub>
      </m:oMath>
      <w:r>
        <w:t xml:space="preserve"> can be rejected. </w:t>
      </w:r>
      <w:r>
        <w:rPr>
          <w:b/>
        </w:rPr>
        <w:t>C)</w:t>
      </w:r>
      <w:r>
        <w:t xml:space="preserve"> Equivalence test: Tests if the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that an effect is smaller than </w:t>
      </w:r>
      <m:oMath>
        <m:sSub>
          <m:sSubPr>
            <m:ctrlPr>
              <w:rPr>
                <w:rFonts w:ascii="Cambria Math" w:hAnsi="Cambria Math"/>
              </w:rPr>
            </m:ctrlPr>
          </m:sSubPr>
          <m:e>
            <m:r>
              <w:rPr>
                <w:rFonts w:ascii="Cambria Math" w:hAnsi="Cambria Math"/>
              </w:rPr>
              <m:t>Δ</m:t>
            </m:r>
          </m:e>
          <m:sub>
            <m:r>
              <w:rPr>
                <w:rFonts w:ascii="Cambria Math" w:hAnsi="Cambria Math"/>
              </w:rPr>
              <m:t>L</m:t>
            </m:r>
          </m:sub>
        </m:sSub>
      </m:oMath>
      <w:r>
        <w:t xml:space="preserve"> or larger than </w:t>
      </w:r>
      <m:oMath>
        <m:sSub>
          <m:sSubPr>
            <m:ctrlPr>
              <w:rPr>
                <w:rFonts w:ascii="Cambria Math" w:hAnsi="Cambria Math"/>
              </w:rPr>
            </m:ctrlPr>
          </m:sSubPr>
          <m:e>
            <m:r>
              <w:rPr>
                <w:rFonts w:ascii="Cambria Math" w:hAnsi="Cambria Math"/>
              </w:rPr>
              <m:t>Δ</m:t>
            </m:r>
          </m:e>
          <m:sub>
            <m:r>
              <w:rPr>
                <w:rFonts w:ascii="Cambria Math" w:hAnsi="Cambria Math"/>
              </w:rPr>
              <m:t>U</m:t>
            </m:r>
          </m:sub>
        </m:sSub>
      </m:oMath>
      <w:r>
        <w:t xml:space="preserve"> can be rejected. </w:t>
      </w:r>
      <w:r>
        <w:rPr>
          <w:b/>
        </w:rPr>
        <w:t>D)</w:t>
      </w:r>
      <w:r>
        <w:t xml:space="preserve"> Inferiority test: Tests if the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that an effect is larger than </w:t>
      </w:r>
      <m:oMath>
        <m:r>
          <w:rPr>
            <w:rFonts w:ascii="Cambria Math" w:hAnsi="Cambria Math"/>
          </w:rPr>
          <m:t>Δ</m:t>
        </m:r>
      </m:oMath>
      <w:r>
        <w:t xml:space="preserve"> can be rejected.</w:t>
      </w:r>
    </w:p>
    <w:p w:rsidR="00D674E2" w:rsidRDefault="00B26AAD">
      <w:pPr>
        <w:pStyle w:val="BodyText"/>
      </w:pPr>
      <w:r>
        <w:lastRenderedPageBreak/>
        <w:t xml:space="preserve">In this article we provide five reproducible examples of equivalence tests which illustrate the procedure in free, easy-to-use software (R, </w:t>
      </w:r>
      <w:proofErr w:type="spellStart"/>
      <w:r>
        <w:t>jamovi</w:t>
      </w:r>
      <w:proofErr w:type="spellEnd"/>
      <w:r>
        <w:t>, and a spreadsheet). But first, we discuss different approaches to determining the smallest effect size of interest for psychological research, which determines the statistical question an equivalence test answers.</w:t>
      </w:r>
    </w:p>
    <w:p w:rsidR="00D674E2" w:rsidRDefault="00B26AAD">
      <w:pPr>
        <w:pStyle w:val="Heading11"/>
      </w:pPr>
      <w:bookmarkStart w:id="3" w:name="justifying-the-smallest-effect-size-of-i"/>
      <w:bookmarkEnd w:id="3"/>
      <w:r>
        <w:t>Justifying the Smallest Effect Size of Interest</w:t>
      </w:r>
    </w:p>
    <w:p w:rsidR="00D674E2" w:rsidRDefault="00B26AAD">
      <w:r>
        <w:t>The Two One-Sided Test procedure is performed against equivalence bounds that are considered the smallest effect size of interest. The smallest effect size of interest (SESOI) can sometimes be determined objectively (for example based on just noticeable differences, as we will explain below). In lieu of objective justifications, the SESOI should ideally be based on a cost-benefit analysis. Since both costs and benefits are necessarily subjective, the SESOI will vary across researchers, fields, and time. The goal of setting a SESOI is to clearly justify why designing a study that has a high probability of rejecting effects more extreme than the specified equivalence bounds contributes to our knowledge base. The SESOI is thus independent of the outcome of the study, and should be determined before looking at the data. A SESOI should be chosen such that inferences based on it answer a meaningful question. Although we use bounds that are symmetric around 0 for all equivalence tests in this manuscript (e.g.</w:t>
      </w:r>
      <w:proofErr w:type="gramStart"/>
      <w:r>
        <w:t xml:space="preserve">, </w:t>
      </w:r>
      <w:proofErr w:type="gramEnd"/>
      <m:oMath>
        <m:sSub>
          <m:sSubPr>
            <m:ctrlPr>
              <w:rPr>
                <w:rFonts w:ascii="Cambria Math" w:hAnsi="Cambria Math"/>
              </w:rPr>
            </m:ctrlPr>
          </m:sSubPr>
          <m:e>
            <m:r>
              <w:rPr>
                <w:rFonts w:ascii="Cambria Math" w:hAnsi="Cambria Math"/>
              </w:rPr>
              <m:t>Δ</m:t>
            </m:r>
          </m:e>
          <m:sub>
            <m:r>
              <w:rPr>
                <w:rFonts w:ascii="Cambria Math" w:hAnsi="Cambria Math"/>
              </w:rPr>
              <m:t>L</m:t>
            </m:r>
          </m:sub>
        </m:sSub>
        <m:r>
          <w:rPr>
            <w:rFonts w:ascii="Cambria Math" w:hAnsi="Cambria Math"/>
          </w:rPr>
          <m:t>=-0.3</m:t>
        </m:r>
      </m:oMath>
      <w:r>
        <w:t xml:space="preserve">, </w:t>
      </w:r>
      <m:oMath>
        <m:sSub>
          <m:sSubPr>
            <m:ctrlPr>
              <w:rPr>
                <w:rFonts w:ascii="Cambria Math" w:hAnsi="Cambria Math"/>
              </w:rPr>
            </m:ctrlPr>
          </m:sSubPr>
          <m:e>
            <m:r>
              <w:rPr>
                <w:rFonts w:ascii="Cambria Math" w:hAnsi="Cambria Math"/>
              </w:rPr>
              <m:t>Δ</m:t>
            </m:r>
          </m:e>
          <m:sub>
            <m:r>
              <w:rPr>
                <w:rFonts w:ascii="Cambria Math" w:hAnsi="Cambria Math"/>
              </w:rPr>
              <m:t>U</m:t>
            </m:r>
          </m:sub>
        </m:sSub>
        <m:r>
          <w:rPr>
            <w:rFonts w:ascii="Cambria Math" w:hAnsi="Cambria Math"/>
          </w:rPr>
          <m:t>=0.3</m:t>
        </m:r>
      </m:oMath>
      <w:r>
        <w:t xml:space="preserve">), it is also possible to use asymmetric bounds (e.g., </w:t>
      </w:r>
      <m:oMath>
        <m:sSub>
          <m:sSubPr>
            <m:ctrlPr>
              <w:rPr>
                <w:rFonts w:ascii="Cambria Math" w:hAnsi="Cambria Math"/>
              </w:rPr>
            </m:ctrlPr>
          </m:sSubPr>
          <m:e>
            <m:r>
              <w:rPr>
                <w:rFonts w:ascii="Cambria Math" w:hAnsi="Cambria Math"/>
              </w:rPr>
              <m:t>Δ</m:t>
            </m:r>
          </m:e>
          <m:sub>
            <m:r>
              <w:rPr>
                <w:rFonts w:ascii="Cambria Math" w:hAnsi="Cambria Math"/>
              </w:rPr>
              <m:t>L</m:t>
            </m:r>
          </m:sub>
        </m:sSub>
        <m:r>
          <w:rPr>
            <w:rFonts w:ascii="Cambria Math" w:hAnsi="Cambria Math"/>
          </w:rPr>
          <m:t>=-0.2</m:t>
        </m:r>
      </m:oMath>
      <w:r>
        <w:t xml:space="preserve">, </w:t>
      </w:r>
      <m:oMath>
        <m:sSub>
          <m:sSubPr>
            <m:ctrlPr>
              <w:rPr>
                <w:rFonts w:ascii="Cambria Math" w:hAnsi="Cambria Math"/>
              </w:rPr>
            </m:ctrlPr>
          </m:sSubPr>
          <m:e>
            <m:r>
              <w:rPr>
                <w:rFonts w:ascii="Cambria Math" w:hAnsi="Cambria Math"/>
              </w:rPr>
              <m:t>Δ</m:t>
            </m:r>
          </m:e>
          <m:sub>
            <m:r>
              <w:rPr>
                <w:rFonts w:ascii="Cambria Math" w:hAnsi="Cambria Math"/>
              </w:rPr>
              <m:t>U</m:t>
            </m:r>
          </m:sub>
        </m:sSub>
        <m:r>
          <w:rPr>
            <w:rFonts w:ascii="Cambria Math" w:hAnsi="Cambria Math"/>
          </w:rPr>
          <m:t>=0.3</m:t>
        </m:r>
      </m:oMath>
      <w:r>
        <w:t>).</w:t>
      </w:r>
    </w:p>
    <w:p w:rsidR="00D674E2" w:rsidRDefault="00B26AAD">
      <w:pPr>
        <w:pStyle w:val="Heading21"/>
      </w:pPr>
      <w:bookmarkStart w:id="4" w:name="objective-justification-of-a-smallest-ef"/>
      <w:bookmarkEnd w:id="4"/>
      <w:r>
        <w:t>Objective Justification of a Smallest Effect Size of Interest</w:t>
      </w:r>
    </w:p>
    <w:p w:rsidR="00D674E2" w:rsidRDefault="00B26AAD">
      <w:r>
        <w:t xml:space="preserve">An objectively determined smallest effect size of interest (SESOI) should be based on quantifiable theoretical predictions, such as computational models. Sometimes, the only theoretical prediction is that an effect should be noticeable. In such circumstances, the SESOI can be set based on just noticeable differences. For example, </w:t>
      </w:r>
      <w:proofErr w:type="spellStart"/>
      <w:r>
        <w:t>Burriss</w:t>
      </w:r>
      <w:proofErr w:type="spellEnd"/>
      <w:r>
        <w:t xml:space="preserve"> and colleagues (2015) examined whether women displayed an increase in redness in the face during the fertile phase of their ovulatory cycle. The hypothesis was that a slightly redder skin signals greater attractiveness and physical health, and sending this signal to men yields an evolutionary advantage. This hypothesis presupposes that men can detect the increase in redness with the naked eye. </w:t>
      </w:r>
      <w:proofErr w:type="spellStart"/>
      <w:r>
        <w:t>Burriss</w:t>
      </w:r>
      <w:proofErr w:type="spellEnd"/>
      <w:r>
        <w:t xml:space="preserve"> and colleagues collected data from 22 women and showed that there was indeed an increase in redness of the facial skin during their fertile period. However, this increase was not large enough for men to detect with the naked eye, thus falsifying their hypothesis. Because the just noticeable difference in redness of the skin can be measured, it is possible to establish an objective SESOI.</w:t>
      </w:r>
    </w:p>
    <w:p w:rsidR="00D674E2" w:rsidRDefault="00B26AAD">
      <w:pPr>
        <w:pStyle w:val="BodyText"/>
      </w:pPr>
      <w:r>
        <w:lastRenderedPageBreak/>
        <w:t xml:space="preserve">Another example of an objectively determined SESOI can be found in Button et al. (2015), where the minimal clinically important difference on the Beck Depression Inventory – II was determined by asking 1039 patients when they subjectively felt less depressed (i.e., when they personally noticed an improvement) and relating this to the corresponding difference score on the depression inventory. Similarly, Norman, Sloan, and </w:t>
      </w:r>
      <w:proofErr w:type="spellStart"/>
      <w:r>
        <w:t>Wyrwich</w:t>
      </w:r>
      <w:proofErr w:type="spellEnd"/>
      <w:r>
        <w:t xml:space="preserve"> (2003) proposed there is a surprisingly consistent minimally important difference of half a standard deviation, </w:t>
      </w:r>
      <w:proofErr w:type="gramStart"/>
      <w:r>
        <w:t xml:space="preserve">or </w:t>
      </w:r>
      <w:proofErr w:type="gramEnd"/>
      <m:oMath>
        <m:r>
          <w:rPr>
            <w:rFonts w:ascii="Cambria Math" w:hAnsi="Cambria Math"/>
          </w:rPr>
          <m:t>d=0.5</m:t>
        </m:r>
      </m:oMath>
      <w:r>
        <w:t>, in health outcomes.</w:t>
      </w:r>
    </w:p>
    <w:p w:rsidR="00D674E2" w:rsidRDefault="00B26AAD">
      <w:pPr>
        <w:pStyle w:val="Heading21"/>
      </w:pPr>
      <w:bookmarkStart w:id="5" w:name="subjective-justification-of-a-smallest-e"/>
      <w:bookmarkEnd w:id="5"/>
      <w:r>
        <w:t>Subjective Justification of a Smallest Effect Size of Interest</w:t>
      </w:r>
    </w:p>
    <w:p w:rsidR="00D674E2" w:rsidRDefault="00B26AAD">
      <w:r>
        <w:t xml:space="preserve">We distinguish between three categories of subjective justifications to determine the smallest effect size of interest. First, researchers can use benchmarks. For example, one might set the smallest effect size of interest to a standardized effect size </w:t>
      </w:r>
      <w:proofErr w:type="gramStart"/>
      <w:r>
        <w:t xml:space="preserve">of </w:t>
      </w:r>
      <w:proofErr w:type="gramEnd"/>
      <m:oMath>
        <m:r>
          <w:rPr>
            <w:rFonts w:ascii="Cambria Math" w:hAnsi="Cambria Math"/>
          </w:rPr>
          <m:t>d=0.5</m:t>
        </m:r>
      </m:oMath>
      <w:r>
        <w:t xml:space="preserve">, which would allow rejecting effects more extreme than a ‘medium’ effect size (Cohen, 1988). Similarly, effect sizes smaller than a Cohen’s </w:t>
      </w:r>
      <m:oMath>
        <m:r>
          <w:rPr>
            <w:rFonts w:ascii="Cambria Math" w:hAnsi="Cambria Math"/>
          </w:rPr>
          <m:t>d</m:t>
        </m:r>
      </m:oMath>
      <w:r>
        <w:t xml:space="preserve"> of 0.1 are sometimes considered trivially small (Maxwell, Lau, &amp; Howard, 2015). Relying on a benc</w:t>
      </w:r>
      <w:proofErr w:type="spellStart"/>
      <w:r>
        <w:t>hmark</w:t>
      </w:r>
      <w:proofErr w:type="spellEnd"/>
      <w:r>
        <w:t xml:space="preserve"> is the weakest possible justification of a smallest effect size of interest, and should be avoided. Based on a review of 112 meta-analyses, Weber and Popova (2012) conclude that setting a smallest effect size of interest (SESOI) to a medium effect size (</w:t>
      </w:r>
      <m:oMath>
        <m:r>
          <w:rPr>
            <w:rFonts w:ascii="Cambria Math" w:hAnsi="Cambria Math"/>
          </w:rPr>
          <m:t>r=0.3</m:t>
        </m:r>
      </m:oMath>
      <w:r>
        <w:t xml:space="preserve">, </w:t>
      </w:r>
      <w:proofErr w:type="gramStart"/>
      <w:r>
        <w:t xml:space="preserve">or </w:t>
      </w:r>
      <w:proofErr w:type="gramEnd"/>
      <m:oMath>
        <m:r>
          <w:rPr>
            <w:rFonts w:ascii="Cambria Math" w:hAnsi="Cambria Math"/>
          </w:rPr>
          <m:t>d=0.5</m:t>
        </m:r>
      </m:oMath>
      <w:r>
        <w:t xml:space="preserve">) corresponds to rejecting only the upper 25% of effect sizes reported in communications research, and Hemphill (2003) suggests that a smallest effect size of interest of </w:t>
      </w:r>
      <m:oMath>
        <m:r>
          <w:rPr>
            <w:rFonts w:ascii="Cambria Math" w:hAnsi="Cambria Math"/>
          </w:rPr>
          <m:t>d=0.5</m:t>
        </m:r>
      </m:oMath>
      <w:r>
        <w:t xml:space="preserve"> would imply rejecting effects as large as the upper 33% of effect sizes reported in the psychological literature.</w:t>
      </w:r>
    </w:p>
    <w:p w:rsidR="00D674E2" w:rsidRDefault="00B26AAD">
      <w:pPr>
        <w:pStyle w:val="BodyText"/>
      </w:pPr>
      <w:r>
        <w:t xml:space="preserve">Second, the SESOI can be based on related published studies in the literature. Ideally, researchers who publish novel research would always specify their smallest effect size of interest, but this is not yet common practice. It is thus up to researchers who build on earlier work to decide which effect size is too small to be meaningful when examining the same hypothesis. </w:t>
      </w:r>
      <w:proofErr w:type="spellStart"/>
      <w:r>
        <w:t>Simonsohn</w:t>
      </w:r>
      <w:proofErr w:type="spellEnd"/>
      <w:r>
        <w:t xml:space="preserve"> (2015) recently proposed to set the SESOI to the effect size that an earlier study would have had 33% power to detect. With this so-called ‘small telescopes’ approach, the equivalence bounds are thus primarily based on the sample size in the original study. For example, consider a study in which 100 participants answered a question, and the results were analyzed with a one-sample t-test. For a two-sided test with an alpha of 0.05, this test had 33% power to detect an effect </w:t>
      </w:r>
      <w:proofErr w:type="gramStart"/>
      <w:r>
        <w:t xml:space="preserve">of </w:t>
      </w:r>
      <w:proofErr w:type="gramEnd"/>
      <m:oMath>
        <m:r>
          <w:rPr>
            <w:rFonts w:ascii="Cambria Math" w:hAnsi="Cambria Math"/>
          </w:rPr>
          <m:t>d=0.15</m:t>
        </m:r>
      </m:oMath>
      <w:r>
        <w:t>. Another example of how previous research can be used to determ</w:t>
      </w:r>
      <w:proofErr w:type="spellStart"/>
      <w:r>
        <w:t>ine</w:t>
      </w:r>
      <w:proofErr w:type="spellEnd"/>
      <w:r>
        <w:t xml:space="preserve"> the SESOI can be found in </w:t>
      </w:r>
      <w:proofErr w:type="spellStart"/>
      <w:r>
        <w:t>Kordsmeyer</w:t>
      </w:r>
      <w:proofErr w:type="spellEnd"/>
      <w:r>
        <w:t xml:space="preserve"> and </w:t>
      </w:r>
      <w:proofErr w:type="spellStart"/>
      <w:r>
        <w:t>Penke</w:t>
      </w:r>
      <w:proofErr w:type="spellEnd"/>
      <w:r>
        <w:t xml:space="preserve"> (2017), who defined the SESOI based on the mean of effect sizes reported in the literature. Thus, they examined whether their replication study could reject effects as </w:t>
      </w:r>
      <w:proofErr w:type="gramStart"/>
      <w:r>
        <w:t>large or</w:t>
      </w:r>
      <w:proofErr w:type="gramEnd"/>
      <w:r>
        <w:t xml:space="preserve"> larger than had on </w:t>
      </w:r>
      <w:r>
        <w:lastRenderedPageBreak/>
        <w:t xml:space="preserve">average been reported in the literature. Given random variation and bias in the literature, a more conservative approach could be to use the lower end of a confidence interval around the meta-analytic effect size estimate (cf. </w:t>
      </w:r>
      <w:proofErr w:type="spellStart"/>
      <w:r>
        <w:t>Perugini</w:t>
      </w:r>
      <w:proofErr w:type="spellEnd"/>
      <w:r>
        <w:t xml:space="preserve">, </w:t>
      </w:r>
      <w:proofErr w:type="spellStart"/>
      <w:r>
        <w:t>Gallucci</w:t>
      </w:r>
      <w:proofErr w:type="spellEnd"/>
      <w:r>
        <w:t xml:space="preserve">, &amp; </w:t>
      </w:r>
      <w:proofErr w:type="spellStart"/>
      <w:r>
        <w:t>Costantini</w:t>
      </w:r>
      <w:proofErr w:type="spellEnd"/>
      <w:r>
        <w:t>, 2014).</w:t>
      </w:r>
    </w:p>
    <w:p w:rsidR="00D674E2" w:rsidRDefault="00B26AAD">
      <w:pPr>
        <w:pStyle w:val="BodyText"/>
      </w:pPr>
      <w:r>
        <w:t xml:space="preserve">Another justifiable option when choosing the SESOI based on earlier work is to use the smallest observed effect size that could have been statistically significant in a previous study. In other words, we decide that effects that could not have yielded a </w:t>
      </w:r>
      <m:oMath>
        <m:r>
          <w:rPr>
            <w:rFonts w:ascii="Cambria Math" w:hAnsi="Cambria Math"/>
          </w:rPr>
          <m:t>p&lt;α</m:t>
        </m:r>
      </m:oMath>
      <w:r>
        <w:t xml:space="preserve"> in an original study will not be considered meaningful in the replication study either, even if they were found to be statistically significant. The assumption here is that authors were interested in observing a significant effect, and thus were not interested in observed effect sizes that could not have yielded a significant effect. It might be likely that the original authors did not consider which effect sizes they could detect at all, or that they were interested in smaller effects, but gambled on observing an especially large effect in the sample purely due to random variation. Even then, observed effect sizes that could not have been significant in an earlier study might be a justifiable starting point when building on earlier research that did not specify a smallest effect size of interest. Based only on the alpha level and the sample size, we can calculate the critical test value (e.g., </w:t>
      </w:r>
      <w:r>
        <w:rPr>
          <w:i/>
        </w:rPr>
        <w:t>t</w:t>
      </w:r>
      <w:r>
        <w:t xml:space="preserve">, </w:t>
      </w:r>
      <w:r>
        <w:rPr>
          <w:i/>
        </w:rPr>
        <w:t>F</w:t>
      </w:r>
      <w:r>
        <w:t xml:space="preserve">, </w:t>
      </w:r>
      <w:r>
        <w:rPr>
          <w:i/>
        </w:rPr>
        <w:t>Z</w:t>
      </w:r>
      <w:r>
        <w:t>). This critical test value can be transformed to a standardized effect size (e.g.</w:t>
      </w:r>
      <w:proofErr w:type="gramStart"/>
      <w:r>
        <w:t xml:space="preserve">, </w:t>
      </w:r>
      <w:proofErr w:type="gramEnd"/>
      <m:oMath>
        <m:r>
          <w:rPr>
            <w:rFonts w:ascii="Cambria Math" w:hAnsi="Cambria Math"/>
          </w:rPr>
          <m:t>d=t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oMath>
      <w:r>
        <w:t>), w</w:t>
      </w:r>
      <w:proofErr w:type="spellStart"/>
      <w:r>
        <w:t>hich</w:t>
      </w:r>
      <w:proofErr w:type="spellEnd"/>
      <w:r>
        <w:t xml:space="preserve"> can thus be interpreted as the </w:t>
      </w:r>
      <w:r>
        <w:rPr>
          <w:i/>
        </w:rPr>
        <w:t>critical effect size</w:t>
      </w:r>
      <w:r>
        <w:t>.</w:t>
      </w:r>
      <w:r w:rsidRPr="007673C6">
        <w:rPr>
          <w:vertAlign w:val="superscript"/>
        </w:rPr>
        <w:footnoteReference w:id="1"/>
      </w:r>
      <w:r>
        <w:t xml:space="preserve"> All observed effect sizes smaller than the critical effect size would not have been statistically significant in the original study, given the alpha and sample size of that study. By setting the SESOI to the critical effect size, an equivalence test can reject all observed effect sizes that could have been detected in an earlier study.</w:t>
      </w:r>
    </w:p>
    <w:p w:rsidR="00D674E2" w:rsidRDefault="00B26AAD">
      <w:pPr>
        <w:pStyle w:val="BodyText"/>
      </w:pPr>
      <w:r>
        <w:t xml:space="preserve">Third, the SESOI can be determined based on a </w:t>
      </w:r>
      <w:r>
        <w:rPr>
          <w:i/>
        </w:rPr>
        <w:t>resource</w:t>
      </w:r>
      <w:r>
        <w:t xml:space="preserve"> question. Not all psychological theories make quantifiable predictions (possibly related to the strong reliance on null-hypothesis significance testing in some fields, see </w:t>
      </w:r>
      <w:proofErr w:type="spellStart"/>
      <w:r>
        <w:t>Meehl</w:t>
      </w:r>
      <w:proofErr w:type="spellEnd"/>
      <w:r>
        <w:t xml:space="preserve">, 1978). Researchers often have more precise ideas of the amount of data that they can afford to collect, or that other </w:t>
      </w:r>
      <w:r>
        <w:lastRenderedPageBreak/>
        <w:t>researchers in their field commonly collect. The amount of data that is collected limits the inferences you can make. Given the alpha level and the planned sample size, researchers can calculate the smallest effect size that they have sufficient power to detect.</w:t>
      </w:r>
      <w:r w:rsidRPr="007673C6">
        <w:rPr>
          <w:vertAlign w:val="superscript"/>
        </w:rPr>
        <w:footnoteReference w:id="2"/>
      </w:r>
    </w:p>
    <w:p w:rsidR="00D674E2" w:rsidRDefault="00B26AAD">
      <w:pPr>
        <w:pStyle w:val="BodyText"/>
      </w:pPr>
      <w:r>
        <w:t xml:space="preserve">An equivalence test based on this approach does not answer any theoretical question (after all, the equivalence bounds are not based on any theoretical predictions). When theories only allow for directional predictions, but do not predict effects of a specific size, the sample size justification can be used to determine which effects can be studied reliably, and thus which effects would be interesting to reject. For example, imagine a research line where almost all studies examined a hypothesis by performing a one-sample </w:t>
      </w:r>
      <m:oMath>
        <m:r>
          <w:rPr>
            <w:rFonts w:ascii="Cambria Math" w:hAnsi="Cambria Math"/>
          </w:rPr>
          <m:t>t</m:t>
        </m:r>
      </m:oMath>
      <w:r>
        <w:t xml:space="preserve">-test on sample sizes smaller than 100. A one-sample </w:t>
      </w:r>
      <m:oMath>
        <m:r>
          <w:rPr>
            <w:rFonts w:ascii="Cambria Math" w:hAnsi="Cambria Math"/>
          </w:rPr>
          <m:t>t</m:t>
        </m:r>
      </m:oMath>
      <w:r>
        <w:t xml:space="preserve">-test using an alpha of 5% (two-sided) with 100 observations has 90% power to detect an effect </w:t>
      </w:r>
      <w:proofErr w:type="gramStart"/>
      <w:r>
        <w:t xml:space="preserve">of </w:t>
      </w:r>
      <w:proofErr w:type="gramEnd"/>
      <m:oMath>
        <m:r>
          <w:rPr>
            <w:rFonts w:ascii="Cambria Math" w:hAnsi="Cambria Math"/>
          </w:rPr>
          <m:t>d=0.33</m:t>
        </m:r>
      </m:oMath>
      <w:r>
        <w:t xml:space="preserve">. Concluding equivalence in a test using equivalence bounds of </w:t>
      </w:r>
      <m:oMath>
        <m:sSub>
          <m:sSubPr>
            <m:ctrlPr>
              <w:rPr>
                <w:rFonts w:ascii="Cambria Math" w:hAnsi="Cambria Math"/>
              </w:rPr>
            </m:ctrlPr>
          </m:sSubPr>
          <m:e>
            <m:r>
              <w:rPr>
                <w:rFonts w:ascii="Cambria Math" w:hAnsi="Cambria Math"/>
              </w:rPr>
              <m:t>Δ</m:t>
            </m:r>
          </m:e>
          <m:sub>
            <m:r>
              <w:rPr>
                <w:rFonts w:ascii="Cambria Math" w:hAnsi="Cambria Math"/>
              </w:rPr>
              <m:t>L</m:t>
            </m:r>
          </m:sub>
        </m:sSub>
        <m:r>
          <w:rPr>
            <w:rFonts w:ascii="Cambria Math" w:hAnsi="Cambria Math"/>
          </w:rPr>
          <m:t>=-0.33</m:t>
        </m:r>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U</m:t>
            </m:r>
          </m:sub>
        </m:sSub>
        <m:r>
          <w:rPr>
            <w:rFonts w:ascii="Cambria Math" w:hAnsi="Cambria Math"/>
          </w:rPr>
          <m:t>=0.33</m:t>
        </m:r>
      </m:oMath>
      <w:r>
        <w:t xml:space="preserve"> wo</w:t>
      </w:r>
      <w:proofErr w:type="spellStart"/>
      <w:r>
        <w:t>uld</w:t>
      </w:r>
      <w:proofErr w:type="spellEnd"/>
      <w:r>
        <w:t xml:space="preserve"> suggest that effects as large or larger than those which published studies were sensitive enough to detect can be rejected. Such a study does not test a theoretical prediction, but it contributes to the literature by suggesting much larger sample sizes than 100 observations are needed.</w:t>
      </w:r>
    </w:p>
    <w:p w:rsidR="00D674E2" w:rsidRDefault="00B26AAD">
      <w:pPr>
        <w:pStyle w:val="BodyText"/>
      </w:pPr>
      <w:r>
        <w:t xml:space="preserve">When there is no previous literature on a topic, researchers can justify their sample size based on reasonable resource limitations, which are specific to scientific disciplines and research questions (and can be expected to change over time). Where 22 patients with a rare neurological disorder might be the largest sample a single researcher can collect, a study on </w:t>
      </w:r>
      <w:proofErr w:type="spellStart"/>
      <w:r>
        <w:t>mTurk</w:t>
      </w:r>
      <w:proofErr w:type="spellEnd"/>
      <w:r>
        <w:t xml:space="preserve"> might easily collect hundreds or thousands of observations. Thus, whether or not the resource question that is answered by an equivalence test is interesting must be evaluated by peers, preferably when the study design is submitted to an ethical review board or as a Registered Report.</w:t>
      </w:r>
    </w:p>
    <w:p w:rsidR="00D674E2" w:rsidRDefault="00B26AAD">
      <w:pPr>
        <w:pStyle w:val="BodyText"/>
      </w:pPr>
      <w:r>
        <w:lastRenderedPageBreak/>
        <w:t>Additional subjective justifications for a smallest effect size of interest are possible. For example, the Food and Drug Administration has set equivalence bounds for bioequivalence studies, taking the decision out of the hands of individual researchers (</w:t>
      </w:r>
      <w:proofErr w:type="spellStart"/>
      <w:r>
        <w:t>Senn</w:t>
      </w:r>
      <w:proofErr w:type="spellEnd"/>
      <w:r>
        <w:t>, 2007). We have provided several approaches to help researchers justify equivalence bounds, but want to repeat the warning by Rogers et al. (1993), p. 564: ‘The thoughtless application of “cookbook” prescriptions is ill-advised, regardless of whether the goal is to establish a difference or to establish equivalency between treatments’. By transparently reporting and adequately justifying the smallest effect size of interest, researchers can communicate the information their study contributes to the literature, and provide a starting point for a discussion about what a reasonable SESOI may be.</w:t>
      </w:r>
    </w:p>
    <w:p w:rsidR="00D674E2" w:rsidRDefault="00B26AAD">
      <w:pPr>
        <w:pStyle w:val="Heading21"/>
      </w:pPr>
      <w:bookmarkStart w:id="6" w:name="raw-versus-standardized-equivalence-boun"/>
      <w:bookmarkEnd w:id="6"/>
      <w:r>
        <w:t>Raw Versus Standardized Equivalence Bounds</w:t>
      </w:r>
    </w:p>
    <w:p w:rsidR="00D674E2" w:rsidRDefault="00B26AAD">
      <w:r>
        <w:t xml:space="preserve">The SESOI, and thus the equivalence bounds, can be set in terms of standardized effect sizes (e.g. a Cohen’s </w:t>
      </w:r>
      <m:oMath>
        <m:r>
          <w:rPr>
            <w:rFonts w:ascii="Cambria Math" w:hAnsi="Cambria Math"/>
          </w:rPr>
          <m:t>d</m:t>
        </m:r>
      </m:oMath>
      <w:r>
        <w:t xml:space="preserve"> of 0.5) or as a raw mean difference (e.g. 0.5 points on a 7-point scale). The key difference is that equivalence bounds set in raw differences are independent of the standard deviation, while equivalence bounds set as standardized effects are dependent on the standard deviation (since they are calculated as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num>
          <m:den>
            <m:r>
              <w:rPr>
                <w:rFonts w:ascii="Cambria Math" w:hAnsi="Cambria Math"/>
              </w:rPr>
              <m:t>SD</m:t>
            </m:r>
          </m:den>
        </m:f>
      </m:oMath>
      <w:r>
        <w:t>). The observed st</w:t>
      </w:r>
      <w:proofErr w:type="spellStart"/>
      <w:r>
        <w:t>andard</w:t>
      </w:r>
      <w:proofErr w:type="spellEnd"/>
      <w:r>
        <w:t xml:space="preserve"> deviation randomly varies across samples. In practice, this means that when using standardized differences as bounds (e.g.</w:t>
      </w:r>
      <w:proofErr w:type="gramStart"/>
      <w:r>
        <w:t xml:space="preserve">, </w:t>
      </w:r>
      <w:proofErr w:type="gramEnd"/>
      <m:oMath>
        <m:r>
          <w:rPr>
            <w:rFonts w:ascii="Cambria Math" w:hAnsi="Cambria Math"/>
          </w:rPr>
          <m:t>d=0.35</m:t>
        </m:r>
      </m:oMath>
      <w:r>
        <w:t>), the equivalence test depends on the standard deviation in the sample. The equivalence bound for a raw mean differen</w:t>
      </w:r>
      <w:proofErr w:type="spellStart"/>
      <w:r>
        <w:t>ce</w:t>
      </w:r>
      <w:proofErr w:type="spellEnd"/>
      <w:r>
        <w:t xml:space="preserve"> of 0.5 equals a standardized equivalence bound of </w:t>
      </w:r>
      <m:oMath>
        <m:r>
          <w:rPr>
            <w:rFonts w:ascii="Cambria Math" w:hAnsi="Cambria Math"/>
          </w:rPr>
          <m:t>d=0.5</m:t>
        </m:r>
      </m:oMath>
      <w:r>
        <w:t xml:space="preserve"> when the standard deviation is 1, but a standardized equivalence bound of </w:t>
      </w:r>
      <m:oMath>
        <m:r>
          <w:rPr>
            <w:rFonts w:ascii="Cambria Math" w:hAnsi="Cambria Math"/>
          </w:rPr>
          <m:t>d=1</m:t>
        </m:r>
      </m:oMath>
      <w:r>
        <w:t xml:space="preserve"> when the standard deviation is 0.5.</w:t>
      </w:r>
    </w:p>
    <w:p w:rsidR="00D674E2" w:rsidRDefault="00B26AAD">
      <w:pPr>
        <w:pStyle w:val="BodyText"/>
      </w:pPr>
      <w:r>
        <w:t>Both raw equivalence bounds and standardized equivalence bounds have specific benefits and limitations (for a discussion, see Baguley, 2009). When raw mean differences are meaningful and of theoretical interest, it makes sense to set equivalence bounds based on raw effect sizes. When the raw mean difference is of less theoretical importance, or different measures are used across research lines, it is often easier to set equivalence bounds based on standardized differences. Researchers should realize that equivalence bounds based on raw differences or standardized differences ask slightly different questions, and justify their choice for either option. When setting equivalence bounds based on earlier research, such as in replication studies, equivalence bounds based on raw or standardized differences would ideally give the same result, and large differences in standard deviations between studies are as important to interpret as large differences in means.</w:t>
      </w:r>
    </w:p>
    <w:p w:rsidR="00D674E2" w:rsidRDefault="00B26AAD">
      <w:pPr>
        <w:pStyle w:val="BodyText"/>
      </w:pPr>
      <w:r>
        <w:lastRenderedPageBreak/>
        <w:t>In the remainder of this article we will provide five detailed examples of equivalence tests performed on published studies. These concrete and easy to follow examples will illustrate all approaches to setting equivalence bounds discussed above, and demonstrate how to perform and report equivalence tests.</w:t>
      </w:r>
    </w:p>
    <w:p w:rsidR="00D674E2" w:rsidRDefault="00B26AAD">
      <w:r>
        <w:rPr>
          <w:noProof/>
          <w:lang w:val="en-GB" w:eastAsia="en-GB"/>
        </w:rPr>
        <w:drawing>
          <wp:inline distT="0" distB="0" distL="0" distR="0">
            <wp:extent cx="5753100" cy="3287485"/>
            <wp:effectExtent l="0" t="0" r="0" b="0"/>
            <wp:docPr id="2" name="Picture" descr="Figure 2 Example effects plotted with 90% two one-sided tests confidence intervals (thick lines) and 95% null-hypothesis significance test confidence intervals (thin lines), the null hypothesis (solid vertical line) and the equivalence bounds (dashed vertical lines) displayed. A) Example 1 - Mean Difference. B) Example 2 - Mean Difference. C) Example 3 - Meta-analytic Effect Size. D) Example 4 - Proportion Difference. E) Example 5 - Pearson Correlat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9"/>
                    <a:stretch>
                      <a:fillRect/>
                    </a:stretch>
                  </pic:blipFill>
                  <pic:spPr bwMode="auto">
                    <a:xfrm>
                      <a:off x="0" y="0"/>
                      <a:ext cx="5753100" cy="3287485"/>
                    </a:xfrm>
                    <a:prstGeom prst="rect">
                      <a:avLst/>
                    </a:prstGeom>
                    <a:noFill/>
                    <a:ln w="9525">
                      <a:noFill/>
                      <a:headEnd/>
                      <a:tailEnd/>
                    </a:ln>
                  </pic:spPr>
                </pic:pic>
              </a:graphicData>
            </a:graphic>
          </wp:inline>
        </w:drawing>
      </w:r>
    </w:p>
    <w:p w:rsidR="00D674E2" w:rsidRDefault="00B26AAD">
      <w:pPr>
        <w:pStyle w:val="ImageCaption"/>
      </w:pPr>
      <w:r>
        <w:t xml:space="preserve">Figure 2 Example effects plotted with 90% two one-sided tests confidence intervals (thick lines) and 95% null-hypothesis significance test confidence intervals (thin lines), the null hypothesis (solid vertical line) and the equivalence bounds (dashed vertical lines) displayed. </w:t>
      </w:r>
      <w:r>
        <w:rPr>
          <w:b/>
        </w:rPr>
        <w:t>A)</w:t>
      </w:r>
      <w:r>
        <w:t xml:space="preserve"> Example 1 - Mean Difference. </w:t>
      </w:r>
      <w:r>
        <w:rPr>
          <w:b/>
        </w:rPr>
        <w:t>B)</w:t>
      </w:r>
      <w:r>
        <w:t xml:space="preserve"> Example 2 - Mean Difference. </w:t>
      </w:r>
      <w:r>
        <w:rPr>
          <w:b/>
        </w:rPr>
        <w:t>C)</w:t>
      </w:r>
      <w:r>
        <w:t xml:space="preserve"> Example 3 - Meta-analytic Effect Size. </w:t>
      </w:r>
      <w:r>
        <w:rPr>
          <w:b/>
        </w:rPr>
        <w:t>D)</w:t>
      </w:r>
      <w:r>
        <w:t xml:space="preserve"> Example 4 - Proportion Difference. </w:t>
      </w:r>
      <w:r>
        <w:rPr>
          <w:b/>
        </w:rPr>
        <w:t>E)</w:t>
      </w:r>
      <w:r>
        <w:t xml:space="preserve"> Example 5 - Pearson Correlation.</w:t>
      </w:r>
    </w:p>
    <w:p w:rsidR="00D674E2" w:rsidRDefault="00B26AAD">
      <w:pPr>
        <w:pStyle w:val="Heading21"/>
      </w:pPr>
      <w:bookmarkStart w:id="7" w:name="example-1-not-statistically-equivalent-a"/>
      <w:bookmarkEnd w:id="7"/>
      <w:r>
        <w:t>Example 1: Not Statistically Equivalent and Not Statistically Different</w:t>
      </w:r>
    </w:p>
    <w:p w:rsidR="00D674E2" w:rsidRDefault="00B26AAD">
      <w:r>
        <w:t xml:space="preserve">Moon and Roeder (2014), replicating Shih, </w:t>
      </w:r>
      <w:proofErr w:type="spellStart"/>
      <w:r>
        <w:t>Pittinsky</w:t>
      </w:r>
      <w:proofErr w:type="spellEnd"/>
      <w:r>
        <w:t xml:space="preserve">, and </w:t>
      </w:r>
      <w:proofErr w:type="spellStart"/>
      <w:r>
        <w:t>Ambady</w:t>
      </w:r>
      <w:proofErr w:type="spellEnd"/>
      <w:r>
        <w:t xml:space="preserve"> (1999), conducted a study to investigate whether Asian-American women would perform better on a </w:t>
      </w:r>
      <w:proofErr w:type="spellStart"/>
      <w:r>
        <w:t>maths</w:t>
      </w:r>
      <w:proofErr w:type="spellEnd"/>
      <w:r>
        <w:t xml:space="preserve"> test when primed with their Asian identity. In contrast to the original study, they found a negative difference between the Asian primed group (</w:t>
      </w:r>
      <m:oMath>
        <m:r>
          <w:rPr>
            <w:rFonts w:ascii="Cambria Math" w:hAnsi="Cambria Math"/>
          </w:rPr>
          <m:t>n=53</m:t>
        </m:r>
      </m:oMath>
      <w:r>
        <w:t xml:space="preserve">, </w:t>
      </w:r>
      <m:oMath>
        <m:r>
          <w:rPr>
            <w:rFonts w:ascii="Cambria Math" w:hAnsi="Cambria Math"/>
          </w:rPr>
          <m:t>M=0.46</m:t>
        </m:r>
      </m:oMath>
      <w:r>
        <w:t xml:space="preserve">, </w:t>
      </w:r>
      <m:oMath>
        <m:r>
          <w:rPr>
            <w:rFonts w:ascii="Cambria Math" w:hAnsi="Cambria Math"/>
          </w:rPr>
          <m:t>SD=0.17</m:t>
        </m:r>
      </m:oMath>
      <w:r>
        <w:t>) and the control (</w:t>
      </w:r>
      <m:oMath>
        <m:r>
          <w:rPr>
            <w:rFonts w:ascii="Cambria Math" w:hAnsi="Cambria Math"/>
          </w:rPr>
          <m:t>n=48</m:t>
        </m:r>
      </m:oMath>
      <w:r>
        <w:t xml:space="preserve">, </w:t>
      </w:r>
      <m:oMath>
        <m:r>
          <w:rPr>
            <w:rFonts w:ascii="Cambria Math" w:hAnsi="Cambria Math"/>
          </w:rPr>
          <m:t>M=0.50</m:t>
        </m:r>
      </m:oMath>
      <w:r>
        <w:t xml:space="preserve">, </w:t>
      </w:r>
      <m:oMath>
        <m:r>
          <w:rPr>
            <w:rFonts w:ascii="Cambria Math" w:hAnsi="Cambria Math"/>
          </w:rPr>
          <m:t>SD=0.18</m:t>
        </m:r>
      </m:oMath>
      <w:r>
        <w:t xml:space="preserve">) which was not significant, </w:t>
      </w:r>
      <m:oMath>
        <m:r>
          <w:rPr>
            <w:rFonts w:ascii="Cambria Math" w:hAnsi="Cambria Math"/>
          </w:rPr>
          <m:t>d=-0.21</m:t>
        </m:r>
      </m:oMath>
      <w:r>
        <w:t xml:space="preserve">, </w:t>
      </w:r>
      <m:oMath>
        <m:r>
          <w:rPr>
            <w:rFonts w:ascii="Cambria Math" w:hAnsi="Cambria Math"/>
          </w:rPr>
          <m:t>t(97.77)=-1.08</m:t>
        </m:r>
      </m:oMath>
      <w:r>
        <w:t xml:space="preserve">, </w:t>
      </w:r>
      <m:oMath>
        <m:r>
          <w:rPr>
            <w:rFonts w:ascii="Cambria Math" w:hAnsi="Cambria Math"/>
          </w:rPr>
          <w:lastRenderedPageBreak/>
          <m:t>p=.284</m:t>
        </m:r>
      </m:oMath>
      <w:r>
        <w:t>, two-sided</w:t>
      </w:r>
      <w:r w:rsidRPr="007673C6">
        <w:rPr>
          <w:vertAlign w:val="superscript"/>
        </w:rPr>
        <w:footnoteReference w:id="3"/>
      </w:r>
      <w:r>
        <w:t>. The non-significant null-hypothesis test does not allow us to distinguish between the absence of a meaningful effect and data that are not sensitive enough to tell us whether a meaningful effect is present or absent.</w:t>
      </w:r>
    </w:p>
    <w:p w:rsidR="00D674E2" w:rsidRDefault="00B26AAD">
      <w:pPr>
        <w:pStyle w:val="BodyText"/>
      </w:pPr>
      <w:r>
        <w:t>In order to distinguish between these possibilities, we can define what a “meaningful effect” would be and use it as the bounds for an equivalence test (remember that these bounds should normally be specified before looking at the data). If grades for this test were set at every 6.25% increase in correct answers (F = 0% to 6.25</w:t>
      </w:r>
      <w:proofErr w:type="gramStart"/>
      <w:r>
        <w:t>%, …</w:t>
      </w:r>
      <w:proofErr w:type="gramEnd"/>
      <w:r>
        <w:t xml:space="preserve"> A+ = 93.75% to 100%) we could decide that we are only interested in test score differences that correspond to an increase or decrease of at least 1 grade point. Thus, our SESOI becomes a difference in raw scores of 6.25%, or 0.0625. We can then perform an equivalence test for a two-sample Welch’s </w:t>
      </w:r>
      <w:r>
        <w:rPr>
          <w:i/>
        </w:rPr>
        <w:t>t</w:t>
      </w:r>
      <w:r>
        <w:t xml:space="preserve">-test, with equivalence bounds of </w:t>
      </w:r>
      <m:oMath>
        <m:r>
          <w:rPr>
            <w:rFonts w:ascii="Cambria Math" w:hAnsi="Cambria Math"/>
          </w:rPr>
          <m:t>±</m:t>
        </m:r>
      </m:oMath>
      <w:r>
        <w:t xml:space="preserve"> the SESOI of 0.0625. The two one-sided-tests procedure consists of two one-sided tests, and we calculate </w:t>
      </w:r>
      <w:r>
        <w:rPr>
          <w:i/>
        </w:rPr>
        <w:t>t</w:t>
      </w:r>
      <w:r>
        <w:t xml:space="preserve">-values and </w:t>
      </w:r>
      <w:r>
        <w:rPr>
          <w:i/>
        </w:rPr>
        <w:t>p</w:t>
      </w:r>
      <w:r>
        <w:t xml:space="preserve">-values both for the test </w:t>
      </w:r>
      <w:proofErr w:type="gramStart"/>
      <w:r>
        <w:t xml:space="preserve">against </w:t>
      </w:r>
      <w:proofErr w:type="gramEnd"/>
      <m:oMath>
        <m:sSub>
          <m:sSubPr>
            <m:ctrlPr>
              <w:rPr>
                <w:rFonts w:ascii="Cambria Math" w:hAnsi="Cambria Math"/>
              </w:rPr>
            </m:ctrlPr>
          </m:sSubPr>
          <m:e>
            <m:r>
              <w:rPr>
                <w:rFonts w:ascii="Cambria Math" w:hAnsi="Cambria Math"/>
              </w:rPr>
              <m:t>Δ</m:t>
            </m:r>
          </m:e>
          <m:sub>
            <m:r>
              <w:rPr>
                <w:rFonts w:ascii="Cambria Math" w:hAnsi="Cambria Math"/>
              </w:rPr>
              <m:t>L</m:t>
            </m:r>
          </m:sub>
        </m:sSub>
      </m:oMath>
      <w:r>
        <w:t xml:space="preserve">, </w:t>
      </w:r>
      <m:oMath>
        <m:r>
          <w:rPr>
            <w:rFonts w:ascii="Cambria Math" w:hAnsi="Cambria Math"/>
          </w:rPr>
          <m:t>t(97.77)=0.71</m:t>
        </m:r>
      </m:oMath>
      <w:r>
        <w:t xml:space="preserve">, </w:t>
      </w:r>
      <m:oMath>
        <m:r>
          <w:rPr>
            <w:rFonts w:ascii="Cambria Math" w:hAnsi="Cambria Math"/>
          </w:rPr>
          <m:t>p=.241</m:t>
        </m:r>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U</m:t>
            </m:r>
          </m:sub>
        </m:sSub>
      </m:oMath>
      <w:r>
        <w:t xml:space="preserve">, </w:t>
      </w:r>
      <m:oMath>
        <m:r>
          <w:rPr>
            <w:rFonts w:ascii="Cambria Math" w:hAnsi="Cambria Math"/>
          </w:rPr>
          <m:t>t(97.77)=-2.86</m:t>
        </m:r>
      </m:oMath>
      <w:r>
        <w:t xml:space="preserve">, </w:t>
      </w:r>
      <m:oMath>
        <m:r>
          <w:rPr>
            <w:rFonts w:ascii="Cambria Math" w:hAnsi="Cambria Math"/>
          </w:rPr>
          <m:t>p=.003</m:t>
        </m:r>
      </m:oMath>
      <w:r>
        <w:t xml:space="preserve">. While the </w:t>
      </w:r>
      <w:r>
        <w:rPr>
          <w:i/>
        </w:rPr>
        <w:t>t</w:t>
      </w:r>
      <w:r>
        <w:t xml:space="preserve">-test against </w:t>
      </w:r>
      <m:oMath>
        <m:sSub>
          <m:sSubPr>
            <m:ctrlPr>
              <w:rPr>
                <w:rFonts w:ascii="Cambria Math" w:hAnsi="Cambria Math"/>
              </w:rPr>
            </m:ctrlPr>
          </m:sSubPr>
          <m:e>
            <m:r>
              <w:rPr>
                <w:rFonts w:ascii="Cambria Math" w:hAnsi="Cambria Math"/>
              </w:rPr>
              <m:t>Δ</m:t>
            </m:r>
          </m:e>
          <m:sub>
            <m:r>
              <w:rPr>
                <w:rFonts w:ascii="Cambria Math" w:hAnsi="Cambria Math"/>
              </w:rPr>
              <m:t>U</m:t>
            </m:r>
          </m:sub>
        </m:sSub>
      </m:oMath>
      <w:r>
        <w:t xml:space="preserve"> indicates that we can reject differences at least as extreme as 0.0625, the test against </w:t>
      </w:r>
      <m:oMath>
        <m:sSub>
          <m:sSubPr>
            <m:ctrlPr>
              <w:rPr>
                <w:rFonts w:ascii="Cambria Math" w:hAnsi="Cambria Math"/>
              </w:rPr>
            </m:ctrlPr>
          </m:sSubPr>
          <m:e>
            <m:r>
              <w:rPr>
                <w:rFonts w:ascii="Cambria Math" w:hAnsi="Cambria Math"/>
              </w:rPr>
              <m:t>Δ</m:t>
            </m:r>
          </m:e>
          <m:sub>
            <m:r>
              <w:rPr>
                <w:rFonts w:ascii="Cambria Math" w:hAnsi="Cambria Math"/>
              </w:rPr>
              <m:t>L</m:t>
            </m:r>
          </m:sub>
        </m:sSub>
      </m:oMath>
      <w:r>
        <w:t xml:space="preserve"> shows we </w:t>
      </w:r>
      <w:proofErr w:type="spellStart"/>
      <w:r>
        <w:t xml:space="preserve">can </w:t>
      </w:r>
      <w:r>
        <w:rPr>
          <w:i/>
        </w:rPr>
        <w:t>not</w:t>
      </w:r>
      <w:proofErr w:type="spellEnd"/>
      <w:r>
        <w:t xml:space="preserve"> reject effects as </w:t>
      </w:r>
      <w:proofErr w:type="gramStart"/>
      <w:r>
        <w:t>extreme or</w:t>
      </w:r>
      <w:proofErr w:type="gramEnd"/>
      <w:r>
        <w:t xml:space="preserve"> more extreme than -0.0625. The equivalence test is therefore non-significant, which means we cannot reject a true effect as large or larger than 6.25% (Figure 2A)</w:t>
      </w:r>
      <w:proofErr w:type="gramStart"/>
      <w:r>
        <w:t xml:space="preserve">, </w:t>
      </w:r>
      <w:proofErr w:type="gramEnd"/>
      <m:oMath>
        <m:r>
          <w:rPr>
            <w:rFonts w:ascii="Cambria Math" w:hAnsi="Cambria Math"/>
          </w:rPr>
          <m:t>t(97.77)=0.71</m:t>
        </m:r>
      </m:oMath>
      <w:r>
        <w:t xml:space="preserve">, </w:t>
      </w:r>
      <m:oMath>
        <m:r>
          <w:rPr>
            <w:rFonts w:ascii="Cambria Math" w:hAnsi="Cambria Math"/>
          </w:rPr>
          <m:t>p=.241</m:t>
        </m:r>
      </m:oMath>
      <w:r>
        <w:t xml:space="preserve"> (note we typically only report the one-sided test yielding the higher </w:t>
      </w:r>
      <w:r>
        <w:rPr>
          <w:i/>
        </w:rPr>
        <w:t>p</w:t>
      </w:r>
      <w:r>
        <w:t>-value in the result section).</w:t>
      </w:r>
      <w:r w:rsidRPr="007673C6">
        <w:rPr>
          <w:vertAlign w:val="superscript"/>
        </w:rPr>
        <w:footnoteReference w:id="4"/>
      </w:r>
    </w:p>
    <w:p w:rsidR="00D674E2" w:rsidRDefault="00B26AAD">
      <w:pPr>
        <w:pStyle w:val="Heading21"/>
      </w:pPr>
      <w:bookmarkStart w:id="8" w:name="example-2-statistically-equivalent-and-n"/>
      <w:bookmarkEnd w:id="8"/>
      <w:r>
        <w:lastRenderedPageBreak/>
        <w:t>Example 2: Statistically Equivalent and Not Statistically Different</w:t>
      </w:r>
    </w:p>
    <w:p w:rsidR="00D674E2" w:rsidRDefault="00B26AAD">
      <w:r>
        <w:t>Banerjee, Chatterjee, and Sinha (2012) reported that 40 participants who had been asked to describe an unethical deed from their past judged the room to be darker than participants who had been asked to describe an ethical deed (</w:t>
      </w:r>
      <m:oMath>
        <m:r>
          <w:rPr>
            <w:rFonts w:ascii="Cambria Math" w:hAnsi="Cambria Math"/>
          </w:rPr>
          <m:t>t(38)=2.03</m:t>
        </m:r>
      </m:oMath>
      <w:proofErr w:type="gramStart"/>
      <w:r>
        <w:t xml:space="preserve">, </w:t>
      </w:r>
      <w:proofErr w:type="gramEnd"/>
      <m:oMath>
        <m:r>
          <w:rPr>
            <w:rFonts w:ascii="Cambria Math" w:hAnsi="Cambria Math"/>
          </w:rPr>
          <m:t>p=.049</m:t>
        </m:r>
      </m:oMath>
      <w:r>
        <w:t xml:space="preserve">, </w:t>
      </w:r>
      <m:oMath>
        <m:r>
          <w:rPr>
            <w:rFonts w:ascii="Cambria Math" w:hAnsi="Cambria Math"/>
          </w:rPr>
          <m:t>d=0.65</m:t>
        </m:r>
      </m:oMath>
      <w:r>
        <w:t>). A close replication by Brandt, IJzerman, and Blanken (2014) with 100 participants found no significant effect (</w:t>
      </w:r>
      <m:oMath>
        <m:sSub>
          <m:sSubPr>
            <m:ctrlPr>
              <w:rPr>
                <w:rFonts w:ascii="Cambria Math" w:hAnsi="Cambria Math"/>
              </w:rPr>
            </m:ctrlPr>
          </m:sSubPr>
          <m:e>
            <m:r>
              <w:rPr>
                <w:rFonts w:ascii="Cambria Math" w:hAnsi="Cambria Math"/>
              </w:rPr>
              <m:t>M</m:t>
            </m:r>
          </m:e>
          <m:sub>
            <m:r>
              <w:rPr>
                <w:rFonts w:ascii="Cambria Math" w:hAnsi="Cambria Math"/>
              </w:rPr>
              <m:t>unethical</m:t>
            </m:r>
          </m:sub>
        </m:sSub>
        <m:r>
          <w:rPr>
            <w:rFonts w:ascii="Cambria Math" w:hAnsi="Cambria Math"/>
          </w:rPr>
          <m:t>=4.79</m:t>
        </m:r>
      </m:oMath>
      <w:proofErr w:type="gramStart"/>
      <w:r>
        <w:t xml:space="preserve">, </w:t>
      </w:r>
      <w:proofErr w:type="gramEnd"/>
      <m:oMath>
        <m:sSub>
          <m:sSubPr>
            <m:ctrlPr>
              <w:rPr>
                <w:rFonts w:ascii="Cambria Math" w:hAnsi="Cambria Math"/>
              </w:rPr>
            </m:ctrlPr>
          </m:sSubPr>
          <m:e>
            <m:r>
              <w:rPr>
                <w:rFonts w:ascii="Cambria Math" w:hAnsi="Cambria Math"/>
              </w:rPr>
              <m:t>SD</m:t>
            </m:r>
          </m:e>
          <m:sub>
            <m:r>
              <w:rPr>
                <w:rFonts w:ascii="Cambria Math" w:hAnsi="Cambria Math"/>
              </w:rPr>
              <m:t>unethical</m:t>
            </m:r>
          </m:sub>
        </m:sSub>
        <m:r>
          <w:rPr>
            <w:rFonts w:ascii="Cambria Math" w:hAnsi="Cambria Math"/>
          </w:rPr>
          <m:t>=1.09</m:t>
        </m:r>
      </m:oMath>
      <w:r>
        <w:t xml:space="preserve">, </w:t>
      </w:r>
      <m:oMath>
        <m:sSub>
          <m:sSubPr>
            <m:ctrlPr>
              <w:rPr>
                <w:rFonts w:ascii="Cambria Math" w:hAnsi="Cambria Math"/>
              </w:rPr>
            </m:ctrlPr>
          </m:sSubPr>
          <m:e>
            <m:r>
              <w:rPr>
                <w:rFonts w:ascii="Cambria Math" w:hAnsi="Cambria Math"/>
              </w:rPr>
              <m:t>M</m:t>
            </m:r>
          </m:e>
          <m:sub>
            <m:r>
              <w:rPr>
                <w:rFonts w:ascii="Cambria Math" w:hAnsi="Cambria Math"/>
              </w:rPr>
              <m:t>ethical</m:t>
            </m:r>
          </m:sub>
        </m:sSub>
        <m:r>
          <w:rPr>
            <w:rFonts w:ascii="Cambria Math" w:hAnsi="Cambria Math"/>
          </w:rPr>
          <m:t>=4.66</m:t>
        </m:r>
      </m:oMath>
      <w:r>
        <w:t xml:space="preserve">, </w:t>
      </w:r>
      <m:oMath>
        <m:sSub>
          <m:sSubPr>
            <m:ctrlPr>
              <w:rPr>
                <w:rFonts w:ascii="Cambria Math" w:hAnsi="Cambria Math"/>
              </w:rPr>
            </m:ctrlPr>
          </m:sSubPr>
          <m:e>
            <m:r>
              <w:rPr>
                <w:rFonts w:ascii="Cambria Math" w:hAnsi="Cambria Math"/>
              </w:rPr>
              <m:t>SD</m:t>
            </m:r>
          </m:e>
          <m:sub>
            <m:r>
              <w:rPr>
                <w:rFonts w:ascii="Cambria Math" w:hAnsi="Cambria Math"/>
              </w:rPr>
              <m:t>ethical</m:t>
            </m:r>
          </m:sub>
        </m:sSub>
        <m:r>
          <w:rPr>
            <w:rFonts w:ascii="Cambria Math" w:hAnsi="Cambria Math"/>
          </w:rPr>
          <m:t>=1.19</m:t>
        </m:r>
      </m:oMath>
      <w:r>
        <w:t xml:space="preserve">, </w:t>
      </w:r>
      <m:oMath>
        <m:r>
          <w:rPr>
            <w:rFonts w:ascii="Cambria Math" w:hAnsi="Cambria Math"/>
          </w:rPr>
          <m:t>t(97.78)=0.57</m:t>
        </m:r>
      </m:oMath>
      <w:r>
        <w:t xml:space="preserve">, </w:t>
      </w:r>
      <m:oMath>
        <m:r>
          <w:rPr>
            <w:rFonts w:ascii="Cambria Math" w:hAnsi="Cambria Math"/>
          </w:rPr>
          <m:t>p=.573</m:t>
        </m:r>
      </m:oMath>
      <w:r>
        <w:t xml:space="preserve">, </w:t>
      </w:r>
      <m:oMath>
        <m:r>
          <w:rPr>
            <w:rFonts w:ascii="Cambria Math" w:hAnsi="Cambria Math"/>
          </w:rPr>
          <m:t>d=0.11</m:t>
        </m:r>
      </m:oMath>
      <w:r>
        <w:t>). We can choose (before looking at the data) to use the small telescopes approach, calculate the effect size the original study had 33% power to detect (</w:t>
      </w:r>
      <m:oMath>
        <m:r>
          <w:rPr>
            <w:rFonts w:ascii="Cambria Math" w:hAnsi="Cambria Math"/>
          </w:rPr>
          <m:t>d=0.49</m:t>
        </m:r>
      </m:oMath>
      <w:r>
        <w:t>), and use this effect size as the equivalen</w:t>
      </w:r>
      <w:proofErr w:type="spellStart"/>
      <w:r>
        <w:t>ce</w:t>
      </w:r>
      <w:proofErr w:type="spellEnd"/>
      <w:r>
        <w:t xml:space="preserve"> bounds. The two one-sided tests procedure for Welch’s </w:t>
      </w:r>
      <w:r>
        <w:rPr>
          <w:i/>
        </w:rPr>
        <w:t>t</w:t>
      </w:r>
      <w:r>
        <w:t xml:space="preserve">-test for independent samples and equivalence bounds of </w:t>
      </w:r>
      <m:oMath>
        <m:sSub>
          <m:sSubPr>
            <m:ctrlPr>
              <w:rPr>
                <w:rFonts w:ascii="Cambria Math" w:hAnsi="Cambria Math"/>
              </w:rPr>
            </m:ctrlPr>
          </m:sSubPr>
          <m:e>
            <m:r>
              <w:rPr>
                <w:rFonts w:ascii="Cambria Math" w:hAnsi="Cambria Math"/>
              </w:rPr>
              <m:t>Δ</m:t>
            </m:r>
          </m:e>
          <m:sub>
            <m:r>
              <w:rPr>
                <w:rFonts w:ascii="Cambria Math" w:hAnsi="Cambria Math"/>
              </w:rPr>
              <m:t>L</m:t>
            </m:r>
          </m:sub>
        </m:sSub>
        <m:r>
          <w:rPr>
            <w:rFonts w:ascii="Cambria Math" w:hAnsi="Cambria Math"/>
          </w:rPr>
          <m:t>=-0.49</m:t>
        </m:r>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U</m:t>
            </m:r>
          </m:sub>
        </m:sSub>
        <m:r>
          <w:rPr>
            <w:rFonts w:ascii="Cambria Math" w:hAnsi="Cambria Math"/>
          </w:rPr>
          <m:t>=0.49</m:t>
        </m:r>
      </m:oMath>
      <w:r>
        <w:t xml:space="preserve"> reveals that the effect observed in the replication study is statistically equivalent, because the larger of the two p values was less than .05, </w:t>
      </w:r>
      <m:oMath>
        <m:r>
          <w:rPr>
            <w:rFonts w:ascii="Cambria Math" w:hAnsi="Cambria Math"/>
          </w:rPr>
          <m:t>t(97.78)=-1.90</m:t>
        </m:r>
      </m:oMath>
      <w:r>
        <w:t xml:space="preserve">, </w:t>
      </w:r>
      <m:oMath>
        <m:r>
          <w:rPr>
            <w:rFonts w:ascii="Cambria Math" w:hAnsi="Cambria Math"/>
          </w:rPr>
          <m:t>p=.030</m:t>
        </m:r>
      </m:oMath>
      <w:r>
        <w:t xml:space="preserve"> (Figure 2B). Following a Neyman-Pearson approach, this means we can reject the hypothesis that the true effect is smaller than </w:t>
      </w:r>
      <m:oMath>
        <m:r>
          <w:rPr>
            <w:rFonts w:ascii="Cambria Math" w:hAnsi="Cambria Math"/>
          </w:rPr>
          <m:t>d=-0.49</m:t>
        </m:r>
      </m:oMath>
      <w:r>
        <w:t xml:space="preserve"> or larger than </w:t>
      </w:r>
      <m:oMath>
        <m:r>
          <w:rPr>
            <w:rFonts w:ascii="Cambria Math" w:hAnsi="Cambria Math"/>
          </w:rPr>
          <m:t>d=0.49</m:t>
        </m:r>
      </m:oMath>
      <w:r>
        <w:t>, and we can act as if the effect size falls within the equivalence bounds, with the understanding that based on our chosen alpha level, we will not be wrong more than 5% of the time.</w:t>
      </w:r>
    </w:p>
    <w:p w:rsidR="00D674E2" w:rsidRDefault="00B26AAD">
      <w:pPr>
        <w:pStyle w:val="Heading21"/>
      </w:pPr>
      <w:bookmarkStart w:id="9" w:name="example-3-statistically-equivalent-and-s"/>
      <w:bookmarkEnd w:id="9"/>
      <w:r>
        <w:t>Example 3: Statistically Equivalent and Statistically Different</w:t>
      </w:r>
    </w:p>
    <w:p w:rsidR="00D674E2" w:rsidRDefault="00B26AAD">
      <w:r>
        <w:t xml:space="preserve">Hyde, Lindberg, Linn, Ellis, and Williams (2008) reported that effect sizes for gender differences in mathematics tests across the 7 million students in the US represent trivial differences, which the authors specify as absolute effect sizes smaller </w:t>
      </w:r>
      <w:proofErr w:type="gramStart"/>
      <w:r>
        <w:t xml:space="preserve">than </w:t>
      </w:r>
      <w:proofErr w:type="gramEnd"/>
      <m:oMath>
        <m:r>
          <w:rPr>
            <w:rFonts w:ascii="Cambria Math" w:hAnsi="Cambria Math"/>
          </w:rPr>
          <m:t>d=0.10</m:t>
        </m:r>
      </m:oMath>
      <w:r>
        <w:t xml:space="preserve">. For example, in grade 3 the difference </w:t>
      </w:r>
      <w:proofErr w:type="gramStart"/>
      <w:r>
        <w:t xml:space="preserve">is </w:t>
      </w:r>
      <w:proofErr w:type="gramEnd"/>
      <m:oMath>
        <m:r>
          <w:rPr>
            <w:rFonts w:ascii="Cambria Math" w:hAnsi="Cambria Math"/>
          </w:rPr>
          <m:t>d=0.04</m:t>
        </m:r>
      </m:oMath>
      <w:r>
        <w:t xml:space="preserve">, with a standard error of 0.002. When we perform equivalence tests on the meta-analytic effect sizes of IQ difference for grades 2 to 11 (using an alpha level of .005 to correct for multiple comparisons) and using equivalence bounds of </w:t>
      </w:r>
      <m:oMath>
        <m:sSub>
          <m:sSubPr>
            <m:ctrlPr>
              <w:rPr>
                <w:rFonts w:ascii="Cambria Math" w:hAnsi="Cambria Math"/>
              </w:rPr>
            </m:ctrlPr>
          </m:sSubPr>
          <m:e>
            <m:r>
              <w:rPr>
                <w:rFonts w:ascii="Cambria Math" w:hAnsi="Cambria Math"/>
              </w:rPr>
              <m:t>Δ</m:t>
            </m:r>
          </m:e>
          <m:sub>
            <m:r>
              <w:rPr>
                <w:rFonts w:ascii="Cambria Math" w:hAnsi="Cambria Math"/>
              </w:rPr>
              <m:t>L</m:t>
            </m:r>
          </m:sub>
        </m:sSub>
        <m:r>
          <w:rPr>
            <w:rFonts w:ascii="Cambria Math" w:hAnsi="Cambria Math"/>
          </w:rPr>
          <m:t>=-0.1</m:t>
        </m:r>
      </m:oMath>
      <w:r>
        <w:t xml:space="preserve"> </w:t>
      </w:r>
      <w:proofErr w:type="gramStart"/>
      <w:r>
        <w:t xml:space="preserve">and </w:t>
      </w:r>
      <w:proofErr w:type="gramEnd"/>
      <m:oMath>
        <m:sSub>
          <m:sSubPr>
            <m:ctrlPr>
              <w:rPr>
                <w:rFonts w:ascii="Cambria Math" w:hAnsi="Cambria Math"/>
              </w:rPr>
            </m:ctrlPr>
          </m:sSubPr>
          <m:e>
            <m:r>
              <w:rPr>
                <w:rFonts w:ascii="Cambria Math" w:hAnsi="Cambria Math"/>
              </w:rPr>
              <m:t>Δ</m:t>
            </m:r>
          </m:e>
          <m:sub>
            <m:r>
              <w:rPr>
                <w:rFonts w:ascii="Cambria Math" w:hAnsi="Cambria Math"/>
              </w:rPr>
              <m:t>U</m:t>
            </m:r>
          </m:sub>
        </m:sSub>
        <m:r>
          <w:rPr>
            <w:rFonts w:ascii="Cambria Math" w:hAnsi="Cambria Math"/>
          </w:rPr>
          <m:t>=0.1</m:t>
        </m:r>
      </m:oMath>
      <w:r>
        <w:t>, we see that all effect size estimates are measured with such high precision that they are statistically equivalent, and can be considered trivially small according to the authors’ definition (Figure 2C). In the case of grade 3</w:t>
      </w:r>
      <w:proofErr w:type="gramStart"/>
      <w:r>
        <w:t xml:space="preserve">, </w:t>
      </w:r>
      <w:proofErr w:type="gramEnd"/>
      <m:oMath>
        <m:r>
          <w:rPr>
            <w:rFonts w:ascii="Cambria Math" w:hAnsi="Cambria Math"/>
          </w:rPr>
          <m:t>z=70.00</m:t>
        </m:r>
      </m:oMath>
      <w:r>
        <w:t xml:space="preserve">, </w:t>
      </w:r>
      <m:oMath>
        <m:r>
          <w:rPr>
            <w:rFonts w:ascii="Cambria Math" w:hAnsi="Cambria Math"/>
          </w:rPr>
          <m:t>p&lt;.001</m:t>
        </m:r>
      </m:oMath>
      <w:r>
        <w:t xml:space="preserve">. However, note that all of the effects are also statistically different from zero, as one might expect when there is no random assignment to conditions and samples sizes are very large (e.g., for grade 3, </w:t>
      </w:r>
      <m:oMath>
        <m:r>
          <w:rPr>
            <w:rFonts w:ascii="Cambria Math" w:hAnsi="Cambria Math"/>
          </w:rPr>
          <m:t>z=20.00</m:t>
        </m:r>
      </m:oMath>
      <w:r>
        <w:t xml:space="preserve">, </w:t>
      </w:r>
      <m:oMath>
        <m:r>
          <w:rPr>
            <w:rFonts w:ascii="Cambria Math" w:hAnsi="Cambria Math"/>
          </w:rPr>
          <m:t>p&lt;.001</m:t>
        </m:r>
      </m:oMath>
      <w:r>
        <w:t xml:space="preserve">). We see how equivalence tests allow researchers to distinguish between </w:t>
      </w:r>
      <w:r>
        <w:rPr>
          <w:i/>
        </w:rPr>
        <w:t>statistical</w:t>
      </w:r>
      <w:r>
        <w:t xml:space="preserve"> significance and </w:t>
      </w:r>
      <w:r>
        <w:rPr>
          <w:i/>
        </w:rPr>
        <w:t>practical</w:t>
      </w:r>
      <w:r>
        <w:t xml:space="preserve"> significance, which demonstrates how equivalence tests improve hypothesis testing procedures in psychological research.</w:t>
      </w:r>
    </w:p>
    <w:p w:rsidR="00D674E2" w:rsidRDefault="00B26AAD">
      <w:pPr>
        <w:pStyle w:val="Heading21"/>
      </w:pPr>
      <w:bookmarkStart w:id="10" w:name="example-4-statistically-inferior-and-not"/>
      <w:bookmarkEnd w:id="10"/>
      <w:r>
        <w:lastRenderedPageBreak/>
        <w:t>Example 4: Statistically Inferior and Not Statistically Different</w:t>
      </w:r>
    </w:p>
    <w:p w:rsidR="00D674E2" w:rsidRDefault="00B26AAD">
      <w:proofErr w:type="spellStart"/>
      <w:r>
        <w:t>Lynott</w:t>
      </w:r>
      <w:proofErr w:type="spellEnd"/>
      <w:r>
        <w:t xml:space="preserve"> et al. (2014) conducted a study to investigate the effect of being exposed to physically warm or cold stimuli on subsequent judgments related to interpersonal warmth and prosocial behavior (replicating L. E. Williams &amp; </w:t>
      </w:r>
      <w:proofErr w:type="spellStart"/>
      <w:r>
        <w:t>Bargh</w:t>
      </w:r>
      <w:proofErr w:type="spellEnd"/>
      <w:r>
        <w:t>, 2008). They observed that 50.74% of participants who received a cold pack (</w:t>
      </w:r>
      <m:oMath>
        <m:sSub>
          <m:sSubPr>
            <m:ctrlPr>
              <w:rPr>
                <w:rFonts w:ascii="Cambria Math" w:hAnsi="Cambria Math"/>
              </w:rPr>
            </m:ctrlPr>
          </m:sSubPr>
          <m:e>
            <m:r>
              <w:rPr>
                <w:rFonts w:ascii="Cambria Math" w:hAnsi="Cambria Math"/>
              </w:rPr>
              <m:t>n</m:t>
            </m:r>
          </m:e>
          <m:sub>
            <m:r>
              <w:rPr>
                <w:rFonts w:ascii="Cambria Math" w:hAnsi="Cambria Math"/>
              </w:rPr>
              <m:t>cold</m:t>
            </m:r>
          </m:sub>
        </m:sSub>
        <m:r>
          <w:rPr>
            <w:rFonts w:ascii="Cambria Math" w:hAnsi="Cambria Math"/>
          </w:rPr>
          <m:t>=404</m:t>
        </m:r>
      </m:oMath>
      <w:r>
        <w:t>) opted to receive a reward for themselves, while 57.46% of participants who received a warm pack (</w:t>
      </w:r>
      <m:oMath>
        <m:sSub>
          <m:sSubPr>
            <m:ctrlPr>
              <w:rPr>
                <w:rFonts w:ascii="Cambria Math" w:hAnsi="Cambria Math"/>
              </w:rPr>
            </m:ctrlPr>
          </m:sSubPr>
          <m:e>
            <m:r>
              <w:rPr>
                <w:rFonts w:ascii="Cambria Math" w:hAnsi="Cambria Math"/>
              </w:rPr>
              <m:t>n</m:t>
            </m:r>
          </m:e>
          <m:sub>
            <m:r>
              <w:rPr>
                <w:rFonts w:ascii="Cambria Math" w:hAnsi="Cambria Math"/>
              </w:rPr>
              <m:t>hot</m:t>
            </m:r>
          </m:sub>
        </m:sSub>
        <m:r>
          <w:rPr>
            <w:rFonts w:ascii="Cambria Math" w:hAnsi="Cambria Math"/>
          </w:rPr>
          <m:t>=409</m:t>
        </m:r>
      </m:oMath>
      <w:r>
        <w:t xml:space="preserve">) did the same. In a </w:t>
      </w:r>
      <w:r>
        <w:rPr>
          <w:i/>
        </w:rPr>
        <w:t>z</w:t>
      </w:r>
      <w:r>
        <w:t>-test for the difference between the proportions, this effect is not statistically significant (</w:t>
      </w:r>
      <m:oMath>
        <m:r>
          <w:rPr>
            <w:rFonts w:ascii="Cambria Math" w:hAnsi="Cambria Math"/>
          </w:rPr>
          <m:t>Diff=-6.71</m:t>
        </m:r>
      </m:oMath>
      <w:r>
        <w:t>%</w:t>
      </w:r>
      <w:proofErr w:type="gramStart"/>
      <w:r>
        <w:t xml:space="preserve">, </w:t>
      </w:r>
      <w:proofErr w:type="gramEnd"/>
      <m:oMath>
        <m:r>
          <w:rPr>
            <w:rFonts w:ascii="Cambria Math" w:hAnsi="Cambria Math"/>
          </w:rPr>
          <m:t>z=-1.93</m:t>
        </m:r>
      </m:oMath>
      <w:r>
        <w:t xml:space="preserve">, </w:t>
      </w:r>
      <m:oMath>
        <m:r>
          <w:rPr>
            <w:rFonts w:ascii="Cambria Math" w:hAnsi="Cambria Math"/>
          </w:rPr>
          <m:t>p=.054</m:t>
        </m:r>
      </m:oMath>
      <w:r>
        <w:t xml:space="preserve">). Had the authors planned to perform a null-hypothesis significance test </w:t>
      </w:r>
      <w:r>
        <w:rPr>
          <w:i/>
        </w:rPr>
        <w:t>and</w:t>
      </w:r>
      <w:r>
        <w:t xml:space="preserve"> an equivalence test, the latter would allow one to distinguish between an inconclusive outcome, </w:t>
      </w:r>
      <w:proofErr w:type="gramStart"/>
      <w:r>
        <w:t>or</w:t>
      </w:r>
      <w:proofErr w:type="gramEnd"/>
      <w:r>
        <w:t xml:space="preserve"> a statistically equivalent result.</w:t>
      </w:r>
    </w:p>
    <w:p w:rsidR="00D674E2" w:rsidRDefault="00B26AAD">
      <w:pPr>
        <w:pStyle w:val="BodyText"/>
      </w:pPr>
      <w:r>
        <w:t xml:space="preserve">Since this is a replication, we could decide in advance that we are interested in whether the observed effect size is smaller than the smallest effect size that the original study could have detected. This means that we use the critical </w:t>
      </w:r>
      <w:r>
        <w:rPr>
          <w:i/>
        </w:rPr>
        <w:t>z</w:t>
      </w:r>
      <w:r>
        <w:t xml:space="preserve"> value (~1.96 in a two-tailed test with an alpha of 0.05) as equivalence bounds (</w:t>
      </w:r>
      <m:oMath>
        <m:r>
          <w:rPr>
            <w:rFonts w:ascii="Cambria Math" w:hAnsi="Cambria Math"/>
          </w:rPr>
          <m:t>Δ=±1.96</m:t>
        </m:r>
      </m:oMath>
      <w:r>
        <w:t xml:space="preserve">). To calculate which difference corresponds to a critical </w:t>
      </w:r>
      <w:r>
        <w:rPr>
          <w:i/>
        </w:rPr>
        <w:t>z</w:t>
      </w:r>
      <w:r>
        <w:t xml:space="preserve"> value in the original study, we multiply the critical </w:t>
      </w:r>
      <w:r>
        <w:rPr>
          <w:i/>
        </w:rPr>
        <w:t>z</w:t>
      </w:r>
      <w:r>
        <w:t xml:space="preserve"> value with the standard error (</w:t>
      </w:r>
      <m:oMath>
        <m:r>
          <w:rPr>
            <w:rFonts w:ascii="Cambria Math" w:hAnsi="Cambria Math"/>
          </w:rPr>
          <m:t>1.96</m:t>
        </m:r>
      </m:oMath>
      <w:r>
        <w:t xml:space="preserve"> </w:t>
      </w:r>
      <w:proofErr w:type="gramStart"/>
      <w:r>
        <w:t xml:space="preserve">* </w:t>
      </w:r>
      <w:proofErr w:type="gramEnd"/>
      <m:oMath>
        <m:r>
          <w:rPr>
            <w:rFonts w:ascii="Cambria Math" w:hAnsi="Cambria Math"/>
          </w:rPr>
          <m:t>0.13</m:t>
        </m:r>
      </m:oMath>
      <w:r>
        <w:t xml:space="preserve">), and find that the original study could have observed a significant effect for differences of </w:t>
      </w:r>
      <m:oMath>
        <m:r>
          <w:rPr>
            <w:rFonts w:ascii="Cambria Math" w:hAnsi="Cambria Math"/>
          </w:rPr>
          <m:t>0.25</m:t>
        </m:r>
      </m:oMath>
      <w:r>
        <w:t xml:space="preserve"> or more. Since the original study had a clear directional hypothesis, in this replication study we are only interested in whether receiving a warm pack </w:t>
      </w:r>
      <w:r>
        <w:rPr>
          <w:i/>
        </w:rPr>
        <w:t>increases</w:t>
      </w:r>
      <w:r>
        <w:t xml:space="preserve"> the proportion of people who choose a gift for a friend. This means we can test for inferiority (see Figure 1D) and conclude the absence of a meaningful effect if the observed effect size is reliably </w:t>
      </w:r>
      <w:r>
        <w:rPr>
          <w:i/>
        </w:rPr>
        <w:t>lower</w:t>
      </w:r>
      <w:r>
        <w:t xml:space="preserve"> than the SESOI. We find that we can reject effects larger </w:t>
      </w:r>
      <w:proofErr w:type="gramStart"/>
      <w:r>
        <w:t xml:space="preserve">than </w:t>
      </w:r>
      <w:proofErr w:type="gramEnd"/>
      <m:oMath>
        <m:sSub>
          <m:sSubPr>
            <m:ctrlPr>
              <w:rPr>
                <w:rFonts w:ascii="Cambria Math" w:hAnsi="Cambria Math"/>
              </w:rPr>
            </m:ctrlPr>
          </m:sSubPr>
          <m:e>
            <m:r>
              <w:rPr>
                <w:rFonts w:ascii="Cambria Math" w:hAnsi="Cambria Math"/>
              </w:rPr>
              <m:t>Δ</m:t>
            </m:r>
          </m:e>
          <m:sub>
            <m:r>
              <w:rPr>
                <w:rFonts w:ascii="Cambria Math" w:hAnsi="Cambria Math"/>
              </w:rPr>
              <m:t>U</m:t>
            </m:r>
          </m:sub>
        </m:sSub>
        <m:r>
          <w:rPr>
            <w:rFonts w:ascii="Cambria Math" w:hAnsi="Cambria Math"/>
          </w:rPr>
          <m:t>=0.25</m:t>
        </m:r>
      </m:oMath>
      <w:r>
        <w:t xml:space="preserve">, </w:t>
      </w:r>
      <m:oMath>
        <m:r>
          <w:rPr>
            <w:rFonts w:ascii="Cambria Math" w:hAnsi="Cambria Math"/>
          </w:rPr>
          <m:t>z=-9.12</m:t>
        </m:r>
      </m:oMath>
      <w:r>
        <w:t xml:space="preserve">, </w:t>
      </w:r>
      <m:oMath>
        <m:r>
          <w:rPr>
            <w:rFonts w:ascii="Cambria Math" w:hAnsi="Cambria Math"/>
          </w:rPr>
          <m:t>p&lt;.001</m:t>
        </m:r>
      </m:oMath>
      <w:r>
        <w:t xml:space="preserve"> (see Figure 2D). Thus, we can conclude that the statistically non-significant effect is also statistically smaller than our SESOI.</w:t>
      </w:r>
    </w:p>
    <w:p w:rsidR="00D674E2" w:rsidRDefault="00B26AAD">
      <w:pPr>
        <w:pStyle w:val="Heading21"/>
      </w:pPr>
      <w:bookmarkStart w:id="11" w:name="example-5-statistically-equivalent-and-n"/>
      <w:bookmarkEnd w:id="11"/>
      <w:r>
        <w:t>Example 5: Statistically Equivalent and not Statistically Different</w:t>
      </w:r>
    </w:p>
    <w:p w:rsidR="00D674E2" w:rsidRDefault="00B26AAD">
      <w:proofErr w:type="spellStart"/>
      <w:r>
        <w:t>Kahane</w:t>
      </w:r>
      <w:proofErr w:type="spellEnd"/>
      <w:r>
        <w:t xml:space="preserve"> and colleagues (2015) investigated how responses to moral dilemmas in which participants have to decide whether or not they would sacrifice one person’s life to save several other lives relate to other indicators of moral orientation. Traditionally, greater endorsement for sacrificing one life to save several others has been interpreted as a more “utilitarian” moral orientation (i.e. a stronger concern for the greater good). </w:t>
      </w:r>
      <w:proofErr w:type="spellStart"/>
      <w:r>
        <w:t>Kahane</w:t>
      </w:r>
      <w:proofErr w:type="spellEnd"/>
      <w:r>
        <w:t xml:space="preserve"> et al. contest this interpretation in a number of studies. In Study 4, they compare the traditionally used dilemmas with a set of new dilemmas in which the sacrifice for the greater good is not another person’s life, but something the participant would have a partial interest in </w:t>
      </w:r>
      <w:r>
        <w:lastRenderedPageBreak/>
        <w:t>(e.g. buying a new mobile phone vs. donating the money to save lives in a distant country). The authors find no significant correlation between the two sets of dilemmas</w:t>
      </w:r>
      <w:proofErr w:type="gramStart"/>
      <w:r>
        <w:t xml:space="preserve">, </w:t>
      </w:r>
      <w:proofErr w:type="gramEnd"/>
      <m:oMath>
        <m:r>
          <w:rPr>
            <w:rFonts w:ascii="Cambria Math" w:hAnsi="Cambria Math"/>
          </w:rPr>
          <m:t>r(229)=-0.04</m:t>
        </m:r>
      </m:oMath>
      <w:r>
        <w:t xml:space="preserve">, </w:t>
      </w:r>
      <m:oMath>
        <m:r>
          <w:rPr>
            <w:rFonts w:ascii="Cambria Math" w:hAnsi="Cambria Math"/>
          </w:rPr>
          <m:t>p=.525</m:t>
        </m:r>
      </m:oMath>
      <w:r>
        <w:t xml:space="preserve">, </w:t>
      </w:r>
      <m:oMath>
        <m:r>
          <w:rPr>
            <w:rFonts w:ascii="Cambria Math" w:hAnsi="Cambria Math"/>
          </w:rPr>
          <m:t>N=231</m:t>
        </m:r>
      </m:oMath>
      <w:r w:rsidRPr="007673C6">
        <w:rPr>
          <w:vertAlign w:val="superscript"/>
        </w:rPr>
        <w:footnoteReference w:id="5"/>
      </w:r>
      <w:r>
        <w:t>. The authors conclude that “a robust association between ‘utilitarian’ judgment and genuine concern for the greater good seems extremely unlikely” (p. 206), given the statistical power their study had to detect meaningful effect sizes.</w:t>
      </w:r>
    </w:p>
    <w:p w:rsidR="00D674E2" w:rsidRDefault="00B26AAD" w:rsidP="008927DF">
      <w:pPr>
        <w:pStyle w:val="BodyText"/>
        <w:spacing w:after="0"/>
      </w:pPr>
      <w:r>
        <w:t xml:space="preserve">This interpretation can be formalized by performing an equivalence test for correlations, where equivalence bounds are set to an effect size the study had reasonable power to detect (as decided before looking at the data). With 231 participants, the study had 80% power to detect effects </w:t>
      </w:r>
      <w:proofErr w:type="gramStart"/>
      <w:r>
        <w:t xml:space="preserve">of </w:t>
      </w:r>
      <w:proofErr w:type="gramEnd"/>
      <m:oMath>
        <m:r>
          <w:rPr>
            <w:rFonts w:ascii="Cambria Math" w:hAnsi="Cambria Math"/>
          </w:rPr>
          <m:t>r=0.18</m:t>
        </m:r>
      </m:oMath>
      <w:r>
        <w:t xml:space="preserve">. Performing the two one-sided tests procedure given bounds of </w:t>
      </w:r>
      <m:oMath>
        <m:sSub>
          <m:sSubPr>
            <m:ctrlPr>
              <w:rPr>
                <w:rFonts w:ascii="Cambria Math" w:hAnsi="Cambria Math"/>
              </w:rPr>
            </m:ctrlPr>
          </m:sSubPr>
          <m:e>
            <m:r>
              <w:rPr>
                <w:rFonts w:ascii="Cambria Math" w:hAnsi="Cambria Math"/>
              </w:rPr>
              <m:t>Δ</m:t>
            </m:r>
          </m:e>
          <m:sub>
            <m:r>
              <w:rPr>
                <w:rFonts w:ascii="Cambria Math" w:hAnsi="Cambria Math"/>
              </w:rPr>
              <m:t>L</m:t>
            </m:r>
          </m:sub>
        </m:sSub>
        <m:r>
          <w:rPr>
            <w:rFonts w:ascii="Cambria Math" w:hAnsi="Cambria Math"/>
          </w:rPr>
          <m:t>=-0.18</m:t>
        </m:r>
      </m:oMath>
      <w:r>
        <w:t xml:space="preserve"> </w:t>
      </w:r>
      <w:proofErr w:type="gramStart"/>
      <w:r>
        <w:t xml:space="preserve">and </w:t>
      </w:r>
      <w:proofErr w:type="gramEnd"/>
      <m:oMath>
        <m:sSub>
          <m:sSubPr>
            <m:ctrlPr>
              <w:rPr>
                <w:rFonts w:ascii="Cambria Math" w:hAnsi="Cambria Math"/>
              </w:rPr>
            </m:ctrlPr>
          </m:sSubPr>
          <m:e>
            <m:r>
              <w:rPr>
                <w:rFonts w:ascii="Cambria Math" w:hAnsi="Cambria Math"/>
              </w:rPr>
              <m:t>Δ</m:t>
            </m:r>
          </m:e>
          <m:sub>
            <m:r>
              <w:rPr>
                <w:rFonts w:ascii="Cambria Math" w:hAnsi="Cambria Math"/>
              </w:rPr>
              <m:t>U</m:t>
            </m:r>
          </m:sub>
        </m:sSub>
        <m:r>
          <w:rPr>
            <w:rFonts w:ascii="Cambria Math" w:hAnsi="Cambria Math"/>
          </w:rPr>
          <m:t>=0.18</m:t>
        </m:r>
      </m:oMath>
      <w:r>
        <w:t xml:space="preserve">, the data is statistically equivalent, </w:t>
      </w:r>
      <m:oMath>
        <m:r>
          <w:rPr>
            <w:rFonts w:ascii="Cambria Math" w:hAnsi="Cambria Math"/>
          </w:rPr>
          <m:t>r(229)=-0.04</m:t>
        </m:r>
      </m:oMath>
      <w:r>
        <w:t xml:space="preserve">, </w:t>
      </w:r>
      <m:oMath>
        <m:r>
          <w:rPr>
            <w:rFonts w:ascii="Cambria Math" w:hAnsi="Cambria Math"/>
          </w:rPr>
          <m:t>p=.015</m:t>
        </m:r>
      </m:oMath>
      <w:r>
        <w:t xml:space="preserve">. This means that values smaller than </w:t>
      </w:r>
      <m:oMath>
        <m:r>
          <w:rPr>
            <w:rFonts w:ascii="Cambria Math" w:hAnsi="Cambria Math"/>
          </w:rPr>
          <m:t>r=-0.18</m:t>
        </m:r>
      </m:oMath>
      <w:r>
        <w:t xml:space="preserve"> and larger than </w:t>
      </w:r>
      <m:oMath>
        <m:r>
          <w:rPr>
            <w:rFonts w:ascii="Cambria Math" w:hAnsi="Cambria Math"/>
          </w:rPr>
          <m:t>r=0.18</m:t>
        </m:r>
      </m:oMath>
      <w:r>
        <w:t xml:space="preserve"> can be rejected at an alpha level of 5%. If other researchers are interested in examining the presence of a smaller effect size, they can design studies with a larger sample size.</w:t>
      </w:r>
    </w:p>
    <w:p w:rsidR="008927DF" w:rsidRDefault="008927DF" w:rsidP="008927DF">
      <w:pPr>
        <w:pStyle w:val="BodyText"/>
        <w:ind w:firstLine="0"/>
      </w:pPr>
      <w:r>
        <w:rPr>
          <w:rFonts w:ascii="Cambria Math" w:hAnsi="Cambria Math" w:cs="Times New Roman"/>
          <w:noProof/>
          <w:lang w:val="en-GB" w:eastAsia="en-GB"/>
        </w:rPr>
        <mc:AlternateContent>
          <mc:Choice Requires="wps">
            <w:drawing>
              <wp:inline distT="0" distB="0" distL="0" distR="0">
                <wp:extent cx="5760720" cy="3209925"/>
                <wp:effectExtent l="0" t="0" r="11430"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20992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927DF" w:rsidRPr="008927DF" w:rsidRDefault="008927DF" w:rsidP="008927DF">
                            <w:pPr>
                              <w:spacing w:before="120" w:after="0" w:line="244" w:lineRule="auto"/>
                              <w:ind w:left="171" w:right="146" w:firstLine="7"/>
                              <w:jc w:val="both"/>
                              <w:rPr>
                                <w:rFonts w:ascii="Cambria Math" w:eastAsia="Tahoma" w:hAnsi="Cambria Math" w:cs="Tahoma"/>
                              </w:rPr>
                            </w:pPr>
                            <w:r w:rsidRPr="008927DF">
                              <w:rPr>
                                <w:rFonts w:ascii="Cambria Math" w:eastAsia="Tahoma" w:hAnsi="Cambria Math" w:cs="Tahoma"/>
                                <w:w w:val="95"/>
                              </w:rPr>
                              <w:t>Equivalence tests can be performed based on summary statistics (e.g., means, standard deviations,</w:t>
                            </w:r>
                            <w:r w:rsidRPr="008927DF">
                              <w:rPr>
                                <w:rFonts w:ascii="Cambria Math" w:eastAsia="Tahoma" w:hAnsi="Cambria Math" w:cs="Tahoma"/>
                                <w:w w:val="92"/>
                              </w:rPr>
                              <w:t xml:space="preserve"> </w:t>
                            </w:r>
                            <w:r w:rsidRPr="008927DF">
                              <w:rPr>
                                <w:rFonts w:ascii="Cambria Math" w:eastAsia="Tahoma" w:hAnsi="Cambria Math" w:cs="Tahoma"/>
                              </w:rPr>
                              <w:t>and sample sizes) with the “TOSTER” package in the open-source programming</w:t>
                            </w:r>
                            <w:r w:rsidRPr="008927DF">
                              <w:rPr>
                                <w:rFonts w:ascii="Cambria Math" w:eastAsia="Tahoma" w:hAnsi="Cambria Math" w:cs="Tahoma"/>
                              </w:rPr>
                              <w:t xml:space="preserve"> </w:t>
                            </w:r>
                            <w:r w:rsidRPr="008927DF">
                              <w:rPr>
                                <w:rFonts w:ascii="Cambria Math" w:eastAsia="Tahoma" w:hAnsi="Cambria Math" w:cs="Tahoma"/>
                              </w:rPr>
                              <w:t>language</w:t>
                            </w:r>
                            <w:r w:rsidRPr="008927DF">
                              <w:rPr>
                                <w:rFonts w:ascii="Cambria Math" w:eastAsia="Tahoma" w:hAnsi="Cambria Math" w:cs="Tahoma"/>
                              </w:rPr>
                              <w:t xml:space="preserve"> </w:t>
                            </w:r>
                            <w:r w:rsidRPr="008927DF">
                              <w:rPr>
                                <w:rFonts w:ascii="Cambria Math" w:eastAsia="Tahoma" w:hAnsi="Cambria Math" w:cs="Tahoma"/>
                              </w:rPr>
                              <w:t>R. Using</w:t>
                            </w:r>
                            <w:r w:rsidRPr="008927DF">
                              <w:rPr>
                                <w:rFonts w:ascii="Cambria Math" w:eastAsia="Tahoma" w:hAnsi="Cambria Math" w:cs="Tahoma"/>
                                <w:w w:val="92"/>
                              </w:rPr>
                              <w:t xml:space="preserve"> </w:t>
                            </w:r>
                            <w:r w:rsidRPr="008927DF">
                              <w:rPr>
                                <w:rFonts w:ascii="Cambria Math" w:eastAsia="Tahoma" w:hAnsi="Cambria Math" w:cs="Tahoma"/>
                              </w:rPr>
                              <w:t>TOSTER</w:t>
                            </w:r>
                            <w:r w:rsidRPr="008927DF">
                              <w:rPr>
                                <w:rFonts w:ascii="Cambria Math" w:eastAsia="Tahoma" w:hAnsi="Cambria Math" w:cs="Tahoma"/>
                              </w:rPr>
                              <w:t xml:space="preserve"> </w:t>
                            </w:r>
                            <w:r w:rsidRPr="008927DF">
                              <w:rPr>
                                <w:rFonts w:ascii="Cambria Math" w:eastAsia="Tahoma" w:hAnsi="Cambria Math" w:cs="Tahoma"/>
                              </w:rPr>
                              <w:t>in</w:t>
                            </w:r>
                            <w:r w:rsidRPr="008927DF">
                              <w:rPr>
                                <w:rFonts w:ascii="Cambria Math" w:eastAsia="Tahoma" w:hAnsi="Cambria Math" w:cs="Tahoma"/>
                              </w:rPr>
                              <w:t xml:space="preserve"> </w:t>
                            </w:r>
                            <w:r w:rsidRPr="008927DF">
                              <w:rPr>
                                <w:rFonts w:ascii="Cambria Math" w:eastAsia="Tahoma" w:hAnsi="Cambria Math" w:cs="Tahoma"/>
                              </w:rPr>
                              <w:t>R</w:t>
                            </w:r>
                            <w:r w:rsidRPr="008927DF">
                              <w:rPr>
                                <w:rFonts w:ascii="Cambria Math" w:eastAsia="Tahoma" w:hAnsi="Cambria Math" w:cs="Tahoma"/>
                              </w:rPr>
                              <w:t xml:space="preserve"> </w:t>
                            </w:r>
                            <w:r w:rsidRPr="008927DF">
                              <w:rPr>
                                <w:rFonts w:ascii="Cambria Math" w:eastAsia="Tahoma" w:hAnsi="Cambria Math" w:cs="Tahoma"/>
                              </w:rPr>
                              <w:t>requires</w:t>
                            </w:r>
                            <w:r w:rsidRPr="008927DF">
                              <w:rPr>
                                <w:rFonts w:ascii="Cambria Math" w:eastAsia="Tahoma" w:hAnsi="Cambria Math" w:cs="Tahoma"/>
                              </w:rPr>
                              <w:t xml:space="preserve"> </w:t>
                            </w:r>
                            <w:r w:rsidRPr="008927DF">
                              <w:rPr>
                                <w:rFonts w:ascii="Cambria Math" w:eastAsia="Tahoma" w:hAnsi="Cambria Math" w:cs="Tahoma"/>
                              </w:rPr>
                              <w:t>no</w:t>
                            </w:r>
                            <w:r w:rsidRPr="008927DF">
                              <w:rPr>
                                <w:rFonts w:ascii="Cambria Math" w:eastAsia="Tahoma" w:hAnsi="Cambria Math" w:cs="Tahoma"/>
                              </w:rPr>
                              <w:t xml:space="preserve"> </w:t>
                            </w:r>
                            <w:r w:rsidRPr="008927DF">
                              <w:rPr>
                                <w:rFonts w:ascii="Cambria Math" w:eastAsia="Tahoma" w:hAnsi="Cambria Math" w:cs="Tahoma"/>
                              </w:rPr>
                              <w:t>more programming</w:t>
                            </w:r>
                            <w:r w:rsidRPr="008927DF">
                              <w:rPr>
                                <w:rFonts w:ascii="Cambria Math" w:eastAsia="Tahoma" w:hAnsi="Cambria Math" w:cs="Tahoma"/>
                              </w:rPr>
                              <w:t xml:space="preserve"> </w:t>
                            </w:r>
                            <w:r w:rsidRPr="008927DF">
                              <w:rPr>
                                <w:rFonts w:ascii="Cambria Math" w:eastAsia="Tahoma" w:hAnsi="Cambria Math" w:cs="Tahoma"/>
                              </w:rPr>
                              <w:t>experience than reproducing three lines of code.</w:t>
                            </w:r>
                          </w:p>
                          <w:p w:rsidR="008927DF" w:rsidRPr="008927DF" w:rsidRDefault="008927DF" w:rsidP="008927DF">
                            <w:pPr>
                              <w:spacing w:before="113" w:line="244" w:lineRule="auto"/>
                              <w:ind w:left="179" w:right="146" w:hanging="8"/>
                              <w:jc w:val="both"/>
                              <w:rPr>
                                <w:rFonts w:ascii="Cambria Math" w:eastAsia="Tahoma" w:hAnsi="Cambria Math" w:cs="Tahoma"/>
                              </w:rPr>
                            </w:pPr>
                            <w:r w:rsidRPr="008927DF">
                              <w:rPr>
                                <w:rFonts w:ascii="Cambria Math" w:hAnsi="Cambria Math"/>
                              </w:rPr>
                              <w:t xml:space="preserve">The code below reproduces the result of Example 2 in R, which can be typed into R or </w:t>
                            </w:r>
                            <w:proofErr w:type="spellStart"/>
                            <w:r w:rsidRPr="008927DF">
                              <w:rPr>
                                <w:rFonts w:ascii="Cambria Math" w:hAnsi="Cambria Math"/>
                              </w:rPr>
                              <w:t>RStudio</w:t>
                            </w:r>
                            <w:proofErr w:type="spellEnd"/>
                            <w:r w:rsidRPr="008927DF">
                              <w:rPr>
                                <w:rFonts w:ascii="Cambria Math" w:hAnsi="Cambria Math"/>
                              </w:rPr>
                              <w:t>. The</w:t>
                            </w:r>
                            <w:r w:rsidRPr="008927DF">
                              <w:rPr>
                                <w:rFonts w:ascii="Cambria Math" w:hAnsi="Cambria Math"/>
                                <w:w w:val="95"/>
                              </w:rPr>
                              <w:t xml:space="preserve"> </w:t>
                            </w:r>
                            <w:r w:rsidRPr="008927DF">
                              <w:rPr>
                                <w:rFonts w:ascii="Cambria Math" w:hAnsi="Cambria Math"/>
                              </w:rPr>
                              <w:t>parameters of the test are defined inside the parentheses. Simply copy the example to the console,</w:t>
                            </w:r>
                            <w:r w:rsidRPr="008927DF">
                              <w:rPr>
                                <w:rFonts w:ascii="Cambria Math" w:hAnsi="Cambria Math"/>
                                <w:w w:val="91"/>
                              </w:rPr>
                              <w:t xml:space="preserve"> </w:t>
                            </w:r>
                            <w:r w:rsidRPr="008927DF">
                              <w:rPr>
                                <w:rFonts w:ascii="Cambria Math" w:hAnsi="Cambria Math"/>
                                <w:w w:val="95"/>
                              </w:rPr>
                              <w:t>replace the values with the corresponding values of your own study, and run the code. Results and a</w:t>
                            </w:r>
                            <w:r w:rsidRPr="008927DF">
                              <w:rPr>
                                <w:rFonts w:ascii="Cambria Math" w:hAnsi="Cambria Math"/>
                                <w:w w:val="88"/>
                              </w:rPr>
                              <w:t xml:space="preserve"> </w:t>
                            </w:r>
                            <w:r w:rsidRPr="008927DF">
                              <w:rPr>
                                <w:rFonts w:ascii="Cambria Math" w:hAnsi="Cambria Math"/>
                              </w:rPr>
                              <w:t>plot will automatically be printed. A help file provides more detailed information.</w:t>
                            </w:r>
                          </w:p>
                          <w:p w:rsidR="008927DF" w:rsidRDefault="008927DF" w:rsidP="008927DF">
                            <w:pPr>
                              <w:spacing w:after="0" w:line="438" w:lineRule="auto"/>
                              <w:ind w:left="284" w:right="-7" w:firstLine="0"/>
                              <w:rPr>
                                <w:rFonts w:ascii="Consolas" w:hAnsi="Consolas"/>
                                <w:w w:val="110"/>
                                <w:sz w:val="22"/>
                              </w:rPr>
                            </w:pPr>
                            <w:proofErr w:type="spellStart"/>
                            <w:proofErr w:type="gramStart"/>
                            <w:r w:rsidRPr="00002BE6">
                              <w:rPr>
                                <w:rFonts w:ascii="Consolas" w:hAnsi="Consolas"/>
                                <w:w w:val="105"/>
                                <w:sz w:val="22"/>
                              </w:rPr>
                              <w:t>install.packages</w:t>
                            </w:r>
                            <w:proofErr w:type="spellEnd"/>
                            <w:r w:rsidRPr="00002BE6">
                              <w:rPr>
                                <w:rFonts w:ascii="Consolas" w:hAnsi="Consolas"/>
                                <w:w w:val="105"/>
                                <w:sz w:val="22"/>
                              </w:rPr>
                              <w:t>(</w:t>
                            </w:r>
                            <w:proofErr w:type="gramEnd"/>
                            <w:r w:rsidRPr="00002BE6">
                              <w:rPr>
                                <w:rFonts w:ascii="Consolas" w:hAnsi="Consolas"/>
                                <w:w w:val="105"/>
                                <w:sz w:val="22"/>
                              </w:rPr>
                              <w:t>"TOSTER")</w:t>
                            </w:r>
                            <w:r w:rsidRPr="00002BE6">
                              <w:rPr>
                                <w:rFonts w:ascii="Consolas" w:hAnsi="Consolas"/>
                                <w:w w:val="110"/>
                                <w:sz w:val="22"/>
                              </w:rPr>
                              <w:t xml:space="preserve"> </w:t>
                            </w:r>
                          </w:p>
                          <w:p w:rsidR="008927DF" w:rsidRPr="00002BE6" w:rsidRDefault="008927DF" w:rsidP="008927DF">
                            <w:pPr>
                              <w:spacing w:before="0" w:after="0" w:line="438" w:lineRule="auto"/>
                              <w:ind w:left="284" w:right="-7" w:firstLine="0"/>
                              <w:rPr>
                                <w:rFonts w:ascii="Consolas" w:eastAsia="Palatino Linotype" w:hAnsi="Consolas" w:cs="Palatino Linotype"/>
                              </w:rPr>
                            </w:pPr>
                            <w:proofErr w:type="gramStart"/>
                            <w:r w:rsidRPr="00002BE6">
                              <w:rPr>
                                <w:rFonts w:ascii="Consolas" w:hAnsi="Consolas"/>
                                <w:w w:val="105"/>
                                <w:sz w:val="22"/>
                              </w:rPr>
                              <w:t>library(</w:t>
                            </w:r>
                            <w:proofErr w:type="gramEnd"/>
                            <w:r w:rsidRPr="00002BE6">
                              <w:rPr>
                                <w:rFonts w:ascii="Consolas" w:hAnsi="Consolas"/>
                                <w:w w:val="105"/>
                                <w:sz w:val="22"/>
                              </w:rPr>
                              <w:t>TOSTER)</w:t>
                            </w:r>
                          </w:p>
                          <w:p w:rsidR="008927DF" w:rsidRPr="00002BE6" w:rsidRDefault="008927DF" w:rsidP="008927DF">
                            <w:pPr>
                              <w:spacing w:before="0" w:after="0" w:line="284" w:lineRule="exact"/>
                              <w:ind w:left="284" w:right="285" w:firstLine="0"/>
                              <w:jc w:val="both"/>
                              <w:rPr>
                                <w:rFonts w:ascii="Consolas" w:eastAsia="Palatino Linotype" w:hAnsi="Consolas" w:cs="Palatino Linotype"/>
                              </w:rPr>
                            </w:pPr>
                            <w:proofErr w:type="spellStart"/>
                            <w:proofErr w:type="gramStart"/>
                            <w:r w:rsidRPr="00002BE6">
                              <w:rPr>
                                <w:rFonts w:ascii="Consolas" w:hAnsi="Consolas"/>
                                <w:sz w:val="22"/>
                              </w:rPr>
                              <w:t>TOSTtwo</w:t>
                            </w:r>
                            <w:proofErr w:type="spellEnd"/>
                            <w:r w:rsidRPr="00002BE6">
                              <w:rPr>
                                <w:rFonts w:ascii="Consolas" w:hAnsi="Consolas"/>
                                <w:sz w:val="22"/>
                              </w:rPr>
                              <w:t>(</w:t>
                            </w:r>
                            <w:proofErr w:type="gramEnd"/>
                            <w:r w:rsidRPr="00002BE6">
                              <w:rPr>
                                <w:rFonts w:ascii="Consolas" w:hAnsi="Consolas"/>
                                <w:sz w:val="22"/>
                              </w:rPr>
                              <w:t>m1</w:t>
                            </w:r>
                            <w:r w:rsidRPr="00002BE6">
                              <w:rPr>
                                <w:rFonts w:ascii="Consolas" w:hAnsi="Consolas"/>
                                <w:spacing w:val="32"/>
                                <w:sz w:val="22"/>
                              </w:rPr>
                              <w:t xml:space="preserve"> </w:t>
                            </w:r>
                            <w:r w:rsidRPr="00002BE6">
                              <w:rPr>
                                <w:rFonts w:ascii="Consolas" w:hAnsi="Consolas"/>
                                <w:sz w:val="22"/>
                              </w:rPr>
                              <w:t>= 4.7857, m2</w:t>
                            </w:r>
                            <w:r w:rsidRPr="00002BE6">
                              <w:rPr>
                                <w:rFonts w:ascii="Consolas" w:hAnsi="Consolas"/>
                                <w:spacing w:val="32"/>
                                <w:sz w:val="22"/>
                              </w:rPr>
                              <w:t xml:space="preserve"> </w:t>
                            </w:r>
                            <w:r w:rsidRPr="00002BE6">
                              <w:rPr>
                                <w:rFonts w:ascii="Consolas" w:hAnsi="Consolas"/>
                                <w:sz w:val="22"/>
                              </w:rPr>
                              <w:t>= 4.6569,</w:t>
                            </w:r>
                            <w:r w:rsidRPr="00002BE6">
                              <w:rPr>
                                <w:rFonts w:ascii="Consolas" w:hAnsi="Consolas"/>
                                <w:spacing w:val="32"/>
                                <w:sz w:val="22"/>
                              </w:rPr>
                              <w:t xml:space="preserve"> </w:t>
                            </w:r>
                            <w:r w:rsidRPr="00002BE6">
                              <w:rPr>
                                <w:rFonts w:ascii="Consolas" w:hAnsi="Consolas"/>
                                <w:sz w:val="22"/>
                              </w:rPr>
                              <w:t>sd1 = 1.0897,</w:t>
                            </w:r>
                            <w:r w:rsidRPr="00002BE6">
                              <w:rPr>
                                <w:rFonts w:ascii="Consolas" w:hAnsi="Consolas"/>
                                <w:spacing w:val="32"/>
                                <w:sz w:val="22"/>
                              </w:rPr>
                              <w:t xml:space="preserve"> </w:t>
                            </w:r>
                            <w:r w:rsidRPr="00002BE6">
                              <w:rPr>
                                <w:rFonts w:ascii="Consolas" w:hAnsi="Consolas"/>
                                <w:sz w:val="22"/>
                              </w:rPr>
                              <w:t>sd2</w:t>
                            </w:r>
                            <w:r w:rsidRPr="00002BE6">
                              <w:rPr>
                                <w:rFonts w:ascii="Consolas" w:hAnsi="Consolas"/>
                                <w:spacing w:val="32"/>
                                <w:sz w:val="22"/>
                              </w:rPr>
                              <w:t xml:space="preserve"> </w:t>
                            </w:r>
                            <w:r w:rsidRPr="00002BE6">
                              <w:rPr>
                                <w:rFonts w:ascii="Consolas" w:hAnsi="Consolas"/>
                                <w:sz w:val="22"/>
                              </w:rPr>
                              <w:t>= 1.1895, n1 = 49,</w:t>
                            </w:r>
                            <w:r>
                              <w:rPr>
                                <w:rFonts w:ascii="Consolas" w:hAnsi="Consolas"/>
                                <w:sz w:val="22"/>
                              </w:rPr>
                              <w:t xml:space="preserve"> </w:t>
                            </w:r>
                            <w:r w:rsidRPr="00002BE6">
                              <w:rPr>
                                <w:rFonts w:ascii="Consolas" w:hAnsi="Consolas"/>
                                <w:w w:val="105"/>
                                <w:sz w:val="22"/>
                              </w:rPr>
                              <w:t>n2</w:t>
                            </w:r>
                            <w:r w:rsidRPr="00002BE6">
                              <w:rPr>
                                <w:rFonts w:ascii="Consolas" w:hAnsi="Consolas"/>
                                <w:spacing w:val="1"/>
                                <w:w w:val="105"/>
                                <w:sz w:val="22"/>
                              </w:rPr>
                              <w:t xml:space="preserve"> </w:t>
                            </w:r>
                            <w:r w:rsidRPr="00002BE6">
                              <w:rPr>
                                <w:rFonts w:ascii="Consolas" w:hAnsi="Consolas"/>
                                <w:w w:val="105"/>
                                <w:sz w:val="22"/>
                              </w:rPr>
                              <w:t>=</w:t>
                            </w:r>
                            <w:r w:rsidRPr="00002BE6">
                              <w:rPr>
                                <w:rFonts w:ascii="Consolas" w:hAnsi="Consolas"/>
                                <w:spacing w:val="1"/>
                                <w:w w:val="105"/>
                                <w:sz w:val="22"/>
                              </w:rPr>
                              <w:t xml:space="preserve"> </w:t>
                            </w:r>
                            <w:r w:rsidRPr="00002BE6">
                              <w:rPr>
                                <w:rFonts w:ascii="Consolas" w:hAnsi="Consolas"/>
                                <w:w w:val="105"/>
                                <w:sz w:val="22"/>
                              </w:rPr>
                              <w:t>51,</w:t>
                            </w:r>
                            <w:r w:rsidRPr="00002BE6">
                              <w:rPr>
                                <w:rFonts w:ascii="Consolas" w:hAnsi="Consolas"/>
                                <w:spacing w:val="2"/>
                                <w:w w:val="105"/>
                                <w:sz w:val="22"/>
                              </w:rPr>
                              <w:t xml:space="preserve"> </w:t>
                            </w:r>
                            <w:proofErr w:type="spellStart"/>
                            <w:r w:rsidRPr="00002BE6">
                              <w:rPr>
                                <w:rFonts w:ascii="Consolas" w:hAnsi="Consolas"/>
                                <w:w w:val="105"/>
                                <w:sz w:val="22"/>
                              </w:rPr>
                              <w:t>low_eqbound_d</w:t>
                            </w:r>
                            <w:proofErr w:type="spellEnd"/>
                            <w:r w:rsidRPr="00002BE6">
                              <w:rPr>
                                <w:rFonts w:ascii="Consolas" w:hAnsi="Consolas"/>
                                <w:spacing w:val="1"/>
                                <w:w w:val="105"/>
                                <w:sz w:val="22"/>
                              </w:rPr>
                              <w:t xml:space="preserve"> </w:t>
                            </w:r>
                            <w:r w:rsidRPr="00002BE6">
                              <w:rPr>
                                <w:rFonts w:ascii="Consolas" w:hAnsi="Consolas"/>
                                <w:w w:val="105"/>
                                <w:sz w:val="22"/>
                              </w:rPr>
                              <w:t>=</w:t>
                            </w:r>
                            <w:r w:rsidRPr="00002BE6">
                              <w:rPr>
                                <w:rFonts w:ascii="Consolas" w:hAnsi="Consolas"/>
                                <w:spacing w:val="2"/>
                                <w:w w:val="105"/>
                                <w:sz w:val="22"/>
                              </w:rPr>
                              <w:t xml:space="preserve"> </w:t>
                            </w:r>
                            <w:r w:rsidRPr="00002BE6">
                              <w:rPr>
                                <w:rFonts w:ascii="Consolas" w:hAnsi="Consolas"/>
                                <w:w w:val="105"/>
                                <w:sz w:val="22"/>
                              </w:rPr>
                              <w:t>-0.6401696,</w:t>
                            </w:r>
                            <w:r w:rsidRPr="00002BE6">
                              <w:rPr>
                                <w:rFonts w:ascii="Consolas" w:hAnsi="Consolas"/>
                                <w:spacing w:val="1"/>
                                <w:w w:val="105"/>
                                <w:sz w:val="22"/>
                              </w:rPr>
                              <w:t xml:space="preserve"> </w:t>
                            </w:r>
                            <w:proofErr w:type="spellStart"/>
                            <w:r w:rsidRPr="00002BE6">
                              <w:rPr>
                                <w:rFonts w:ascii="Consolas" w:hAnsi="Consolas"/>
                                <w:w w:val="105"/>
                                <w:sz w:val="22"/>
                              </w:rPr>
                              <w:t>high_eqbound_d</w:t>
                            </w:r>
                            <w:proofErr w:type="spellEnd"/>
                            <w:r w:rsidRPr="00002BE6">
                              <w:rPr>
                                <w:rFonts w:ascii="Consolas" w:hAnsi="Consolas"/>
                                <w:spacing w:val="2"/>
                                <w:w w:val="105"/>
                                <w:sz w:val="22"/>
                              </w:rPr>
                              <w:t xml:space="preserve"> </w:t>
                            </w:r>
                            <w:r w:rsidRPr="00002BE6">
                              <w:rPr>
                                <w:rFonts w:ascii="Consolas" w:hAnsi="Consolas"/>
                                <w:w w:val="105"/>
                                <w:sz w:val="22"/>
                              </w:rPr>
                              <w:t>=</w:t>
                            </w:r>
                            <w:r w:rsidRPr="00002BE6">
                              <w:rPr>
                                <w:rFonts w:ascii="Consolas" w:hAnsi="Consolas"/>
                                <w:spacing w:val="1"/>
                                <w:w w:val="105"/>
                                <w:sz w:val="22"/>
                              </w:rPr>
                              <w:t xml:space="preserve"> </w:t>
                            </w:r>
                            <w:r w:rsidRPr="00002BE6">
                              <w:rPr>
                                <w:rFonts w:ascii="Consolas" w:hAnsi="Consolas"/>
                                <w:w w:val="105"/>
                                <w:sz w:val="22"/>
                              </w:rPr>
                              <w:t>0.6401696,</w:t>
                            </w:r>
                            <w:r w:rsidRPr="00002BE6">
                              <w:rPr>
                                <w:rFonts w:ascii="Consolas" w:hAnsi="Consolas"/>
                                <w:spacing w:val="1"/>
                                <w:w w:val="105"/>
                                <w:sz w:val="22"/>
                              </w:rPr>
                              <w:t xml:space="preserve"> </w:t>
                            </w:r>
                            <w:r w:rsidRPr="00002BE6">
                              <w:rPr>
                                <w:rFonts w:ascii="Consolas" w:hAnsi="Consolas"/>
                                <w:w w:val="105"/>
                                <w:sz w:val="22"/>
                              </w:rPr>
                              <w:t>alpha</w:t>
                            </w:r>
                            <w:r w:rsidRPr="00002BE6">
                              <w:rPr>
                                <w:rFonts w:ascii="Consolas" w:hAnsi="Consolas"/>
                                <w:spacing w:val="2"/>
                                <w:w w:val="105"/>
                                <w:sz w:val="22"/>
                              </w:rPr>
                              <w:t xml:space="preserve"> </w:t>
                            </w:r>
                            <w:r w:rsidRPr="00002BE6">
                              <w:rPr>
                                <w:rFonts w:ascii="Consolas" w:hAnsi="Consolas"/>
                                <w:w w:val="105"/>
                                <w:sz w:val="22"/>
                              </w:rPr>
                              <w:t>=</w:t>
                            </w:r>
                            <w:r w:rsidRPr="00002BE6">
                              <w:rPr>
                                <w:rFonts w:ascii="Consolas" w:hAnsi="Consolas"/>
                                <w:spacing w:val="1"/>
                                <w:w w:val="105"/>
                                <w:sz w:val="22"/>
                              </w:rPr>
                              <w:t xml:space="preserve"> </w:t>
                            </w:r>
                            <w:r w:rsidRPr="00002BE6">
                              <w:rPr>
                                <w:rFonts w:ascii="Consolas" w:hAnsi="Consolas"/>
                                <w:w w:val="105"/>
                                <w:sz w:val="22"/>
                              </w:rPr>
                              <w:t>0.05,</w:t>
                            </w:r>
                            <w:r w:rsidRPr="00002BE6">
                              <w:rPr>
                                <w:rFonts w:ascii="Consolas" w:hAnsi="Consolas"/>
                                <w:w w:val="130"/>
                                <w:sz w:val="22"/>
                              </w:rPr>
                              <w:t xml:space="preserve"> </w:t>
                            </w:r>
                            <w:proofErr w:type="spellStart"/>
                            <w:r w:rsidRPr="00002BE6">
                              <w:rPr>
                                <w:rFonts w:ascii="Consolas" w:hAnsi="Consolas"/>
                                <w:w w:val="105"/>
                                <w:sz w:val="22"/>
                              </w:rPr>
                              <w:t>var.equal</w:t>
                            </w:r>
                            <w:proofErr w:type="spellEnd"/>
                            <w:r w:rsidRPr="00002BE6">
                              <w:rPr>
                                <w:rFonts w:ascii="Consolas" w:hAnsi="Consolas"/>
                                <w:spacing w:val="39"/>
                                <w:w w:val="105"/>
                                <w:sz w:val="22"/>
                              </w:rPr>
                              <w:t xml:space="preserve"> </w:t>
                            </w:r>
                            <w:r w:rsidRPr="00002BE6">
                              <w:rPr>
                                <w:rFonts w:ascii="Consolas" w:hAnsi="Consolas"/>
                                <w:w w:val="105"/>
                                <w:sz w:val="22"/>
                              </w:rPr>
                              <w:t>=</w:t>
                            </w:r>
                            <w:r w:rsidRPr="00002BE6">
                              <w:rPr>
                                <w:rFonts w:ascii="Consolas" w:hAnsi="Consolas"/>
                                <w:spacing w:val="40"/>
                                <w:w w:val="105"/>
                                <w:sz w:val="22"/>
                              </w:rPr>
                              <w:t xml:space="preserve"> </w:t>
                            </w:r>
                            <w:r w:rsidRPr="00002BE6">
                              <w:rPr>
                                <w:rFonts w:ascii="Consolas" w:hAnsi="Consolas"/>
                                <w:w w:val="105"/>
                                <w:sz w:val="22"/>
                              </w:rPr>
                              <w:t>FALSE)</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53.6pt;height:2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reQIAAAAFAAAOAAAAZHJzL2Uyb0RvYy54bWysVNtu2zAMfR+wfxD0ntrOrYlRp+jiZBjQ&#10;XYB2H6BIcixMljRJid0N+/dRcpym68swzA8ybVGHh+Shbm67RqIjt05oVeDsKsWIK6qZUPsCf33c&#10;jhYYOU8UI1IrXuAn7vDt6u2bm9bkfKxrLRm3CECUy1tT4Np7kyeJozVviLvShivYrLRtiIdPu0+Y&#10;JS2gNzIZp+k8abVlxmrKnYO/Zb+JVxG/qjj1n6vKcY9kgYGbj6uN6y6syeqG5HtLTC3oiQb5BxYN&#10;EQqCnqFK4gk6WPEKqhHUaqcrf0V1k+iqEpTHHCCbLP0jm4eaGB5zgeI4cy6T+3+w9NPxi0WCFXiC&#10;kSINtOiRdx690x2ahOq0xuXg9GDAzXfwG7ocM3XmXtNvDim9rona8ztrdVtzwoBdFk4mF0d7HBdA&#10;du1HzSAMOXgdgbrKNqF0UAwE6NClp3NnAhUKP2fX8/R6DFsU9ibjdLkcz2IMkg/HjXX+PdcNCkaB&#10;LbQ+wpPjvfOBDskHlxBN6a2QMrZfKtRCiHQ26xPTUrCwGdyc3e/W0qIjCQKKzymuu3RrhAcZS9EU&#10;eHF2Inkox0axGMUTIXsbmEgVwCE74Hayern8XKbLzWKzmI6m4/lmNE3LcnS3XU9H8212PSsn5Xpd&#10;Zr8Cz2ya14IxrgLVQbrZ9O+kcRqiXnRn8b5I6UXm2/i8zjx5SSNWGbIa3jG7qIPQ+l4Evtt1UJAg&#10;jp1mT6AIq/uxhGsEjFrbHxi1MJIFdt8PxHKM5AcFqgrzOxh2MHaDQRSFowX2GPXm2vdzfjBW7GtA&#10;7nWr9B0orxJRE88sTnqFMYvkT1dCmOPL7+j1fHGtfgMAAP//AwBQSwMEFAAGAAgAAAAhAE7P8Kbd&#10;AAAABQEAAA8AAABkcnMvZG93bnJldi54bWxMj1FLw0AQhN8F/8Oxgi9i7yzG2phLEUHBtiBWf8A2&#10;t8kFc3sxd03jv/f0RV8Whhlmvi1Wk+vESENoPWu4mikQxJU3LTca3t8eL29BhIhssPNMGr4owKo8&#10;PSkwN/7IrzTuYiNSCYccNdgY+1zKUFlyGGa+J05e7QeHMcmhkWbAYyp3nZwrdSMdtpwWLPb0YKn6&#10;2B2chk2wa/Qv2+Vz+Lx4qtvtuLhe11qfn033dyAiTfEvDD/4CR3KxLT3BzZBdBrSI/H3Jm+pFnMQ&#10;ew2ZyjKQZSH/05ffAAAA//8DAFBLAQItABQABgAIAAAAIQC2gziS/gAAAOEBAAATAAAAAAAAAAAA&#10;AAAAAAAAAABbQ29udGVudF9UeXBlc10ueG1sUEsBAi0AFAAGAAgAAAAhADj9If/WAAAAlAEAAAsA&#10;AAAAAAAAAAAAAAAALwEAAF9yZWxzLy5yZWxzUEsBAi0AFAAGAAgAAAAhAJG7iet5AgAAAAUAAA4A&#10;AAAAAAAAAAAAAAAALgIAAGRycy9lMm9Eb2MueG1sUEsBAi0AFAAGAAgAAAAhAE7P8KbdAAAABQEA&#10;AA8AAAAAAAAAAAAAAAAA0wQAAGRycy9kb3ducmV2LnhtbFBLBQYAAAAABAAEAPMAAADdBQAAAAA=&#10;" filled="f" strokeweight=".14042mm">
                <v:textbox inset="0,0,0,0">
                  <w:txbxContent>
                    <w:p w:rsidR="008927DF" w:rsidRPr="008927DF" w:rsidRDefault="008927DF" w:rsidP="008927DF">
                      <w:pPr>
                        <w:spacing w:before="120" w:after="0" w:line="244" w:lineRule="auto"/>
                        <w:ind w:left="171" w:right="146" w:firstLine="7"/>
                        <w:jc w:val="both"/>
                        <w:rPr>
                          <w:rFonts w:ascii="Cambria Math" w:eastAsia="Tahoma" w:hAnsi="Cambria Math" w:cs="Tahoma"/>
                        </w:rPr>
                      </w:pPr>
                      <w:r w:rsidRPr="008927DF">
                        <w:rPr>
                          <w:rFonts w:ascii="Cambria Math" w:eastAsia="Tahoma" w:hAnsi="Cambria Math" w:cs="Tahoma"/>
                          <w:w w:val="95"/>
                        </w:rPr>
                        <w:t>Equivalence tests can be performed based on summary statistics (e.g., means, standard deviations,</w:t>
                      </w:r>
                      <w:r w:rsidRPr="008927DF">
                        <w:rPr>
                          <w:rFonts w:ascii="Cambria Math" w:eastAsia="Tahoma" w:hAnsi="Cambria Math" w:cs="Tahoma"/>
                          <w:w w:val="92"/>
                        </w:rPr>
                        <w:t xml:space="preserve"> </w:t>
                      </w:r>
                      <w:r w:rsidRPr="008927DF">
                        <w:rPr>
                          <w:rFonts w:ascii="Cambria Math" w:eastAsia="Tahoma" w:hAnsi="Cambria Math" w:cs="Tahoma"/>
                        </w:rPr>
                        <w:t>and sample sizes) with the “TOSTER” package in the open-source programming</w:t>
                      </w:r>
                      <w:r w:rsidRPr="008927DF">
                        <w:rPr>
                          <w:rFonts w:ascii="Cambria Math" w:eastAsia="Tahoma" w:hAnsi="Cambria Math" w:cs="Tahoma"/>
                        </w:rPr>
                        <w:t xml:space="preserve"> </w:t>
                      </w:r>
                      <w:r w:rsidRPr="008927DF">
                        <w:rPr>
                          <w:rFonts w:ascii="Cambria Math" w:eastAsia="Tahoma" w:hAnsi="Cambria Math" w:cs="Tahoma"/>
                        </w:rPr>
                        <w:t>language</w:t>
                      </w:r>
                      <w:r w:rsidRPr="008927DF">
                        <w:rPr>
                          <w:rFonts w:ascii="Cambria Math" w:eastAsia="Tahoma" w:hAnsi="Cambria Math" w:cs="Tahoma"/>
                        </w:rPr>
                        <w:t xml:space="preserve"> </w:t>
                      </w:r>
                      <w:r w:rsidRPr="008927DF">
                        <w:rPr>
                          <w:rFonts w:ascii="Cambria Math" w:eastAsia="Tahoma" w:hAnsi="Cambria Math" w:cs="Tahoma"/>
                        </w:rPr>
                        <w:t>R. Using</w:t>
                      </w:r>
                      <w:r w:rsidRPr="008927DF">
                        <w:rPr>
                          <w:rFonts w:ascii="Cambria Math" w:eastAsia="Tahoma" w:hAnsi="Cambria Math" w:cs="Tahoma"/>
                          <w:w w:val="92"/>
                        </w:rPr>
                        <w:t xml:space="preserve"> </w:t>
                      </w:r>
                      <w:r w:rsidRPr="008927DF">
                        <w:rPr>
                          <w:rFonts w:ascii="Cambria Math" w:eastAsia="Tahoma" w:hAnsi="Cambria Math" w:cs="Tahoma"/>
                        </w:rPr>
                        <w:t>TOSTER</w:t>
                      </w:r>
                      <w:r w:rsidRPr="008927DF">
                        <w:rPr>
                          <w:rFonts w:ascii="Cambria Math" w:eastAsia="Tahoma" w:hAnsi="Cambria Math" w:cs="Tahoma"/>
                        </w:rPr>
                        <w:t xml:space="preserve"> </w:t>
                      </w:r>
                      <w:r w:rsidRPr="008927DF">
                        <w:rPr>
                          <w:rFonts w:ascii="Cambria Math" w:eastAsia="Tahoma" w:hAnsi="Cambria Math" w:cs="Tahoma"/>
                        </w:rPr>
                        <w:t>in</w:t>
                      </w:r>
                      <w:r w:rsidRPr="008927DF">
                        <w:rPr>
                          <w:rFonts w:ascii="Cambria Math" w:eastAsia="Tahoma" w:hAnsi="Cambria Math" w:cs="Tahoma"/>
                        </w:rPr>
                        <w:t xml:space="preserve"> </w:t>
                      </w:r>
                      <w:r w:rsidRPr="008927DF">
                        <w:rPr>
                          <w:rFonts w:ascii="Cambria Math" w:eastAsia="Tahoma" w:hAnsi="Cambria Math" w:cs="Tahoma"/>
                        </w:rPr>
                        <w:t>R</w:t>
                      </w:r>
                      <w:r w:rsidRPr="008927DF">
                        <w:rPr>
                          <w:rFonts w:ascii="Cambria Math" w:eastAsia="Tahoma" w:hAnsi="Cambria Math" w:cs="Tahoma"/>
                        </w:rPr>
                        <w:t xml:space="preserve"> </w:t>
                      </w:r>
                      <w:r w:rsidRPr="008927DF">
                        <w:rPr>
                          <w:rFonts w:ascii="Cambria Math" w:eastAsia="Tahoma" w:hAnsi="Cambria Math" w:cs="Tahoma"/>
                        </w:rPr>
                        <w:t>requires</w:t>
                      </w:r>
                      <w:r w:rsidRPr="008927DF">
                        <w:rPr>
                          <w:rFonts w:ascii="Cambria Math" w:eastAsia="Tahoma" w:hAnsi="Cambria Math" w:cs="Tahoma"/>
                        </w:rPr>
                        <w:t xml:space="preserve"> </w:t>
                      </w:r>
                      <w:r w:rsidRPr="008927DF">
                        <w:rPr>
                          <w:rFonts w:ascii="Cambria Math" w:eastAsia="Tahoma" w:hAnsi="Cambria Math" w:cs="Tahoma"/>
                        </w:rPr>
                        <w:t>no</w:t>
                      </w:r>
                      <w:r w:rsidRPr="008927DF">
                        <w:rPr>
                          <w:rFonts w:ascii="Cambria Math" w:eastAsia="Tahoma" w:hAnsi="Cambria Math" w:cs="Tahoma"/>
                        </w:rPr>
                        <w:t xml:space="preserve"> </w:t>
                      </w:r>
                      <w:r w:rsidRPr="008927DF">
                        <w:rPr>
                          <w:rFonts w:ascii="Cambria Math" w:eastAsia="Tahoma" w:hAnsi="Cambria Math" w:cs="Tahoma"/>
                        </w:rPr>
                        <w:t>more programming</w:t>
                      </w:r>
                      <w:r w:rsidRPr="008927DF">
                        <w:rPr>
                          <w:rFonts w:ascii="Cambria Math" w:eastAsia="Tahoma" w:hAnsi="Cambria Math" w:cs="Tahoma"/>
                        </w:rPr>
                        <w:t xml:space="preserve"> </w:t>
                      </w:r>
                      <w:r w:rsidRPr="008927DF">
                        <w:rPr>
                          <w:rFonts w:ascii="Cambria Math" w:eastAsia="Tahoma" w:hAnsi="Cambria Math" w:cs="Tahoma"/>
                        </w:rPr>
                        <w:t>experience than reproducing three lines of code.</w:t>
                      </w:r>
                    </w:p>
                    <w:p w:rsidR="008927DF" w:rsidRPr="008927DF" w:rsidRDefault="008927DF" w:rsidP="008927DF">
                      <w:pPr>
                        <w:spacing w:before="113" w:line="244" w:lineRule="auto"/>
                        <w:ind w:left="179" w:right="146" w:hanging="8"/>
                        <w:jc w:val="both"/>
                        <w:rPr>
                          <w:rFonts w:ascii="Cambria Math" w:eastAsia="Tahoma" w:hAnsi="Cambria Math" w:cs="Tahoma"/>
                        </w:rPr>
                      </w:pPr>
                      <w:r w:rsidRPr="008927DF">
                        <w:rPr>
                          <w:rFonts w:ascii="Cambria Math" w:hAnsi="Cambria Math"/>
                        </w:rPr>
                        <w:t xml:space="preserve">The code below reproduces the result of Example 2 in R, which can be typed into R or </w:t>
                      </w:r>
                      <w:proofErr w:type="spellStart"/>
                      <w:r w:rsidRPr="008927DF">
                        <w:rPr>
                          <w:rFonts w:ascii="Cambria Math" w:hAnsi="Cambria Math"/>
                        </w:rPr>
                        <w:t>RStudio</w:t>
                      </w:r>
                      <w:proofErr w:type="spellEnd"/>
                      <w:r w:rsidRPr="008927DF">
                        <w:rPr>
                          <w:rFonts w:ascii="Cambria Math" w:hAnsi="Cambria Math"/>
                        </w:rPr>
                        <w:t>. The</w:t>
                      </w:r>
                      <w:r w:rsidRPr="008927DF">
                        <w:rPr>
                          <w:rFonts w:ascii="Cambria Math" w:hAnsi="Cambria Math"/>
                          <w:w w:val="95"/>
                        </w:rPr>
                        <w:t xml:space="preserve"> </w:t>
                      </w:r>
                      <w:r w:rsidRPr="008927DF">
                        <w:rPr>
                          <w:rFonts w:ascii="Cambria Math" w:hAnsi="Cambria Math"/>
                        </w:rPr>
                        <w:t>parameters of the test are defined inside the parentheses. Simply copy the example to the console,</w:t>
                      </w:r>
                      <w:r w:rsidRPr="008927DF">
                        <w:rPr>
                          <w:rFonts w:ascii="Cambria Math" w:hAnsi="Cambria Math"/>
                          <w:w w:val="91"/>
                        </w:rPr>
                        <w:t xml:space="preserve"> </w:t>
                      </w:r>
                      <w:r w:rsidRPr="008927DF">
                        <w:rPr>
                          <w:rFonts w:ascii="Cambria Math" w:hAnsi="Cambria Math"/>
                          <w:w w:val="95"/>
                        </w:rPr>
                        <w:t>replace the values with the corresponding values of your own study, and run the code. Results and a</w:t>
                      </w:r>
                      <w:r w:rsidRPr="008927DF">
                        <w:rPr>
                          <w:rFonts w:ascii="Cambria Math" w:hAnsi="Cambria Math"/>
                          <w:w w:val="88"/>
                        </w:rPr>
                        <w:t xml:space="preserve"> </w:t>
                      </w:r>
                      <w:r w:rsidRPr="008927DF">
                        <w:rPr>
                          <w:rFonts w:ascii="Cambria Math" w:hAnsi="Cambria Math"/>
                        </w:rPr>
                        <w:t>plot will automatically be printed. A help file provides more detailed information.</w:t>
                      </w:r>
                    </w:p>
                    <w:p w:rsidR="008927DF" w:rsidRDefault="008927DF" w:rsidP="008927DF">
                      <w:pPr>
                        <w:spacing w:after="0" w:line="438" w:lineRule="auto"/>
                        <w:ind w:left="284" w:right="-7" w:firstLine="0"/>
                        <w:rPr>
                          <w:rFonts w:ascii="Consolas" w:hAnsi="Consolas"/>
                          <w:w w:val="110"/>
                          <w:sz w:val="22"/>
                        </w:rPr>
                      </w:pPr>
                      <w:proofErr w:type="spellStart"/>
                      <w:proofErr w:type="gramStart"/>
                      <w:r w:rsidRPr="00002BE6">
                        <w:rPr>
                          <w:rFonts w:ascii="Consolas" w:hAnsi="Consolas"/>
                          <w:w w:val="105"/>
                          <w:sz w:val="22"/>
                        </w:rPr>
                        <w:t>install.packages</w:t>
                      </w:r>
                      <w:proofErr w:type="spellEnd"/>
                      <w:r w:rsidRPr="00002BE6">
                        <w:rPr>
                          <w:rFonts w:ascii="Consolas" w:hAnsi="Consolas"/>
                          <w:w w:val="105"/>
                          <w:sz w:val="22"/>
                        </w:rPr>
                        <w:t>(</w:t>
                      </w:r>
                      <w:proofErr w:type="gramEnd"/>
                      <w:r w:rsidRPr="00002BE6">
                        <w:rPr>
                          <w:rFonts w:ascii="Consolas" w:hAnsi="Consolas"/>
                          <w:w w:val="105"/>
                          <w:sz w:val="22"/>
                        </w:rPr>
                        <w:t>"TOSTER")</w:t>
                      </w:r>
                      <w:r w:rsidRPr="00002BE6">
                        <w:rPr>
                          <w:rFonts w:ascii="Consolas" w:hAnsi="Consolas"/>
                          <w:w w:val="110"/>
                          <w:sz w:val="22"/>
                        </w:rPr>
                        <w:t xml:space="preserve"> </w:t>
                      </w:r>
                    </w:p>
                    <w:p w:rsidR="008927DF" w:rsidRPr="00002BE6" w:rsidRDefault="008927DF" w:rsidP="008927DF">
                      <w:pPr>
                        <w:spacing w:before="0" w:after="0" w:line="438" w:lineRule="auto"/>
                        <w:ind w:left="284" w:right="-7" w:firstLine="0"/>
                        <w:rPr>
                          <w:rFonts w:ascii="Consolas" w:eastAsia="Palatino Linotype" w:hAnsi="Consolas" w:cs="Palatino Linotype"/>
                        </w:rPr>
                      </w:pPr>
                      <w:proofErr w:type="gramStart"/>
                      <w:r w:rsidRPr="00002BE6">
                        <w:rPr>
                          <w:rFonts w:ascii="Consolas" w:hAnsi="Consolas"/>
                          <w:w w:val="105"/>
                          <w:sz w:val="22"/>
                        </w:rPr>
                        <w:t>library(</w:t>
                      </w:r>
                      <w:proofErr w:type="gramEnd"/>
                      <w:r w:rsidRPr="00002BE6">
                        <w:rPr>
                          <w:rFonts w:ascii="Consolas" w:hAnsi="Consolas"/>
                          <w:w w:val="105"/>
                          <w:sz w:val="22"/>
                        </w:rPr>
                        <w:t>TOSTER)</w:t>
                      </w:r>
                    </w:p>
                    <w:p w:rsidR="008927DF" w:rsidRPr="00002BE6" w:rsidRDefault="008927DF" w:rsidP="008927DF">
                      <w:pPr>
                        <w:spacing w:before="0" w:after="0" w:line="284" w:lineRule="exact"/>
                        <w:ind w:left="284" w:right="285" w:firstLine="0"/>
                        <w:jc w:val="both"/>
                        <w:rPr>
                          <w:rFonts w:ascii="Consolas" w:eastAsia="Palatino Linotype" w:hAnsi="Consolas" w:cs="Palatino Linotype"/>
                        </w:rPr>
                      </w:pPr>
                      <w:proofErr w:type="spellStart"/>
                      <w:proofErr w:type="gramStart"/>
                      <w:r w:rsidRPr="00002BE6">
                        <w:rPr>
                          <w:rFonts w:ascii="Consolas" w:hAnsi="Consolas"/>
                          <w:sz w:val="22"/>
                        </w:rPr>
                        <w:t>TOSTtwo</w:t>
                      </w:r>
                      <w:proofErr w:type="spellEnd"/>
                      <w:r w:rsidRPr="00002BE6">
                        <w:rPr>
                          <w:rFonts w:ascii="Consolas" w:hAnsi="Consolas"/>
                          <w:sz w:val="22"/>
                        </w:rPr>
                        <w:t>(</w:t>
                      </w:r>
                      <w:proofErr w:type="gramEnd"/>
                      <w:r w:rsidRPr="00002BE6">
                        <w:rPr>
                          <w:rFonts w:ascii="Consolas" w:hAnsi="Consolas"/>
                          <w:sz w:val="22"/>
                        </w:rPr>
                        <w:t>m1</w:t>
                      </w:r>
                      <w:r w:rsidRPr="00002BE6">
                        <w:rPr>
                          <w:rFonts w:ascii="Consolas" w:hAnsi="Consolas"/>
                          <w:spacing w:val="32"/>
                          <w:sz w:val="22"/>
                        </w:rPr>
                        <w:t xml:space="preserve"> </w:t>
                      </w:r>
                      <w:r w:rsidRPr="00002BE6">
                        <w:rPr>
                          <w:rFonts w:ascii="Consolas" w:hAnsi="Consolas"/>
                          <w:sz w:val="22"/>
                        </w:rPr>
                        <w:t>= 4.7857, m2</w:t>
                      </w:r>
                      <w:r w:rsidRPr="00002BE6">
                        <w:rPr>
                          <w:rFonts w:ascii="Consolas" w:hAnsi="Consolas"/>
                          <w:spacing w:val="32"/>
                          <w:sz w:val="22"/>
                        </w:rPr>
                        <w:t xml:space="preserve"> </w:t>
                      </w:r>
                      <w:r w:rsidRPr="00002BE6">
                        <w:rPr>
                          <w:rFonts w:ascii="Consolas" w:hAnsi="Consolas"/>
                          <w:sz w:val="22"/>
                        </w:rPr>
                        <w:t>= 4.6569,</w:t>
                      </w:r>
                      <w:r w:rsidRPr="00002BE6">
                        <w:rPr>
                          <w:rFonts w:ascii="Consolas" w:hAnsi="Consolas"/>
                          <w:spacing w:val="32"/>
                          <w:sz w:val="22"/>
                        </w:rPr>
                        <w:t xml:space="preserve"> </w:t>
                      </w:r>
                      <w:r w:rsidRPr="00002BE6">
                        <w:rPr>
                          <w:rFonts w:ascii="Consolas" w:hAnsi="Consolas"/>
                          <w:sz w:val="22"/>
                        </w:rPr>
                        <w:t>sd1 = 1.0897,</w:t>
                      </w:r>
                      <w:r w:rsidRPr="00002BE6">
                        <w:rPr>
                          <w:rFonts w:ascii="Consolas" w:hAnsi="Consolas"/>
                          <w:spacing w:val="32"/>
                          <w:sz w:val="22"/>
                        </w:rPr>
                        <w:t xml:space="preserve"> </w:t>
                      </w:r>
                      <w:r w:rsidRPr="00002BE6">
                        <w:rPr>
                          <w:rFonts w:ascii="Consolas" w:hAnsi="Consolas"/>
                          <w:sz w:val="22"/>
                        </w:rPr>
                        <w:t>sd2</w:t>
                      </w:r>
                      <w:r w:rsidRPr="00002BE6">
                        <w:rPr>
                          <w:rFonts w:ascii="Consolas" w:hAnsi="Consolas"/>
                          <w:spacing w:val="32"/>
                          <w:sz w:val="22"/>
                        </w:rPr>
                        <w:t xml:space="preserve"> </w:t>
                      </w:r>
                      <w:r w:rsidRPr="00002BE6">
                        <w:rPr>
                          <w:rFonts w:ascii="Consolas" w:hAnsi="Consolas"/>
                          <w:sz w:val="22"/>
                        </w:rPr>
                        <w:t>= 1.1895, n1 = 49,</w:t>
                      </w:r>
                      <w:r>
                        <w:rPr>
                          <w:rFonts w:ascii="Consolas" w:hAnsi="Consolas"/>
                          <w:sz w:val="22"/>
                        </w:rPr>
                        <w:t xml:space="preserve"> </w:t>
                      </w:r>
                      <w:r w:rsidRPr="00002BE6">
                        <w:rPr>
                          <w:rFonts w:ascii="Consolas" w:hAnsi="Consolas"/>
                          <w:w w:val="105"/>
                          <w:sz w:val="22"/>
                        </w:rPr>
                        <w:t>n2</w:t>
                      </w:r>
                      <w:r w:rsidRPr="00002BE6">
                        <w:rPr>
                          <w:rFonts w:ascii="Consolas" w:hAnsi="Consolas"/>
                          <w:spacing w:val="1"/>
                          <w:w w:val="105"/>
                          <w:sz w:val="22"/>
                        </w:rPr>
                        <w:t xml:space="preserve"> </w:t>
                      </w:r>
                      <w:r w:rsidRPr="00002BE6">
                        <w:rPr>
                          <w:rFonts w:ascii="Consolas" w:hAnsi="Consolas"/>
                          <w:w w:val="105"/>
                          <w:sz w:val="22"/>
                        </w:rPr>
                        <w:t>=</w:t>
                      </w:r>
                      <w:r w:rsidRPr="00002BE6">
                        <w:rPr>
                          <w:rFonts w:ascii="Consolas" w:hAnsi="Consolas"/>
                          <w:spacing w:val="1"/>
                          <w:w w:val="105"/>
                          <w:sz w:val="22"/>
                        </w:rPr>
                        <w:t xml:space="preserve"> </w:t>
                      </w:r>
                      <w:r w:rsidRPr="00002BE6">
                        <w:rPr>
                          <w:rFonts w:ascii="Consolas" w:hAnsi="Consolas"/>
                          <w:w w:val="105"/>
                          <w:sz w:val="22"/>
                        </w:rPr>
                        <w:t>51,</w:t>
                      </w:r>
                      <w:r w:rsidRPr="00002BE6">
                        <w:rPr>
                          <w:rFonts w:ascii="Consolas" w:hAnsi="Consolas"/>
                          <w:spacing w:val="2"/>
                          <w:w w:val="105"/>
                          <w:sz w:val="22"/>
                        </w:rPr>
                        <w:t xml:space="preserve"> </w:t>
                      </w:r>
                      <w:proofErr w:type="spellStart"/>
                      <w:r w:rsidRPr="00002BE6">
                        <w:rPr>
                          <w:rFonts w:ascii="Consolas" w:hAnsi="Consolas"/>
                          <w:w w:val="105"/>
                          <w:sz w:val="22"/>
                        </w:rPr>
                        <w:t>low_eqbound_d</w:t>
                      </w:r>
                      <w:proofErr w:type="spellEnd"/>
                      <w:r w:rsidRPr="00002BE6">
                        <w:rPr>
                          <w:rFonts w:ascii="Consolas" w:hAnsi="Consolas"/>
                          <w:spacing w:val="1"/>
                          <w:w w:val="105"/>
                          <w:sz w:val="22"/>
                        </w:rPr>
                        <w:t xml:space="preserve"> </w:t>
                      </w:r>
                      <w:r w:rsidRPr="00002BE6">
                        <w:rPr>
                          <w:rFonts w:ascii="Consolas" w:hAnsi="Consolas"/>
                          <w:w w:val="105"/>
                          <w:sz w:val="22"/>
                        </w:rPr>
                        <w:t>=</w:t>
                      </w:r>
                      <w:r w:rsidRPr="00002BE6">
                        <w:rPr>
                          <w:rFonts w:ascii="Consolas" w:hAnsi="Consolas"/>
                          <w:spacing w:val="2"/>
                          <w:w w:val="105"/>
                          <w:sz w:val="22"/>
                        </w:rPr>
                        <w:t xml:space="preserve"> </w:t>
                      </w:r>
                      <w:r w:rsidRPr="00002BE6">
                        <w:rPr>
                          <w:rFonts w:ascii="Consolas" w:hAnsi="Consolas"/>
                          <w:w w:val="105"/>
                          <w:sz w:val="22"/>
                        </w:rPr>
                        <w:t>-0.6401696,</w:t>
                      </w:r>
                      <w:r w:rsidRPr="00002BE6">
                        <w:rPr>
                          <w:rFonts w:ascii="Consolas" w:hAnsi="Consolas"/>
                          <w:spacing w:val="1"/>
                          <w:w w:val="105"/>
                          <w:sz w:val="22"/>
                        </w:rPr>
                        <w:t xml:space="preserve"> </w:t>
                      </w:r>
                      <w:proofErr w:type="spellStart"/>
                      <w:r w:rsidRPr="00002BE6">
                        <w:rPr>
                          <w:rFonts w:ascii="Consolas" w:hAnsi="Consolas"/>
                          <w:w w:val="105"/>
                          <w:sz w:val="22"/>
                        </w:rPr>
                        <w:t>high_eqbound_d</w:t>
                      </w:r>
                      <w:proofErr w:type="spellEnd"/>
                      <w:r w:rsidRPr="00002BE6">
                        <w:rPr>
                          <w:rFonts w:ascii="Consolas" w:hAnsi="Consolas"/>
                          <w:spacing w:val="2"/>
                          <w:w w:val="105"/>
                          <w:sz w:val="22"/>
                        </w:rPr>
                        <w:t xml:space="preserve"> </w:t>
                      </w:r>
                      <w:r w:rsidRPr="00002BE6">
                        <w:rPr>
                          <w:rFonts w:ascii="Consolas" w:hAnsi="Consolas"/>
                          <w:w w:val="105"/>
                          <w:sz w:val="22"/>
                        </w:rPr>
                        <w:t>=</w:t>
                      </w:r>
                      <w:r w:rsidRPr="00002BE6">
                        <w:rPr>
                          <w:rFonts w:ascii="Consolas" w:hAnsi="Consolas"/>
                          <w:spacing w:val="1"/>
                          <w:w w:val="105"/>
                          <w:sz w:val="22"/>
                        </w:rPr>
                        <w:t xml:space="preserve"> </w:t>
                      </w:r>
                      <w:r w:rsidRPr="00002BE6">
                        <w:rPr>
                          <w:rFonts w:ascii="Consolas" w:hAnsi="Consolas"/>
                          <w:w w:val="105"/>
                          <w:sz w:val="22"/>
                        </w:rPr>
                        <w:t>0.6401696,</w:t>
                      </w:r>
                      <w:r w:rsidRPr="00002BE6">
                        <w:rPr>
                          <w:rFonts w:ascii="Consolas" w:hAnsi="Consolas"/>
                          <w:spacing w:val="1"/>
                          <w:w w:val="105"/>
                          <w:sz w:val="22"/>
                        </w:rPr>
                        <w:t xml:space="preserve"> </w:t>
                      </w:r>
                      <w:r w:rsidRPr="00002BE6">
                        <w:rPr>
                          <w:rFonts w:ascii="Consolas" w:hAnsi="Consolas"/>
                          <w:w w:val="105"/>
                          <w:sz w:val="22"/>
                        </w:rPr>
                        <w:t>alpha</w:t>
                      </w:r>
                      <w:r w:rsidRPr="00002BE6">
                        <w:rPr>
                          <w:rFonts w:ascii="Consolas" w:hAnsi="Consolas"/>
                          <w:spacing w:val="2"/>
                          <w:w w:val="105"/>
                          <w:sz w:val="22"/>
                        </w:rPr>
                        <w:t xml:space="preserve"> </w:t>
                      </w:r>
                      <w:r w:rsidRPr="00002BE6">
                        <w:rPr>
                          <w:rFonts w:ascii="Consolas" w:hAnsi="Consolas"/>
                          <w:w w:val="105"/>
                          <w:sz w:val="22"/>
                        </w:rPr>
                        <w:t>=</w:t>
                      </w:r>
                      <w:r w:rsidRPr="00002BE6">
                        <w:rPr>
                          <w:rFonts w:ascii="Consolas" w:hAnsi="Consolas"/>
                          <w:spacing w:val="1"/>
                          <w:w w:val="105"/>
                          <w:sz w:val="22"/>
                        </w:rPr>
                        <w:t xml:space="preserve"> </w:t>
                      </w:r>
                      <w:r w:rsidRPr="00002BE6">
                        <w:rPr>
                          <w:rFonts w:ascii="Consolas" w:hAnsi="Consolas"/>
                          <w:w w:val="105"/>
                          <w:sz w:val="22"/>
                        </w:rPr>
                        <w:t>0.05,</w:t>
                      </w:r>
                      <w:r w:rsidRPr="00002BE6">
                        <w:rPr>
                          <w:rFonts w:ascii="Consolas" w:hAnsi="Consolas"/>
                          <w:w w:val="130"/>
                          <w:sz w:val="22"/>
                        </w:rPr>
                        <w:t xml:space="preserve"> </w:t>
                      </w:r>
                      <w:proofErr w:type="spellStart"/>
                      <w:r w:rsidRPr="00002BE6">
                        <w:rPr>
                          <w:rFonts w:ascii="Consolas" w:hAnsi="Consolas"/>
                          <w:w w:val="105"/>
                          <w:sz w:val="22"/>
                        </w:rPr>
                        <w:t>var.equal</w:t>
                      </w:r>
                      <w:proofErr w:type="spellEnd"/>
                      <w:r w:rsidRPr="00002BE6">
                        <w:rPr>
                          <w:rFonts w:ascii="Consolas" w:hAnsi="Consolas"/>
                          <w:spacing w:val="39"/>
                          <w:w w:val="105"/>
                          <w:sz w:val="22"/>
                        </w:rPr>
                        <w:t xml:space="preserve"> </w:t>
                      </w:r>
                      <w:r w:rsidRPr="00002BE6">
                        <w:rPr>
                          <w:rFonts w:ascii="Consolas" w:hAnsi="Consolas"/>
                          <w:w w:val="105"/>
                          <w:sz w:val="22"/>
                        </w:rPr>
                        <w:t>=</w:t>
                      </w:r>
                      <w:r w:rsidRPr="00002BE6">
                        <w:rPr>
                          <w:rFonts w:ascii="Consolas" w:hAnsi="Consolas"/>
                          <w:spacing w:val="40"/>
                          <w:w w:val="105"/>
                          <w:sz w:val="22"/>
                        </w:rPr>
                        <w:t xml:space="preserve"> </w:t>
                      </w:r>
                      <w:r w:rsidRPr="00002BE6">
                        <w:rPr>
                          <w:rFonts w:ascii="Consolas" w:hAnsi="Consolas"/>
                          <w:w w:val="105"/>
                          <w:sz w:val="22"/>
                        </w:rPr>
                        <w:t>FALSE)</w:t>
                      </w:r>
                    </w:p>
                  </w:txbxContent>
                </v:textbox>
                <w10:anchorlock/>
              </v:shape>
            </w:pict>
          </mc:Fallback>
        </mc:AlternateContent>
      </w:r>
    </w:p>
    <w:p w:rsidR="00D674E2" w:rsidRDefault="00B26AAD">
      <w:pPr>
        <w:pStyle w:val="Heading11"/>
      </w:pPr>
      <w:bookmarkStart w:id="12" w:name="discussion"/>
      <w:bookmarkEnd w:id="12"/>
      <w:r>
        <w:lastRenderedPageBreak/>
        <w:t>Discussion</w:t>
      </w:r>
    </w:p>
    <w:p w:rsidR="00D674E2" w:rsidRDefault="00B26AAD">
      <w:r>
        <w:t xml:space="preserve">Equivalence testing is a simple statistical technique to reject the presence of a smallest effect size of interest. As long as we can calculate a confidence interval around a parameter estimate, we can compare it to the SESOI. The result of an equivalence test can be obtained by mere visual inspection of the CI (Seaman &amp; </w:t>
      </w:r>
      <w:proofErr w:type="spellStart"/>
      <w:r>
        <w:t>Serlin</w:t>
      </w:r>
      <w:proofErr w:type="spellEnd"/>
      <w:r>
        <w:t>, 1998; Tryon, 2001), or by performing two one-sided tests (known as the TOST procedure).</w:t>
      </w:r>
    </w:p>
    <w:p w:rsidR="00D674E2" w:rsidRDefault="00B26AAD">
      <w:pPr>
        <w:pStyle w:val="BodyText"/>
      </w:pPr>
      <w:r>
        <w:t xml:space="preserve">As with any statistical test, the usefulness of the result of an equivalence test depends on the question we ask. The question manifests itself in the bounds we set: Is our data surprisingly close to zero, assuming a true effect exists that is as large as our smallest effect size of interest? If we test against very wide bounds, observing statistical equivalence can hardly be considered surprising, given that most effects in psychology are small to medium (Hemphill, 2003). Examining papers citing Lakens (2017a), we found that some researchers state, but do not justify, the SESOI used in the equivalence test (e.g., Brown, Rodriguez, </w:t>
      </w:r>
      <w:proofErr w:type="spellStart"/>
      <w:r>
        <w:t>Gretak</w:t>
      </w:r>
      <w:proofErr w:type="spellEnd"/>
      <w:r>
        <w:t xml:space="preserve">, &amp; Berry, 2017; Schumann, Klein, Douglas, &amp; </w:t>
      </w:r>
      <w:proofErr w:type="spellStart"/>
      <w:r>
        <w:t>Hewstone</w:t>
      </w:r>
      <w:proofErr w:type="spellEnd"/>
      <w:r>
        <w:t xml:space="preserve">, 2017). An equivalence test using a SESOI of </w:t>
      </w:r>
      <m:oMath>
        <m:r>
          <w:rPr>
            <w:rFonts w:ascii="Cambria Math" w:hAnsi="Cambria Math"/>
          </w:rPr>
          <m:t>d=0.5</m:t>
        </m:r>
      </m:oMath>
      <w:r>
        <w:t xml:space="preserve"> might very well answer a q</w:t>
      </w:r>
      <w:proofErr w:type="spellStart"/>
      <w:r>
        <w:t>uestion</w:t>
      </w:r>
      <w:proofErr w:type="spellEnd"/>
      <w:r>
        <w:t xml:space="preserve"> the researchers are interested in (for one possible justification based on minimally important differences, see Norman et al., 2003), but researchers should always explain why they chose a SESOI. It makes little sense to report a statistical test without explaining why one would want to answer this question to begin with.</w:t>
      </w:r>
    </w:p>
    <w:p w:rsidR="00D674E2" w:rsidRDefault="00B26AAD">
      <w:pPr>
        <w:pStyle w:val="BodyText"/>
      </w:pPr>
      <w:r>
        <w:t xml:space="preserve">Equivalence bounds should be specified before results are known, ideally as part of a preregistration (cf. </w:t>
      </w:r>
      <w:proofErr w:type="spellStart"/>
      <w:r>
        <w:t>Piaggio</w:t>
      </w:r>
      <w:proofErr w:type="spellEnd"/>
      <w:r>
        <w:t xml:space="preserve"> et al., 2006). In the most extreme case, a researcher can always first look at the data, and then choose equivalence bounds wide enough for the test to yield a ‘statistically equivalent’ result (for a discussion, see Weber &amp; Popova, 2012). However, fixed error rates are no longer valid when bounds are determined based on the observed data. The value of reporting an equivalence test is determined by the strength of the justification of the equivalence bounds. If bounds are chosen based on the observed data, an equivalence test becomes meaningless. We have proposed several ways to justify equivalence bounds, but in the end these discussions must happen among peers, and the best place for these discussions is during peer-review of proposals for Registered Reports.</w:t>
      </w:r>
    </w:p>
    <w:p w:rsidR="00D674E2" w:rsidRDefault="00B26AAD">
      <w:pPr>
        <w:pStyle w:val="BodyText"/>
      </w:pPr>
      <w:r>
        <w:t xml:space="preserve">As with null-hypothesis significance tests, equivalence tests interpreted from a </w:t>
      </w:r>
      <w:proofErr w:type="spellStart"/>
      <w:r>
        <w:t>Neyman</w:t>
      </w:r>
      <w:proofErr w:type="spellEnd"/>
      <w:r>
        <w:t xml:space="preserve">-Pearson perspective on statistical inferences are used to guide the actions of researchers while controlling error rates. Research lines sometimes require dichotomous choices. For example, a </w:t>
      </w:r>
      <w:r>
        <w:lastRenderedPageBreak/>
        <w:t>researcher might want to decide to discontinue a research line when an effect is too small to be considered meaningful. Equivalence tests based on carefully chosen equivalence bounds and error rates can be used as a rule to govern our behavior (</w:t>
      </w:r>
      <w:proofErr w:type="spellStart"/>
      <w:r>
        <w:t>Neyman</w:t>
      </w:r>
      <w:proofErr w:type="spellEnd"/>
      <w:r>
        <w:t xml:space="preserve"> &amp; Pearson, 1933). An equivalence test and a null-hypothesis significance test examine two different hypotheses, and can therefore be used in concert (Weber &amp; Popova, 2012). We recommend that researchers by default perform both a null hypothesis significance test </w:t>
      </w:r>
      <w:r>
        <w:rPr>
          <w:i/>
        </w:rPr>
        <w:t>and</w:t>
      </w:r>
      <w:r>
        <w:t xml:space="preserve"> an equivalence test on their data, as long as they can justify a smallest effect size of interest, in order to improve the falsifiability of predictions in psychological science.</w:t>
      </w:r>
    </w:p>
    <w:p w:rsidR="00D674E2" w:rsidRDefault="00B26AAD">
      <w:pPr>
        <w:pStyle w:val="BodyText"/>
      </w:pPr>
      <w:r>
        <w:t>The biggest challenge for researchers will be to specify the smallest effect size of interest. Psychological theories are usually too vague to derive precise predictions, and if there are no theoretical reference points, natural constraints, or prior studies a researcher can use to define the SESOI for a hypothesis test, any choice will be somewhat arbitrary. In some research lines, researchers might use equivalence tests to simply reject consecutively smaller effect sizes by performing studies with increasingly large sample sizes while controlling error rates, until no one is willing to invest the time and resources needed to examine the presence of even smaller effects. Nevertheless, it is important to realize that not specifying a SESOI for our research questions at all will severely hinder theoretical progress (Morey &amp; Lakens, 2016). Incorporating equivalence tests in our statistical toolbox will in time contribute to better — and more falsifiable — theories.</w:t>
      </w:r>
    </w:p>
    <w:p w:rsidR="00780F95" w:rsidRDefault="00780F95">
      <w:pPr>
        <w:pStyle w:val="BodyText"/>
      </w:pPr>
    </w:p>
    <w:p w:rsidR="00D674E2" w:rsidRDefault="00B26AAD">
      <w:pPr>
        <w:pStyle w:val="Heading21"/>
      </w:pPr>
      <w:bookmarkStart w:id="13" w:name="disclosures"/>
      <w:bookmarkEnd w:id="13"/>
      <w:r>
        <w:t>Disclosures</w:t>
      </w:r>
    </w:p>
    <w:p w:rsidR="005E0906" w:rsidRDefault="005E0906" w:rsidP="005E0906">
      <w:pPr>
        <w:pStyle w:val="Heading31"/>
        <w:framePr w:hSpace="0" w:wrap="auto" w:vAnchor="margin" w:yAlign="inline"/>
      </w:pPr>
      <w:bookmarkStart w:id="14" w:name="data-materials-and-online-resources"/>
      <w:bookmarkEnd w:id="14"/>
      <w:r>
        <w:t>Data, materials, and online resources</w:t>
      </w:r>
    </w:p>
    <w:p w:rsidR="00D674E2" w:rsidRDefault="00B26AAD">
      <w:r>
        <w:t xml:space="preserve">The code to reproduce these analyses is available at </w:t>
      </w:r>
      <w:hyperlink r:id="rId10">
        <w:r>
          <w:t>https://osf.io/qamc6/</w:t>
        </w:r>
      </w:hyperlink>
      <w:r>
        <w:t xml:space="preserve">. The OSF project contains all necessary files to reproduce examples 1–5 in R, </w:t>
      </w:r>
      <w:proofErr w:type="spellStart"/>
      <w:r>
        <w:t>jamovi</w:t>
      </w:r>
      <w:proofErr w:type="spellEnd"/>
      <w:r>
        <w:t xml:space="preserve"> (</w:t>
      </w:r>
      <w:proofErr w:type="spellStart"/>
      <w:r>
        <w:t>jamovi</w:t>
      </w:r>
      <w:proofErr w:type="spellEnd"/>
      <w:r>
        <w:t xml:space="preserve"> project, 2017), and in a spreadsheet; as well as a preprint of this manuscript. The manuscript, including the figures and statistical analyses, was created using </w:t>
      </w:r>
      <w:proofErr w:type="spellStart"/>
      <w:r>
        <w:t>RStudio</w:t>
      </w:r>
      <w:proofErr w:type="spellEnd"/>
      <w:r>
        <w:t xml:space="preserve"> (1.1.383, </w:t>
      </w:r>
      <w:proofErr w:type="spellStart"/>
      <w:r>
        <w:t>RStudio</w:t>
      </w:r>
      <w:proofErr w:type="spellEnd"/>
      <w:r>
        <w:t xml:space="preserve"> Team, 2016) and R (3.4.2, R Core Team, 2017) and the R-packages </w:t>
      </w:r>
      <w:proofErr w:type="spellStart"/>
      <w:r>
        <w:rPr>
          <w:i/>
        </w:rPr>
        <w:t>bookdown</w:t>
      </w:r>
      <w:proofErr w:type="spellEnd"/>
      <w:r>
        <w:t xml:space="preserve"> (0.5, </w:t>
      </w:r>
      <w:proofErr w:type="spellStart"/>
      <w:r>
        <w:t>Xie</w:t>
      </w:r>
      <w:proofErr w:type="spellEnd"/>
      <w:r>
        <w:t xml:space="preserve">, 2016), </w:t>
      </w:r>
      <w:r>
        <w:rPr>
          <w:i/>
        </w:rPr>
        <w:t>ggplot2</w:t>
      </w:r>
      <w:r>
        <w:t xml:space="preserve"> (2.2.1, Wickham, 2009), </w:t>
      </w:r>
      <w:proofErr w:type="spellStart"/>
      <w:r>
        <w:rPr>
          <w:i/>
        </w:rPr>
        <w:t>gridExtra</w:t>
      </w:r>
      <w:proofErr w:type="spellEnd"/>
      <w:r>
        <w:t xml:space="preserve"> (2.3, </w:t>
      </w:r>
      <w:proofErr w:type="spellStart"/>
      <w:r>
        <w:t>Auguie</w:t>
      </w:r>
      <w:proofErr w:type="spellEnd"/>
      <w:r>
        <w:t xml:space="preserve">, 2017), </w:t>
      </w:r>
      <w:proofErr w:type="spellStart"/>
      <w:r>
        <w:rPr>
          <w:i/>
        </w:rPr>
        <w:t>knitr</w:t>
      </w:r>
      <w:proofErr w:type="spellEnd"/>
      <w:r>
        <w:t xml:space="preserve"> (1.17, </w:t>
      </w:r>
      <w:proofErr w:type="spellStart"/>
      <w:r>
        <w:t>Xie</w:t>
      </w:r>
      <w:proofErr w:type="spellEnd"/>
      <w:r>
        <w:t xml:space="preserve">, 2015), </w:t>
      </w:r>
      <w:r>
        <w:rPr>
          <w:i/>
        </w:rPr>
        <w:t>lattice</w:t>
      </w:r>
      <w:r>
        <w:t xml:space="preserve"> (0.20.35, Sarkar, 2008), </w:t>
      </w:r>
      <w:proofErr w:type="spellStart"/>
      <w:r>
        <w:rPr>
          <w:i/>
        </w:rPr>
        <w:t>papaja</w:t>
      </w:r>
      <w:proofErr w:type="spellEnd"/>
      <w:r>
        <w:t xml:space="preserve"> (0.1.0.9492, </w:t>
      </w:r>
      <w:proofErr w:type="spellStart"/>
      <w:r>
        <w:t>Aust</w:t>
      </w:r>
      <w:proofErr w:type="spellEnd"/>
      <w:r>
        <w:t xml:space="preserve"> &amp; Barth, 2017), </w:t>
      </w:r>
      <w:proofErr w:type="spellStart"/>
      <w:r>
        <w:rPr>
          <w:i/>
        </w:rPr>
        <w:t>purrr</w:t>
      </w:r>
      <w:proofErr w:type="spellEnd"/>
      <w:r>
        <w:t xml:space="preserve"> (0.2.4, Henry &amp; Wickham, 2017), </w:t>
      </w:r>
      <w:proofErr w:type="spellStart"/>
      <w:r>
        <w:rPr>
          <w:i/>
        </w:rPr>
        <w:t>pwr</w:t>
      </w:r>
      <w:proofErr w:type="spellEnd"/>
      <w:r>
        <w:t xml:space="preserve"> (1.2.1, </w:t>
      </w:r>
      <w:proofErr w:type="spellStart"/>
      <w:r>
        <w:t>Champely</w:t>
      </w:r>
      <w:proofErr w:type="spellEnd"/>
      <w:r>
        <w:t xml:space="preserve">, 2017), </w:t>
      </w:r>
      <w:proofErr w:type="spellStart"/>
      <w:r>
        <w:rPr>
          <w:i/>
        </w:rPr>
        <w:t>rmarkdown</w:t>
      </w:r>
      <w:proofErr w:type="spellEnd"/>
      <w:r>
        <w:t xml:space="preserve"> (1.7, </w:t>
      </w:r>
      <w:proofErr w:type="spellStart"/>
      <w:r>
        <w:t>Allaire</w:t>
      </w:r>
      <w:proofErr w:type="spellEnd"/>
      <w:r>
        <w:t xml:space="preserve"> et al., 2017), and </w:t>
      </w:r>
      <w:r>
        <w:rPr>
          <w:i/>
        </w:rPr>
        <w:t>TOSTER</w:t>
      </w:r>
      <w:r>
        <w:t xml:space="preserve"> (0.3, Lakens, 2017b). </w:t>
      </w:r>
    </w:p>
    <w:p w:rsidR="005E0906" w:rsidRDefault="005E0906" w:rsidP="005E0906">
      <w:pPr>
        <w:pStyle w:val="Heading31"/>
        <w:framePr w:hSpace="0" w:wrap="auto" w:vAnchor="margin" w:yAlign="inline"/>
      </w:pPr>
      <w:bookmarkStart w:id="15" w:name="conflicts-of-interest"/>
      <w:bookmarkEnd w:id="15"/>
      <w:r>
        <w:lastRenderedPageBreak/>
        <w:t>Conflicts of Interest</w:t>
      </w:r>
    </w:p>
    <w:p w:rsidR="00D674E2" w:rsidRDefault="00B26AAD">
      <w:r>
        <w:t xml:space="preserve">The authors declare that they have no conflicts of interest with respect to the authorship or the publication of this article. </w:t>
      </w:r>
    </w:p>
    <w:p w:rsidR="005E0906" w:rsidRDefault="005E0906" w:rsidP="005E0906">
      <w:pPr>
        <w:pStyle w:val="Heading31"/>
        <w:framePr w:hSpace="0" w:wrap="auto" w:vAnchor="margin" w:yAlign="inline"/>
      </w:pPr>
      <w:bookmarkStart w:id="16" w:name="author-contributions"/>
      <w:bookmarkEnd w:id="16"/>
      <w:r>
        <w:t>Author Contributions</w:t>
      </w:r>
    </w:p>
    <w:p w:rsidR="00780F95" w:rsidRDefault="00B26AAD" w:rsidP="00780F95">
      <w:pPr>
        <w:spacing w:before="0" w:after="0"/>
      </w:pPr>
      <w:r>
        <w:t xml:space="preserve">DL: Article conceptualization, programming TOSTER package and spreadsheet, main contributor to the introduction section and discussion section. AMS and PMI: Main contributors to examples and figures. All authors contributed to manuscript conceptualization, editing, review for submission, and additional software development. AMS and PMI contributed equally to the manuscript, and order was determined by executing the following commands in R:  </w:t>
      </w:r>
    </w:p>
    <w:p w:rsidR="00780F95" w:rsidRDefault="00B26AAD" w:rsidP="00780F95">
      <w:pPr>
        <w:spacing w:before="0" w:after="0"/>
      </w:pPr>
      <w:proofErr w:type="spellStart"/>
      <w:proofErr w:type="gramStart"/>
      <w:r>
        <w:rPr>
          <w:rStyle w:val="VerbatimChar"/>
        </w:rPr>
        <w:t>set.seed</w:t>
      </w:r>
      <w:proofErr w:type="spellEnd"/>
      <w:r>
        <w:rPr>
          <w:rStyle w:val="VerbatimChar"/>
        </w:rPr>
        <w:t>(</w:t>
      </w:r>
      <w:proofErr w:type="gramEnd"/>
      <w:r>
        <w:rPr>
          <w:rStyle w:val="VerbatimChar"/>
        </w:rPr>
        <w:t>7998976/5271)</w:t>
      </w:r>
      <w:r>
        <w:t xml:space="preserve">  </w:t>
      </w:r>
    </w:p>
    <w:p w:rsidR="00780F95" w:rsidRDefault="00B26AAD" w:rsidP="00780F95">
      <w:pPr>
        <w:spacing w:before="0" w:after="0"/>
      </w:pPr>
      <w:r>
        <w:rPr>
          <w:rStyle w:val="VerbatimChar"/>
        </w:rPr>
        <w:t>x &lt;- sample(</w:t>
      </w:r>
      <w:proofErr w:type="gramStart"/>
      <w:r>
        <w:rPr>
          <w:rStyle w:val="VerbatimChar"/>
        </w:rPr>
        <w:t>c(</w:t>
      </w:r>
      <w:proofErr w:type="gramEnd"/>
      <w:r>
        <w:rPr>
          <w:rStyle w:val="VerbatimChar"/>
        </w:rPr>
        <w:t>"Anne", "</w:t>
      </w:r>
      <w:proofErr w:type="spellStart"/>
      <w:r>
        <w:rPr>
          <w:rStyle w:val="VerbatimChar"/>
        </w:rPr>
        <w:t>Peder</w:t>
      </w:r>
      <w:proofErr w:type="spellEnd"/>
      <w:r>
        <w:rPr>
          <w:rStyle w:val="VerbatimChar"/>
        </w:rPr>
        <w:t>"), 1)</w:t>
      </w:r>
      <w:r>
        <w:t xml:space="preserve">  </w:t>
      </w:r>
      <w:bookmarkStart w:id="17" w:name="_GoBack"/>
      <w:bookmarkEnd w:id="17"/>
    </w:p>
    <w:p w:rsidR="00D674E2" w:rsidRDefault="00B26AAD" w:rsidP="00780F95">
      <w:pPr>
        <w:spacing w:before="0"/>
      </w:pPr>
      <w:proofErr w:type="gramStart"/>
      <w:r>
        <w:rPr>
          <w:rStyle w:val="VerbatimChar"/>
        </w:rPr>
        <w:t>print(</w:t>
      </w:r>
      <w:proofErr w:type="gramEnd"/>
      <w:r>
        <w:rPr>
          <w:rStyle w:val="VerbatimChar"/>
        </w:rPr>
        <w:t>paste("The winner is", x, "!"))</w:t>
      </w:r>
      <w:r>
        <w:t xml:space="preserve"> </w:t>
      </w:r>
    </w:p>
    <w:p w:rsidR="005E0906" w:rsidRDefault="005E0906" w:rsidP="005E0906">
      <w:pPr>
        <w:pStyle w:val="Heading31"/>
        <w:framePr w:hSpace="0" w:wrap="auto" w:vAnchor="margin" w:yAlign="inline"/>
      </w:pPr>
      <w:bookmarkStart w:id="18" w:name="acknowledgments"/>
      <w:bookmarkEnd w:id="18"/>
      <w:r>
        <w:t>Acknowledgments</w:t>
      </w:r>
    </w:p>
    <w:p w:rsidR="00D674E2" w:rsidRDefault="00B26AAD">
      <w:r>
        <w:t xml:space="preserve">This work was funded by VIDI grant 452-17-013. We would like to thank Courtney </w:t>
      </w:r>
      <w:proofErr w:type="spellStart"/>
      <w:r>
        <w:t>Soderberg</w:t>
      </w:r>
      <w:proofErr w:type="spellEnd"/>
      <w:r>
        <w:t xml:space="preserve"> for creating the first version of the TOST function to test two independent proportions, Dermot </w:t>
      </w:r>
      <w:proofErr w:type="spellStart"/>
      <w:r>
        <w:t>Lynott</w:t>
      </w:r>
      <w:proofErr w:type="spellEnd"/>
      <w:r>
        <w:t xml:space="preserve"> and Katie Corker for their helpful responses to our inquiries about </w:t>
      </w:r>
      <w:proofErr w:type="spellStart"/>
      <w:r>
        <w:t>Lynott</w:t>
      </w:r>
      <w:proofErr w:type="spellEnd"/>
      <w:r>
        <w:t xml:space="preserve"> et al. (2014), Jim Everett and Brian Earp for their helpful responses and for providing the raw data for study 4 in </w:t>
      </w:r>
      <w:proofErr w:type="spellStart"/>
      <w:r>
        <w:t>Kahane</w:t>
      </w:r>
      <w:proofErr w:type="spellEnd"/>
      <w:r>
        <w:t xml:space="preserve"> et al. (2015), and Neil </w:t>
      </w:r>
      <w:proofErr w:type="spellStart"/>
      <w:r>
        <w:t>McLatchie</w:t>
      </w:r>
      <w:proofErr w:type="spellEnd"/>
      <w:r>
        <w:t xml:space="preserve"> and Jan </w:t>
      </w:r>
      <w:proofErr w:type="spellStart"/>
      <w:r>
        <w:t>Vanhove</w:t>
      </w:r>
      <w:proofErr w:type="spellEnd"/>
      <w:r>
        <w:t xml:space="preserve"> for valuable comments on an earlier version of this manuscript. </w:t>
      </w:r>
    </w:p>
    <w:p w:rsidR="005E0906" w:rsidRDefault="005E0906" w:rsidP="005E0906">
      <w:pPr>
        <w:pStyle w:val="Heading31"/>
        <w:framePr w:hSpace="0" w:wrap="auto" w:vAnchor="margin" w:yAlign="inline"/>
      </w:pPr>
      <w:bookmarkStart w:id="19" w:name="prior-versions"/>
      <w:bookmarkEnd w:id="19"/>
      <w:r>
        <w:t>Prior versions</w:t>
      </w:r>
    </w:p>
    <w:p w:rsidR="00D674E2" w:rsidRDefault="00B26AAD">
      <w:r>
        <w:t xml:space="preserve">A preprint version of this manuscript prior to peer-review can be found on </w:t>
      </w:r>
      <w:proofErr w:type="spellStart"/>
      <w:r>
        <w:t>PsyArxiv</w:t>
      </w:r>
      <w:proofErr w:type="spellEnd"/>
      <w:r>
        <w:t xml:space="preserve">: </w:t>
      </w:r>
      <w:hyperlink r:id="rId11">
        <w:r>
          <w:t>https://psyarxiv.com/v3zkt/</w:t>
        </w:r>
      </w:hyperlink>
      <w:r>
        <w:t xml:space="preserve"> (version 1). We have updated our recommendations on how to justify the SESOI based on available resources. The updated preprint version (version 2) is identical in content to the published manuscript.</w:t>
      </w:r>
    </w:p>
    <w:p w:rsidR="005E0906" w:rsidRDefault="005E0906"/>
    <w:p w:rsidR="00D674E2" w:rsidRDefault="00B26AAD">
      <w:pPr>
        <w:pStyle w:val="Heading11"/>
      </w:pPr>
      <w:bookmarkStart w:id="20" w:name="references"/>
      <w:bookmarkEnd w:id="20"/>
      <w:r>
        <w:t>References</w:t>
      </w:r>
    </w:p>
    <w:p w:rsidR="00D674E2" w:rsidRDefault="00B26AAD">
      <w:r>
        <w:t xml:space="preserve"> </w:t>
      </w:r>
      <w:proofErr w:type="spellStart"/>
      <w:r>
        <w:t>Allaire</w:t>
      </w:r>
      <w:proofErr w:type="spellEnd"/>
      <w:r>
        <w:t xml:space="preserve">, J., </w:t>
      </w:r>
      <w:proofErr w:type="spellStart"/>
      <w:r>
        <w:t>Xie</w:t>
      </w:r>
      <w:proofErr w:type="spellEnd"/>
      <w:r>
        <w:t xml:space="preserve">, Y., McPherson, J., </w:t>
      </w:r>
      <w:proofErr w:type="spellStart"/>
      <w:r>
        <w:t>Luraschi</w:t>
      </w:r>
      <w:proofErr w:type="spellEnd"/>
      <w:r>
        <w:t xml:space="preserve">, J., </w:t>
      </w:r>
      <w:proofErr w:type="spellStart"/>
      <w:r>
        <w:t>Ushey</w:t>
      </w:r>
      <w:proofErr w:type="spellEnd"/>
      <w:r>
        <w:t>, K., Atkins, A</w:t>
      </w:r>
      <w:proofErr w:type="gramStart"/>
      <w:r>
        <w:t>., …</w:t>
      </w:r>
      <w:proofErr w:type="gramEnd"/>
      <w:r>
        <w:t xml:space="preserve"> Chang, W. (2017). </w:t>
      </w:r>
      <w:proofErr w:type="spellStart"/>
      <w:proofErr w:type="gramStart"/>
      <w:r>
        <w:rPr>
          <w:i/>
        </w:rPr>
        <w:t>rmarkdown</w:t>
      </w:r>
      <w:proofErr w:type="spellEnd"/>
      <w:proofErr w:type="gramEnd"/>
      <w:r>
        <w:rPr>
          <w:i/>
        </w:rPr>
        <w:t>: Dynamic documents for R</w:t>
      </w:r>
      <w:r>
        <w:t xml:space="preserve">. Retrieved from </w:t>
      </w:r>
      <w:hyperlink r:id="rId12">
        <w:r>
          <w:t>https://CRAN.R-project.org/package=rmarkdown</w:t>
        </w:r>
      </w:hyperlink>
    </w:p>
    <w:p w:rsidR="00D674E2" w:rsidRDefault="00B26AAD">
      <w:proofErr w:type="spellStart"/>
      <w:r>
        <w:lastRenderedPageBreak/>
        <w:t>Auguie</w:t>
      </w:r>
      <w:proofErr w:type="spellEnd"/>
      <w:r>
        <w:t xml:space="preserve">, B. (2017). </w:t>
      </w:r>
      <w:proofErr w:type="spellStart"/>
      <w:proofErr w:type="gramStart"/>
      <w:r>
        <w:rPr>
          <w:i/>
        </w:rPr>
        <w:t>gridExtra</w:t>
      </w:r>
      <w:proofErr w:type="spellEnd"/>
      <w:proofErr w:type="gramEnd"/>
      <w:r>
        <w:rPr>
          <w:i/>
        </w:rPr>
        <w:t>: Miscellaneous functions for “grid” graphics</w:t>
      </w:r>
      <w:r>
        <w:t xml:space="preserve">. Retrieved from </w:t>
      </w:r>
      <w:hyperlink r:id="rId13">
        <w:r>
          <w:t>https://CRAN.R-project.org/package=gridExtra</w:t>
        </w:r>
      </w:hyperlink>
    </w:p>
    <w:p w:rsidR="00D674E2" w:rsidRDefault="00B26AAD">
      <w:proofErr w:type="spellStart"/>
      <w:r>
        <w:t>Aust</w:t>
      </w:r>
      <w:proofErr w:type="spellEnd"/>
      <w:r>
        <w:t xml:space="preserve">, F., &amp; Barth, M. (2017). </w:t>
      </w:r>
      <w:proofErr w:type="spellStart"/>
      <w:proofErr w:type="gramStart"/>
      <w:r>
        <w:rPr>
          <w:i/>
        </w:rPr>
        <w:t>papaja</w:t>
      </w:r>
      <w:proofErr w:type="spellEnd"/>
      <w:proofErr w:type="gramEnd"/>
      <w:r>
        <w:rPr>
          <w:i/>
        </w:rPr>
        <w:t>: Create APA manuscripts with R Markdown</w:t>
      </w:r>
      <w:r>
        <w:t xml:space="preserve">. Retrieved from </w:t>
      </w:r>
      <w:hyperlink r:id="rId14">
        <w:r>
          <w:t>https://github.com/crsh/papaja</w:t>
        </w:r>
      </w:hyperlink>
    </w:p>
    <w:p w:rsidR="00D674E2" w:rsidRDefault="00B26AAD">
      <w:r>
        <w:t xml:space="preserve">Baguley, T. (2009). Standardized or simple effect size: What should be reported? </w:t>
      </w:r>
      <w:r>
        <w:rPr>
          <w:i/>
        </w:rPr>
        <w:t>British Journal of Psychology</w:t>
      </w:r>
      <w:r>
        <w:t xml:space="preserve">, </w:t>
      </w:r>
      <w:r>
        <w:rPr>
          <w:i/>
        </w:rPr>
        <w:t>100</w:t>
      </w:r>
      <w:r>
        <w:t xml:space="preserve">(3), 603–617. </w:t>
      </w:r>
      <w:proofErr w:type="gramStart"/>
      <w:r>
        <w:t>doi</w:t>
      </w:r>
      <w:proofErr w:type="gramEnd"/>
      <w:r>
        <w:t>:</w:t>
      </w:r>
      <w:hyperlink r:id="rId15">
        <w:r>
          <w:t>10.1348/000712608X377117</w:t>
        </w:r>
      </w:hyperlink>
    </w:p>
    <w:p w:rsidR="00D674E2" w:rsidRDefault="00B26AAD">
      <w:r>
        <w:t xml:space="preserve">Banerjee, P., Chatterjee, P., &amp; Sinha, J. (2012). Is It Light or Dark? Recalling Moral Behavior Changes Perception of Brightness. </w:t>
      </w:r>
      <w:r>
        <w:rPr>
          <w:i/>
        </w:rPr>
        <w:t>Psychological Science</w:t>
      </w:r>
      <w:r>
        <w:t xml:space="preserve">, </w:t>
      </w:r>
      <w:r>
        <w:rPr>
          <w:i/>
        </w:rPr>
        <w:t>23</w:t>
      </w:r>
      <w:r>
        <w:t xml:space="preserve">(4), 407–409. </w:t>
      </w:r>
      <w:proofErr w:type="gramStart"/>
      <w:r>
        <w:t>doi</w:t>
      </w:r>
      <w:proofErr w:type="gramEnd"/>
      <w:r>
        <w:t>:</w:t>
      </w:r>
      <w:hyperlink r:id="rId16">
        <w:r>
          <w:t>10.1177/0956797611432497</w:t>
        </w:r>
      </w:hyperlink>
    </w:p>
    <w:p w:rsidR="00D674E2" w:rsidRDefault="00B26AAD">
      <w:r w:rsidRPr="008927DF">
        <w:rPr>
          <w:lang w:val="nl-NL"/>
        </w:rPr>
        <w:t xml:space="preserve">Brandt, M. J., IJzerman, H., &amp; Blanken, I. (2014). </w:t>
      </w:r>
      <w:r>
        <w:t>Does Recalling Moral Behavior Change the Perception of Brightness</w:t>
      </w:r>
      <w:proofErr w:type="gramStart"/>
      <w:r>
        <w:t>?:</w:t>
      </w:r>
      <w:proofErr w:type="gramEnd"/>
      <w:r>
        <w:t xml:space="preserve"> A Replication and Meta-Analysis of Banerjee, Chatterjee, and Sinha (2012). </w:t>
      </w:r>
      <w:r>
        <w:rPr>
          <w:i/>
        </w:rPr>
        <w:t>Social Psychology</w:t>
      </w:r>
      <w:r>
        <w:t xml:space="preserve">, </w:t>
      </w:r>
      <w:r>
        <w:rPr>
          <w:i/>
        </w:rPr>
        <w:t>45</w:t>
      </w:r>
      <w:r>
        <w:t xml:space="preserve">(3), 246–252. </w:t>
      </w:r>
      <w:proofErr w:type="gramStart"/>
      <w:r>
        <w:t>doi</w:t>
      </w:r>
      <w:proofErr w:type="gramEnd"/>
      <w:r>
        <w:t>:</w:t>
      </w:r>
      <w:hyperlink r:id="rId17">
        <w:r>
          <w:t>10.1027/1864-9335/a000191</w:t>
        </w:r>
      </w:hyperlink>
    </w:p>
    <w:p w:rsidR="00D674E2" w:rsidRDefault="00B26AAD">
      <w:r>
        <w:t xml:space="preserve">Brown, M., Rodriguez, D. N., </w:t>
      </w:r>
      <w:proofErr w:type="spellStart"/>
      <w:r>
        <w:t>Gretak</w:t>
      </w:r>
      <w:proofErr w:type="spellEnd"/>
      <w:r>
        <w:t xml:space="preserve">, A. P., &amp; Berry, M. A. (2017). Preliminary Evidence for How the Behavioral Immune System Predicts Juror Decision-Making. </w:t>
      </w:r>
      <w:r>
        <w:rPr>
          <w:i/>
        </w:rPr>
        <w:t>Evolutionary Psychological Science</w:t>
      </w:r>
      <w:r>
        <w:t xml:space="preserve">, </w:t>
      </w:r>
      <w:r>
        <w:rPr>
          <w:i/>
        </w:rPr>
        <w:t>3</w:t>
      </w:r>
      <w:r>
        <w:t xml:space="preserve">(4), 325–334. </w:t>
      </w:r>
      <w:proofErr w:type="gramStart"/>
      <w:r>
        <w:t>doi</w:t>
      </w:r>
      <w:proofErr w:type="gramEnd"/>
      <w:r>
        <w:t>:</w:t>
      </w:r>
      <w:hyperlink r:id="rId18">
        <w:r>
          <w:t>10.1007/s40806-017-0102-z</w:t>
        </w:r>
      </w:hyperlink>
    </w:p>
    <w:p w:rsidR="00D674E2" w:rsidRDefault="00B26AAD">
      <w:proofErr w:type="spellStart"/>
      <w:r>
        <w:t>Burriss</w:t>
      </w:r>
      <w:proofErr w:type="spellEnd"/>
      <w:r>
        <w:t xml:space="preserve">, R. P., </w:t>
      </w:r>
      <w:proofErr w:type="spellStart"/>
      <w:r>
        <w:t>Troscianko</w:t>
      </w:r>
      <w:proofErr w:type="spellEnd"/>
      <w:r>
        <w:t xml:space="preserve">, J., Lovell, P. G., </w:t>
      </w:r>
      <w:proofErr w:type="spellStart"/>
      <w:r>
        <w:t>Fulford</w:t>
      </w:r>
      <w:proofErr w:type="spellEnd"/>
      <w:r>
        <w:t xml:space="preserve">, A. J. C., Stevens, M., Quigley, R., … Rowland, H. M. (2015). Changes in Women’s Facial Skin Color over the Ovulatory Cycle are Not Detectable by the Human Visual System. </w:t>
      </w:r>
      <w:r>
        <w:rPr>
          <w:i/>
        </w:rPr>
        <w:t>PLOS ONE</w:t>
      </w:r>
      <w:r>
        <w:t xml:space="preserve">, </w:t>
      </w:r>
      <w:r>
        <w:rPr>
          <w:i/>
        </w:rPr>
        <w:t>10</w:t>
      </w:r>
      <w:r>
        <w:t xml:space="preserve">(7), e0130093. </w:t>
      </w:r>
      <w:proofErr w:type="gramStart"/>
      <w:r>
        <w:t>doi</w:t>
      </w:r>
      <w:proofErr w:type="gramEnd"/>
      <w:r>
        <w:t>:</w:t>
      </w:r>
      <w:hyperlink r:id="rId19">
        <w:r>
          <w:t>10.1371/journal.pone.0130093</w:t>
        </w:r>
      </w:hyperlink>
    </w:p>
    <w:p w:rsidR="00D674E2" w:rsidRDefault="00B26AAD">
      <w:r>
        <w:t xml:space="preserve">Button, K. S., </w:t>
      </w:r>
      <w:proofErr w:type="spellStart"/>
      <w:r>
        <w:t>Kounali</w:t>
      </w:r>
      <w:proofErr w:type="spellEnd"/>
      <w:r>
        <w:t xml:space="preserve">, D., Thomas, L., Wiles, N. J., Peters, T. J., </w:t>
      </w:r>
      <w:proofErr w:type="spellStart"/>
      <w:r>
        <w:t>Welton</w:t>
      </w:r>
      <w:proofErr w:type="spellEnd"/>
      <w:r>
        <w:t xml:space="preserve">, N. J., … Lewis, G. (2015). Minimal clinically important difference on the Beck Depression Inventory - II according to the patient’s perspective. </w:t>
      </w:r>
      <w:r>
        <w:rPr>
          <w:i/>
        </w:rPr>
        <w:t>Psychological Medicine</w:t>
      </w:r>
      <w:r>
        <w:t xml:space="preserve">, </w:t>
      </w:r>
      <w:r>
        <w:rPr>
          <w:i/>
        </w:rPr>
        <w:t>45</w:t>
      </w:r>
      <w:r>
        <w:t xml:space="preserve">(15), 3269–3279. </w:t>
      </w:r>
      <w:proofErr w:type="gramStart"/>
      <w:r>
        <w:t>doi</w:t>
      </w:r>
      <w:proofErr w:type="gramEnd"/>
      <w:r>
        <w:t>:</w:t>
      </w:r>
      <w:hyperlink r:id="rId20">
        <w:r>
          <w:t>10.1017/S0033291715001270</w:t>
        </w:r>
      </w:hyperlink>
    </w:p>
    <w:p w:rsidR="00D674E2" w:rsidRDefault="00B26AAD">
      <w:proofErr w:type="spellStart"/>
      <w:r>
        <w:t>Champely</w:t>
      </w:r>
      <w:proofErr w:type="spellEnd"/>
      <w:r>
        <w:t xml:space="preserve">, S. (2017). </w:t>
      </w:r>
      <w:proofErr w:type="spellStart"/>
      <w:proofErr w:type="gramStart"/>
      <w:r>
        <w:rPr>
          <w:i/>
        </w:rPr>
        <w:t>pwr</w:t>
      </w:r>
      <w:proofErr w:type="spellEnd"/>
      <w:proofErr w:type="gramEnd"/>
      <w:r>
        <w:rPr>
          <w:i/>
        </w:rPr>
        <w:t>: Basic functions for power analysis</w:t>
      </w:r>
      <w:r>
        <w:t xml:space="preserve">. Retrieved from </w:t>
      </w:r>
      <w:hyperlink r:id="rId21">
        <w:r>
          <w:t>https://CRAN.R-project.org/package=pwr</w:t>
        </w:r>
      </w:hyperlink>
    </w:p>
    <w:p w:rsidR="00D674E2" w:rsidRDefault="00B26AAD">
      <w:r>
        <w:t xml:space="preserve">Cohen, J. (1988). </w:t>
      </w:r>
      <w:r>
        <w:rPr>
          <w:i/>
        </w:rPr>
        <w:t>Statistical power analysis for the behavioral sciences</w:t>
      </w:r>
      <w:r>
        <w:t xml:space="preserve"> (2nd </w:t>
      </w:r>
      <w:proofErr w:type="gramStart"/>
      <w:r>
        <w:t>ed</w:t>
      </w:r>
      <w:proofErr w:type="gramEnd"/>
      <w:r>
        <w:t>.). Hillsdale, N.J: L. Erlbaum Associates.</w:t>
      </w:r>
    </w:p>
    <w:p w:rsidR="00D674E2" w:rsidRDefault="00B26AAD">
      <w:proofErr w:type="spellStart"/>
      <w:r>
        <w:lastRenderedPageBreak/>
        <w:t>Delacre</w:t>
      </w:r>
      <w:proofErr w:type="spellEnd"/>
      <w:r>
        <w:t xml:space="preserve">, M., Lakens, D., &amp; Leys, C. (2017). Why Psychologists Should by Default Use Welch’s </w:t>
      </w:r>
      <w:r>
        <w:rPr>
          <w:i/>
        </w:rPr>
        <w:t>t</w:t>
      </w:r>
      <w:r>
        <w:t xml:space="preserve">-test Instead of Student’s </w:t>
      </w:r>
      <w:r>
        <w:rPr>
          <w:i/>
        </w:rPr>
        <w:t>t</w:t>
      </w:r>
      <w:r>
        <w:t xml:space="preserve">-test. </w:t>
      </w:r>
      <w:r>
        <w:rPr>
          <w:i/>
        </w:rPr>
        <w:t>International Review of Social Psychology</w:t>
      </w:r>
      <w:r>
        <w:t xml:space="preserve">, </w:t>
      </w:r>
      <w:r>
        <w:rPr>
          <w:i/>
        </w:rPr>
        <w:t>30</w:t>
      </w:r>
      <w:r>
        <w:t xml:space="preserve">(1), 92. </w:t>
      </w:r>
      <w:proofErr w:type="gramStart"/>
      <w:r>
        <w:t>doi</w:t>
      </w:r>
      <w:proofErr w:type="gramEnd"/>
      <w:r>
        <w:t>:</w:t>
      </w:r>
      <w:hyperlink r:id="rId22">
        <w:r>
          <w:t>10.5334/irsp.82</w:t>
        </w:r>
      </w:hyperlink>
    </w:p>
    <w:p w:rsidR="00D674E2" w:rsidRDefault="00B26AAD">
      <w:proofErr w:type="spellStart"/>
      <w:r>
        <w:t>Goertzen</w:t>
      </w:r>
      <w:proofErr w:type="spellEnd"/>
      <w:r>
        <w:t xml:space="preserve">, J. R., &amp; </w:t>
      </w:r>
      <w:proofErr w:type="spellStart"/>
      <w:r>
        <w:t>Cribbie</w:t>
      </w:r>
      <w:proofErr w:type="spellEnd"/>
      <w:r>
        <w:t xml:space="preserve">, R. A. (2010). Detecting a lack of association: An equivalence testing approach. </w:t>
      </w:r>
      <w:r>
        <w:rPr>
          <w:i/>
        </w:rPr>
        <w:t>British Journal of Mathematical and Statistical Psychology</w:t>
      </w:r>
      <w:r>
        <w:t xml:space="preserve">, </w:t>
      </w:r>
      <w:r>
        <w:rPr>
          <w:i/>
        </w:rPr>
        <w:t>63</w:t>
      </w:r>
      <w:r>
        <w:t xml:space="preserve">(3), 527–537. </w:t>
      </w:r>
      <w:proofErr w:type="gramStart"/>
      <w:r>
        <w:t>doi</w:t>
      </w:r>
      <w:proofErr w:type="gramEnd"/>
      <w:r>
        <w:t>:</w:t>
      </w:r>
      <w:hyperlink r:id="rId23">
        <w:r>
          <w:t>10.1348/000711009X475853</w:t>
        </w:r>
      </w:hyperlink>
    </w:p>
    <w:p w:rsidR="00D674E2" w:rsidRDefault="00B26AAD">
      <w:r>
        <w:t xml:space="preserve">Hemphill, J. F. (2003). Interpreting the magnitudes of correlation coefficients. </w:t>
      </w:r>
      <w:r>
        <w:rPr>
          <w:i/>
        </w:rPr>
        <w:t>American Psychologist</w:t>
      </w:r>
      <w:r>
        <w:t xml:space="preserve">, </w:t>
      </w:r>
      <w:r>
        <w:rPr>
          <w:i/>
        </w:rPr>
        <w:t>58</w:t>
      </w:r>
      <w:r>
        <w:t>(1), 78–80.</w:t>
      </w:r>
    </w:p>
    <w:p w:rsidR="00D674E2" w:rsidRDefault="00B26AAD">
      <w:r>
        <w:t xml:space="preserve">Henry, L., &amp; Wickham, H. (2017). </w:t>
      </w:r>
      <w:proofErr w:type="spellStart"/>
      <w:proofErr w:type="gramStart"/>
      <w:r>
        <w:rPr>
          <w:i/>
        </w:rPr>
        <w:t>purrr</w:t>
      </w:r>
      <w:proofErr w:type="spellEnd"/>
      <w:proofErr w:type="gramEnd"/>
      <w:r>
        <w:rPr>
          <w:i/>
        </w:rPr>
        <w:t>: Functional programming tools</w:t>
      </w:r>
      <w:r>
        <w:t xml:space="preserve">. Retrieved from </w:t>
      </w:r>
      <w:hyperlink r:id="rId24">
        <w:r>
          <w:t>https://CRAN.R-project.org/package=purrr</w:t>
        </w:r>
      </w:hyperlink>
    </w:p>
    <w:p w:rsidR="00D674E2" w:rsidRDefault="00B26AAD">
      <w:r w:rsidRPr="008927DF">
        <w:rPr>
          <w:lang w:val="de-DE"/>
        </w:rPr>
        <w:t xml:space="preserve">Hyde, J. S., Lindberg, S. M., Linn, M. C., Ellis, A. B., &amp; Williams, C. C. (2008). </w:t>
      </w:r>
      <w:r>
        <w:t xml:space="preserve">Gender Similarities Characterize Math Performance. </w:t>
      </w:r>
      <w:r>
        <w:rPr>
          <w:i/>
        </w:rPr>
        <w:t>Science</w:t>
      </w:r>
      <w:r>
        <w:t xml:space="preserve">, </w:t>
      </w:r>
      <w:r>
        <w:rPr>
          <w:i/>
        </w:rPr>
        <w:t>321</w:t>
      </w:r>
      <w:r>
        <w:t xml:space="preserve">(5888), 494–495. </w:t>
      </w:r>
      <w:proofErr w:type="gramStart"/>
      <w:r>
        <w:t>doi</w:t>
      </w:r>
      <w:proofErr w:type="gramEnd"/>
      <w:r>
        <w:t>:</w:t>
      </w:r>
      <w:hyperlink r:id="rId25">
        <w:r>
          <w:t>10.1126/science.1160364</w:t>
        </w:r>
      </w:hyperlink>
    </w:p>
    <w:p w:rsidR="00D674E2" w:rsidRDefault="00B26AAD">
      <w:proofErr w:type="spellStart"/>
      <w:proofErr w:type="gramStart"/>
      <w:r>
        <w:t>jamovi</w:t>
      </w:r>
      <w:proofErr w:type="spellEnd"/>
      <w:proofErr w:type="gramEnd"/>
      <w:r>
        <w:t xml:space="preserve"> project. (2017). </w:t>
      </w:r>
      <w:proofErr w:type="spellStart"/>
      <w:r>
        <w:t>Jamovi</w:t>
      </w:r>
      <w:proofErr w:type="spellEnd"/>
      <w:r>
        <w:t xml:space="preserve"> (Version 0.8) [Computer Software]. Retrieved from https://www.jamovi.org.</w:t>
      </w:r>
    </w:p>
    <w:p w:rsidR="00D674E2" w:rsidRDefault="00B26AAD">
      <w:proofErr w:type="spellStart"/>
      <w:r>
        <w:t>Kahane</w:t>
      </w:r>
      <w:proofErr w:type="spellEnd"/>
      <w:r>
        <w:t xml:space="preserve">, G., Everett, J. A., Earp, B. D., Farias, M., &amp; </w:t>
      </w:r>
      <w:proofErr w:type="spellStart"/>
      <w:r>
        <w:t>Savulescu</w:t>
      </w:r>
      <w:proofErr w:type="spellEnd"/>
      <w:r>
        <w:t xml:space="preserve">, J. (2015). “Utilitarian” judgments in sacrificial moral dilemmas do not reflect impartial concern for the greater good. </w:t>
      </w:r>
      <w:r>
        <w:rPr>
          <w:i/>
        </w:rPr>
        <w:t>Cognition</w:t>
      </w:r>
      <w:r>
        <w:t xml:space="preserve">, </w:t>
      </w:r>
      <w:r>
        <w:rPr>
          <w:i/>
        </w:rPr>
        <w:t>134</w:t>
      </w:r>
      <w:r>
        <w:t xml:space="preserve">, 193–209. </w:t>
      </w:r>
      <w:proofErr w:type="gramStart"/>
      <w:r>
        <w:t>doi</w:t>
      </w:r>
      <w:proofErr w:type="gramEnd"/>
      <w:r>
        <w:t>:</w:t>
      </w:r>
      <w:hyperlink r:id="rId26">
        <w:r>
          <w:t>10.1016/j.cognition.2014.10.005</w:t>
        </w:r>
      </w:hyperlink>
    </w:p>
    <w:p w:rsidR="00D674E2" w:rsidRDefault="00B26AAD">
      <w:proofErr w:type="spellStart"/>
      <w:r>
        <w:t>Kordsmeyer</w:t>
      </w:r>
      <w:proofErr w:type="spellEnd"/>
      <w:r>
        <w:t xml:space="preserve">, T. L., &amp; </w:t>
      </w:r>
      <w:proofErr w:type="spellStart"/>
      <w:r>
        <w:t>Penke</w:t>
      </w:r>
      <w:proofErr w:type="spellEnd"/>
      <w:r>
        <w:t xml:space="preserve">, L. (2017). The association of three indicators of developmental instability with mating success in humans. </w:t>
      </w:r>
      <w:r>
        <w:rPr>
          <w:i/>
        </w:rPr>
        <w:t>Evolution and Human Behavior</w:t>
      </w:r>
      <w:r>
        <w:t xml:space="preserve">, </w:t>
      </w:r>
      <w:r>
        <w:rPr>
          <w:i/>
        </w:rPr>
        <w:t>38</w:t>
      </w:r>
      <w:r>
        <w:t xml:space="preserve">(6), 704–713. </w:t>
      </w:r>
      <w:proofErr w:type="gramStart"/>
      <w:r>
        <w:t>doi</w:t>
      </w:r>
      <w:proofErr w:type="gramEnd"/>
      <w:r>
        <w:t>:</w:t>
      </w:r>
      <w:hyperlink r:id="rId27">
        <w:r>
          <w:t>10.1016/j.evolhumbehav.2017.08.002</w:t>
        </w:r>
      </w:hyperlink>
    </w:p>
    <w:p w:rsidR="00D674E2" w:rsidRDefault="00B26AAD">
      <w:r>
        <w:t xml:space="preserve">Lakens, D. (2017a). Equivalence Tests: A Practical Primer for t Tests, Correlations, and Meta-Analyses. </w:t>
      </w:r>
      <w:r>
        <w:rPr>
          <w:i/>
        </w:rPr>
        <w:t>Social Psychological and Personality Science</w:t>
      </w:r>
      <w:r>
        <w:t xml:space="preserve">, </w:t>
      </w:r>
      <w:r>
        <w:rPr>
          <w:i/>
        </w:rPr>
        <w:t>8</w:t>
      </w:r>
      <w:r>
        <w:t xml:space="preserve">(4), 355–362. </w:t>
      </w:r>
      <w:proofErr w:type="gramStart"/>
      <w:r>
        <w:t>doi</w:t>
      </w:r>
      <w:proofErr w:type="gramEnd"/>
      <w:r>
        <w:t>:</w:t>
      </w:r>
      <w:hyperlink r:id="rId28">
        <w:r>
          <w:t>10.1177/1948550617697177</w:t>
        </w:r>
      </w:hyperlink>
    </w:p>
    <w:p w:rsidR="00D674E2" w:rsidRDefault="00B26AAD">
      <w:r>
        <w:t xml:space="preserve">Lakens, D. (2017b). </w:t>
      </w:r>
      <w:r>
        <w:rPr>
          <w:i/>
        </w:rPr>
        <w:t>TOSTER: Two one-sided tests (TOST) equivalence testing</w:t>
      </w:r>
      <w:r>
        <w:t xml:space="preserve">. Retrieved from </w:t>
      </w:r>
      <w:hyperlink r:id="rId29">
        <w:r>
          <w:t>https://CRAN.R-project.org/package=TOSTER</w:t>
        </w:r>
      </w:hyperlink>
    </w:p>
    <w:p w:rsidR="00D674E2" w:rsidRDefault="00B26AAD">
      <w:r>
        <w:t xml:space="preserve">Lakens, D., </w:t>
      </w:r>
      <w:proofErr w:type="spellStart"/>
      <w:r>
        <w:t>Adolfi</w:t>
      </w:r>
      <w:proofErr w:type="spellEnd"/>
      <w:r>
        <w:t xml:space="preserve">, F. G., Albers, C., Anvari, F., Apps, M. A. J., </w:t>
      </w:r>
      <w:proofErr w:type="spellStart"/>
      <w:r>
        <w:t>Argamon</w:t>
      </w:r>
      <w:proofErr w:type="spellEnd"/>
      <w:r>
        <w:t>, S. E</w:t>
      </w:r>
      <w:proofErr w:type="gramStart"/>
      <w:r>
        <w:t>., …</w:t>
      </w:r>
      <w:proofErr w:type="gramEnd"/>
      <w:r>
        <w:t xml:space="preserve"> </w:t>
      </w:r>
      <w:proofErr w:type="spellStart"/>
      <w:r>
        <w:t>Zwaan</w:t>
      </w:r>
      <w:proofErr w:type="spellEnd"/>
      <w:r>
        <w:t xml:space="preserve">, R. (2017). Justify Your Alpha: A Response to “Redefine Statistical Significance”. </w:t>
      </w:r>
      <w:proofErr w:type="spellStart"/>
      <w:r>
        <w:rPr>
          <w:i/>
        </w:rPr>
        <w:t>PsyArXiv</w:t>
      </w:r>
      <w:proofErr w:type="spellEnd"/>
      <w:r>
        <w:t xml:space="preserve">. </w:t>
      </w:r>
      <w:proofErr w:type="gramStart"/>
      <w:r>
        <w:t>doi</w:t>
      </w:r>
      <w:proofErr w:type="gramEnd"/>
      <w:r>
        <w:t>:</w:t>
      </w:r>
      <w:hyperlink r:id="rId30">
        <w:r>
          <w:t>10.17605/OSF.IO/9S3Y6</w:t>
        </w:r>
      </w:hyperlink>
    </w:p>
    <w:p w:rsidR="00D674E2" w:rsidRDefault="00B26AAD">
      <w:proofErr w:type="spellStart"/>
      <w:r>
        <w:lastRenderedPageBreak/>
        <w:t>Lenth</w:t>
      </w:r>
      <w:proofErr w:type="spellEnd"/>
      <w:r>
        <w:t xml:space="preserve">, R. V. (2007). Post hoc power: Tables and commentary. </w:t>
      </w:r>
      <w:r>
        <w:rPr>
          <w:i/>
        </w:rPr>
        <w:t>Iowa City: Department of Statistics and Actuarial Science, University of Iowa</w:t>
      </w:r>
      <w:r>
        <w:t>.</w:t>
      </w:r>
    </w:p>
    <w:p w:rsidR="00D674E2" w:rsidRDefault="00B26AAD">
      <w:proofErr w:type="spellStart"/>
      <w:r>
        <w:t>Lynott</w:t>
      </w:r>
      <w:proofErr w:type="spellEnd"/>
      <w:r>
        <w:t xml:space="preserve">, D., Corker, K. S., </w:t>
      </w:r>
      <w:proofErr w:type="spellStart"/>
      <w:r>
        <w:t>Wortman</w:t>
      </w:r>
      <w:proofErr w:type="spellEnd"/>
      <w:r>
        <w:t xml:space="preserve">, J., Connell, L., Donnellan, M. B., Lucas, R. E., &amp; O’Brien, K. (2014). Replication of “Experiencing Physical Warmth Promotes Interpersonal Warmth” by Williams and </w:t>
      </w:r>
      <w:proofErr w:type="spellStart"/>
      <w:r>
        <w:t>Bargh</w:t>
      </w:r>
      <w:proofErr w:type="spellEnd"/>
      <w:r>
        <w:t xml:space="preserve"> (2008). </w:t>
      </w:r>
      <w:r>
        <w:rPr>
          <w:i/>
        </w:rPr>
        <w:t>Social Psychology</w:t>
      </w:r>
      <w:r>
        <w:t xml:space="preserve">, </w:t>
      </w:r>
      <w:r>
        <w:rPr>
          <w:i/>
        </w:rPr>
        <w:t>45</w:t>
      </w:r>
      <w:r>
        <w:t xml:space="preserve">(3), 216–222. </w:t>
      </w:r>
      <w:proofErr w:type="gramStart"/>
      <w:r>
        <w:t>doi</w:t>
      </w:r>
      <w:proofErr w:type="gramEnd"/>
      <w:r>
        <w:t>:</w:t>
      </w:r>
      <w:hyperlink r:id="rId31">
        <w:r>
          <w:t>10.1027/1864-9335/a000187</w:t>
        </w:r>
      </w:hyperlink>
    </w:p>
    <w:p w:rsidR="00D674E2" w:rsidRDefault="00B26AAD">
      <w:r>
        <w:t xml:space="preserve">Maxwell, S. E., Lau, M. Y., &amp; Howard, G. S. (2015). Is psychology suffering from a replication crisis? What does “failure to replicate” really mean? </w:t>
      </w:r>
      <w:r>
        <w:rPr>
          <w:i/>
        </w:rPr>
        <w:t>American Psychologist</w:t>
      </w:r>
      <w:r>
        <w:t xml:space="preserve">, </w:t>
      </w:r>
      <w:r>
        <w:rPr>
          <w:i/>
        </w:rPr>
        <w:t>70</w:t>
      </w:r>
      <w:r>
        <w:t xml:space="preserve">(6), 487–498. </w:t>
      </w:r>
      <w:proofErr w:type="gramStart"/>
      <w:r>
        <w:t>doi</w:t>
      </w:r>
      <w:proofErr w:type="gramEnd"/>
      <w:r>
        <w:t>:</w:t>
      </w:r>
      <w:hyperlink r:id="rId32">
        <w:r>
          <w:t>10.1037/a0039400</w:t>
        </w:r>
      </w:hyperlink>
    </w:p>
    <w:p w:rsidR="00D674E2" w:rsidRDefault="00B26AAD">
      <w:proofErr w:type="spellStart"/>
      <w:r>
        <w:t>Meehl</w:t>
      </w:r>
      <w:proofErr w:type="spellEnd"/>
      <w:r>
        <w:t xml:space="preserve">, P. E. (1978). Theoretical risks and tabular asterisks: Sir Karl, Sir Ronald, and the slow progress of soft psychology. </w:t>
      </w:r>
      <w:r>
        <w:rPr>
          <w:i/>
        </w:rPr>
        <w:t>Journal of Consulting and Clinical Psychology</w:t>
      </w:r>
      <w:r>
        <w:t xml:space="preserve">, </w:t>
      </w:r>
      <w:r>
        <w:rPr>
          <w:i/>
        </w:rPr>
        <w:t>46</w:t>
      </w:r>
      <w:r>
        <w:t xml:space="preserve">(4), 806–834. </w:t>
      </w:r>
      <w:proofErr w:type="gramStart"/>
      <w:r>
        <w:t>doi</w:t>
      </w:r>
      <w:proofErr w:type="gramEnd"/>
      <w:r>
        <w:t>:</w:t>
      </w:r>
      <w:hyperlink r:id="rId33">
        <w:r>
          <w:t>10.1037/0022-006X.46.4.806</w:t>
        </w:r>
      </w:hyperlink>
    </w:p>
    <w:p w:rsidR="00D674E2" w:rsidRDefault="00B26AAD">
      <w:proofErr w:type="spellStart"/>
      <w:r>
        <w:t>Meyners</w:t>
      </w:r>
      <w:proofErr w:type="spellEnd"/>
      <w:r>
        <w:t xml:space="preserve">, M. (2012). Equivalence tests review. </w:t>
      </w:r>
      <w:r>
        <w:rPr>
          <w:i/>
        </w:rPr>
        <w:t>Food Quality and Preference</w:t>
      </w:r>
      <w:r>
        <w:t xml:space="preserve">, </w:t>
      </w:r>
      <w:r>
        <w:rPr>
          <w:i/>
        </w:rPr>
        <w:t>26</w:t>
      </w:r>
      <w:r>
        <w:t xml:space="preserve">(2), 231–245. </w:t>
      </w:r>
      <w:proofErr w:type="gramStart"/>
      <w:r>
        <w:t>doi</w:t>
      </w:r>
      <w:proofErr w:type="gramEnd"/>
      <w:r>
        <w:t>:</w:t>
      </w:r>
      <w:hyperlink r:id="rId34">
        <w:r>
          <w:t>10.1016/j.foodqual.2012.05.003</w:t>
        </w:r>
      </w:hyperlink>
    </w:p>
    <w:p w:rsidR="00D674E2" w:rsidRDefault="00B26AAD">
      <w:r w:rsidRPr="008927DF">
        <w:rPr>
          <w:lang w:val="nl-NL"/>
        </w:rPr>
        <w:t xml:space="preserve">Moon, A., &amp; </w:t>
      </w:r>
      <w:proofErr w:type="spellStart"/>
      <w:r w:rsidRPr="008927DF">
        <w:rPr>
          <w:lang w:val="nl-NL"/>
        </w:rPr>
        <w:t>Roeder</w:t>
      </w:r>
      <w:proofErr w:type="spellEnd"/>
      <w:r w:rsidRPr="008927DF">
        <w:rPr>
          <w:lang w:val="nl-NL"/>
        </w:rPr>
        <w:t xml:space="preserve">, S. S. (2014). </w:t>
      </w:r>
      <w:r>
        <w:t xml:space="preserve">A Secondary Replication Attempt of Stereotype Susceptibility (Shih, </w:t>
      </w:r>
      <w:proofErr w:type="spellStart"/>
      <w:r>
        <w:t>Pittinsky</w:t>
      </w:r>
      <w:proofErr w:type="spellEnd"/>
      <w:r>
        <w:t xml:space="preserve">, &amp; </w:t>
      </w:r>
      <w:proofErr w:type="spellStart"/>
      <w:r>
        <w:t>Ambady</w:t>
      </w:r>
      <w:proofErr w:type="spellEnd"/>
      <w:r>
        <w:t xml:space="preserve">, 1999). </w:t>
      </w:r>
      <w:r>
        <w:rPr>
          <w:i/>
        </w:rPr>
        <w:t>Social Psychology</w:t>
      </w:r>
      <w:r>
        <w:t xml:space="preserve">, </w:t>
      </w:r>
      <w:r>
        <w:rPr>
          <w:i/>
        </w:rPr>
        <w:t>45</w:t>
      </w:r>
      <w:r>
        <w:t xml:space="preserve">(3), 199–201. </w:t>
      </w:r>
      <w:proofErr w:type="gramStart"/>
      <w:r>
        <w:t>doi</w:t>
      </w:r>
      <w:proofErr w:type="gramEnd"/>
      <w:r>
        <w:t>:</w:t>
      </w:r>
      <w:hyperlink r:id="rId35">
        <w:r>
          <w:t>10.1027/1864-9335/a000193</w:t>
        </w:r>
      </w:hyperlink>
    </w:p>
    <w:p w:rsidR="00D674E2" w:rsidRDefault="00B26AAD">
      <w:r>
        <w:t xml:space="preserve">Morey, R., &amp; Lakens, D. (2016). </w:t>
      </w:r>
      <w:r>
        <w:rPr>
          <w:i/>
        </w:rPr>
        <w:t>Why Most Of Psychology Is Statistically Unfalsifiable</w:t>
      </w:r>
      <w:r>
        <w:t xml:space="preserve">. </w:t>
      </w:r>
      <w:proofErr w:type="spellStart"/>
      <w:r>
        <w:t>Zenodo</w:t>
      </w:r>
      <w:proofErr w:type="spellEnd"/>
      <w:r>
        <w:t xml:space="preserve">. </w:t>
      </w:r>
      <w:proofErr w:type="gramStart"/>
      <w:r>
        <w:t>doi</w:t>
      </w:r>
      <w:proofErr w:type="gramEnd"/>
      <w:r>
        <w:t>:</w:t>
      </w:r>
      <w:hyperlink r:id="rId36">
        <w:r>
          <w:t>10.5281/zenodo.838685</w:t>
        </w:r>
      </w:hyperlink>
    </w:p>
    <w:p w:rsidR="00D674E2" w:rsidRDefault="00B26AAD">
      <w:r>
        <w:t xml:space="preserve">Murphy, K. R., </w:t>
      </w:r>
      <w:proofErr w:type="spellStart"/>
      <w:r>
        <w:t>Myors</w:t>
      </w:r>
      <w:proofErr w:type="spellEnd"/>
      <w:r>
        <w:t xml:space="preserve">, B., &amp; </w:t>
      </w:r>
      <w:proofErr w:type="spellStart"/>
      <w:r>
        <w:t>Wolach</w:t>
      </w:r>
      <w:proofErr w:type="spellEnd"/>
      <w:r>
        <w:t xml:space="preserve">, A. (2014). </w:t>
      </w:r>
      <w:r>
        <w:rPr>
          <w:i/>
        </w:rPr>
        <w:t>Statistical Power Analysis: A Simple and General Model for Traditional and Modern Hypothesis Tests, Fourth Edition</w:t>
      </w:r>
      <w:r>
        <w:t>. Routledge.</w:t>
      </w:r>
    </w:p>
    <w:p w:rsidR="00D674E2" w:rsidRDefault="00B26AAD">
      <w:proofErr w:type="spellStart"/>
      <w:r>
        <w:t>Neyman</w:t>
      </w:r>
      <w:proofErr w:type="spellEnd"/>
      <w:r>
        <w:t xml:space="preserve">, J., &amp; Pearson, E. S. (1933). On the Problem of the Most Efficient Tests of Statistical Hypotheses. </w:t>
      </w:r>
      <w:r>
        <w:rPr>
          <w:i/>
        </w:rPr>
        <w:t>Philosophical Transactions of the Royal Society of London A: Mathematical, Physical and Engineering Sciences</w:t>
      </w:r>
      <w:r>
        <w:t xml:space="preserve">, </w:t>
      </w:r>
      <w:r>
        <w:rPr>
          <w:i/>
        </w:rPr>
        <w:t>231</w:t>
      </w:r>
      <w:r>
        <w:t xml:space="preserve">(694-706), 289–337. </w:t>
      </w:r>
      <w:proofErr w:type="gramStart"/>
      <w:r>
        <w:t>doi</w:t>
      </w:r>
      <w:proofErr w:type="gramEnd"/>
      <w:r>
        <w:t>:</w:t>
      </w:r>
      <w:hyperlink r:id="rId37">
        <w:r>
          <w:t>10.1098/rsta.1933.0009</w:t>
        </w:r>
      </w:hyperlink>
    </w:p>
    <w:p w:rsidR="00D674E2" w:rsidRDefault="00B26AAD">
      <w:r>
        <w:t xml:space="preserve">Norman, G. R., Sloan, J. A., &amp; </w:t>
      </w:r>
      <w:proofErr w:type="spellStart"/>
      <w:r>
        <w:t>Wyrwich</w:t>
      </w:r>
      <w:proofErr w:type="spellEnd"/>
      <w:r>
        <w:t xml:space="preserve">, K. W. (2003). Interpretation of Changes in Health-related Quality of Life: The Remarkable Universality of Half a Standard Deviation. </w:t>
      </w:r>
      <w:r>
        <w:rPr>
          <w:i/>
        </w:rPr>
        <w:t>Medical Care</w:t>
      </w:r>
      <w:r>
        <w:t xml:space="preserve">, </w:t>
      </w:r>
      <w:r>
        <w:rPr>
          <w:i/>
        </w:rPr>
        <w:t>41</w:t>
      </w:r>
      <w:r>
        <w:t>(5), 582–592.</w:t>
      </w:r>
    </w:p>
    <w:p w:rsidR="00D674E2" w:rsidRDefault="00B26AAD">
      <w:proofErr w:type="spellStart"/>
      <w:r>
        <w:lastRenderedPageBreak/>
        <w:t>Perugini</w:t>
      </w:r>
      <w:proofErr w:type="spellEnd"/>
      <w:r>
        <w:t xml:space="preserve">, M., </w:t>
      </w:r>
      <w:proofErr w:type="spellStart"/>
      <w:r>
        <w:t>Gallucci</w:t>
      </w:r>
      <w:proofErr w:type="spellEnd"/>
      <w:r>
        <w:t xml:space="preserve">, M., &amp; </w:t>
      </w:r>
      <w:proofErr w:type="spellStart"/>
      <w:r>
        <w:t>Costantini</w:t>
      </w:r>
      <w:proofErr w:type="spellEnd"/>
      <w:r>
        <w:t xml:space="preserve">, G. (2014). Safeguard Power as a Protection </w:t>
      </w:r>
      <w:proofErr w:type="gramStart"/>
      <w:r>
        <w:t>Against</w:t>
      </w:r>
      <w:proofErr w:type="gramEnd"/>
      <w:r>
        <w:t xml:space="preserve"> Imprecise Power Estimates. </w:t>
      </w:r>
      <w:r>
        <w:rPr>
          <w:i/>
        </w:rPr>
        <w:t>Perspectives on Psychological Science</w:t>
      </w:r>
      <w:r>
        <w:t xml:space="preserve">, </w:t>
      </w:r>
      <w:r>
        <w:rPr>
          <w:i/>
        </w:rPr>
        <w:t>9</w:t>
      </w:r>
      <w:r>
        <w:t xml:space="preserve">(3), 319–332. </w:t>
      </w:r>
      <w:proofErr w:type="gramStart"/>
      <w:r>
        <w:t>doi</w:t>
      </w:r>
      <w:proofErr w:type="gramEnd"/>
      <w:r>
        <w:t>:</w:t>
      </w:r>
      <w:hyperlink r:id="rId38">
        <w:r>
          <w:t>10.1177/1745691614528519</w:t>
        </w:r>
      </w:hyperlink>
    </w:p>
    <w:p w:rsidR="00D674E2" w:rsidRDefault="00B26AAD">
      <w:proofErr w:type="spellStart"/>
      <w:r>
        <w:t>Piaggio</w:t>
      </w:r>
      <w:proofErr w:type="spellEnd"/>
      <w:r>
        <w:t xml:space="preserve">, G., </w:t>
      </w:r>
      <w:proofErr w:type="spellStart"/>
      <w:r>
        <w:t>Elbourne</w:t>
      </w:r>
      <w:proofErr w:type="spellEnd"/>
      <w:r>
        <w:t xml:space="preserve">, D. R., Altman, D. G., </w:t>
      </w:r>
      <w:proofErr w:type="spellStart"/>
      <w:r>
        <w:t>Pocock</w:t>
      </w:r>
      <w:proofErr w:type="spellEnd"/>
      <w:r>
        <w:t xml:space="preserve">, S. J., Evans, S. J. W., &amp; CONSORT Group, for the. (2006). Reporting of </w:t>
      </w:r>
      <w:proofErr w:type="spellStart"/>
      <w:r>
        <w:t>Noninferiority</w:t>
      </w:r>
      <w:proofErr w:type="spellEnd"/>
      <w:r>
        <w:t xml:space="preserve"> and Equivalence Randomized Trials: An Extension of the CONSORT Statement. </w:t>
      </w:r>
      <w:r>
        <w:rPr>
          <w:i/>
        </w:rPr>
        <w:t>JAMA</w:t>
      </w:r>
      <w:r>
        <w:t xml:space="preserve">, </w:t>
      </w:r>
      <w:r>
        <w:rPr>
          <w:i/>
        </w:rPr>
        <w:t>295</w:t>
      </w:r>
      <w:r>
        <w:t xml:space="preserve">(10), 1152–1160. </w:t>
      </w:r>
      <w:proofErr w:type="gramStart"/>
      <w:r>
        <w:t>doi</w:t>
      </w:r>
      <w:proofErr w:type="gramEnd"/>
      <w:r>
        <w:t>:</w:t>
      </w:r>
      <w:hyperlink r:id="rId39">
        <w:r>
          <w:t>10.1001/jama.295.10.1152</w:t>
        </w:r>
      </w:hyperlink>
    </w:p>
    <w:p w:rsidR="00D674E2" w:rsidRDefault="00B26AAD">
      <w:r>
        <w:t xml:space="preserve">Platt, J. R. (1964). Strong inference. </w:t>
      </w:r>
      <w:r>
        <w:rPr>
          <w:i/>
        </w:rPr>
        <w:t>Science</w:t>
      </w:r>
      <w:r>
        <w:t xml:space="preserve">, </w:t>
      </w:r>
      <w:r>
        <w:rPr>
          <w:i/>
        </w:rPr>
        <w:t>146</w:t>
      </w:r>
      <w:r>
        <w:t>(3642), 347–353.</w:t>
      </w:r>
    </w:p>
    <w:p w:rsidR="00D674E2" w:rsidRDefault="00B26AAD">
      <w:proofErr w:type="spellStart"/>
      <w:r>
        <w:t>Quertemont</w:t>
      </w:r>
      <w:proofErr w:type="spellEnd"/>
      <w:r>
        <w:t xml:space="preserve">, E. (2011). How to Statistically Show the Absence of an Effect. </w:t>
      </w:r>
      <w:proofErr w:type="spellStart"/>
      <w:r>
        <w:rPr>
          <w:i/>
        </w:rPr>
        <w:t>Psychologica</w:t>
      </w:r>
      <w:proofErr w:type="spellEnd"/>
      <w:r>
        <w:rPr>
          <w:i/>
        </w:rPr>
        <w:t xml:space="preserve"> </w:t>
      </w:r>
      <w:proofErr w:type="spellStart"/>
      <w:r>
        <w:rPr>
          <w:i/>
        </w:rPr>
        <w:t>Belgica</w:t>
      </w:r>
      <w:proofErr w:type="spellEnd"/>
      <w:r>
        <w:t xml:space="preserve">, </w:t>
      </w:r>
      <w:r>
        <w:rPr>
          <w:i/>
        </w:rPr>
        <w:t>51</w:t>
      </w:r>
      <w:r>
        <w:t xml:space="preserve">(2), 109. </w:t>
      </w:r>
      <w:proofErr w:type="gramStart"/>
      <w:r>
        <w:t>doi</w:t>
      </w:r>
      <w:proofErr w:type="gramEnd"/>
      <w:r>
        <w:t>:</w:t>
      </w:r>
      <w:hyperlink r:id="rId40">
        <w:r>
          <w:t>10.5334/pb-51-2-109</w:t>
        </w:r>
      </w:hyperlink>
    </w:p>
    <w:p w:rsidR="00D674E2" w:rsidRDefault="00B26AAD">
      <w:r>
        <w:t xml:space="preserve">R Core Team. (2017). </w:t>
      </w:r>
      <w:r>
        <w:rPr>
          <w:i/>
        </w:rPr>
        <w:t>R: A language and environment for statistical computing</w:t>
      </w:r>
      <w:r>
        <w:t xml:space="preserve">. Vienna, Austria: R Foundation for Statistical Computing. Retrieved from </w:t>
      </w:r>
      <w:hyperlink r:id="rId41">
        <w:r>
          <w:t>https://www.R-project.org/</w:t>
        </w:r>
      </w:hyperlink>
    </w:p>
    <w:p w:rsidR="00D674E2" w:rsidRDefault="00B26AAD">
      <w:r>
        <w:t xml:space="preserve">Rogers, J. L., Howard, K. I., &amp; </w:t>
      </w:r>
      <w:proofErr w:type="spellStart"/>
      <w:r>
        <w:t>Vessey</w:t>
      </w:r>
      <w:proofErr w:type="spellEnd"/>
      <w:r>
        <w:t xml:space="preserve">, J. T. (1993). Using significance tests to evaluate equivalence between two experimental groups. </w:t>
      </w:r>
      <w:r>
        <w:rPr>
          <w:i/>
        </w:rPr>
        <w:t>Psychological Bulletin</w:t>
      </w:r>
      <w:r>
        <w:t xml:space="preserve">, </w:t>
      </w:r>
      <w:r>
        <w:rPr>
          <w:i/>
        </w:rPr>
        <w:t>113</w:t>
      </w:r>
      <w:r>
        <w:t>(3), 553.</w:t>
      </w:r>
    </w:p>
    <w:p w:rsidR="00D674E2" w:rsidRDefault="00B26AAD">
      <w:proofErr w:type="spellStart"/>
      <w:r>
        <w:t>RStudio</w:t>
      </w:r>
      <w:proofErr w:type="spellEnd"/>
      <w:r>
        <w:t xml:space="preserve"> Team. (2016). </w:t>
      </w:r>
      <w:proofErr w:type="spellStart"/>
      <w:r>
        <w:rPr>
          <w:i/>
        </w:rPr>
        <w:t>RStudio</w:t>
      </w:r>
      <w:proofErr w:type="spellEnd"/>
      <w:r>
        <w:rPr>
          <w:i/>
        </w:rPr>
        <w:t>: Integrated Development Environment for R</w:t>
      </w:r>
      <w:r>
        <w:t xml:space="preserve">. Boston, MA: </w:t>
      </w:r>
      <w:proofErr w:type="spellStart"/>
      <w:r>
        <w:t>RStudio</w:t>
      </w:r>
      <w:proofErr w:type="spellEnd"/>
      <w:r>
        <w:t>, Inc.</w:t>
      </w:r>
    </w:p>
    <w:p w:rsidR="00D674E2" w:rsidRDefault="00B26AAD">
      <w:r>
        <w:t xml:space="preserve">Sarkar, D. (2008). </w:t>
      </w:r>
      <w:r>
        <w:rPr>
          <w:i/>
        </w:rPr>
        <w:t>Lattice: Multivariate data visualization with R</w:t>
      </w:r>
      <w:r>
        <w:t xml:space="preserve">. New York: Springer. Retrieved from </w:t>
      </w:r>
      <w:hyperlink r:id="rId42">
        <w:r>
          <w:t>http://lmdvr.r-forge.r-project.org</w:t>
        </w:r>
      </w:hyperlink>
    </w:p>
    <w:p w:rsidR="00D674E2" w:rsidRDefault="00B26AAD">
      <w:r>
        <w:t xml:space="preserve">Schumann, S., Klein, O., Douglas, K., &amp; </w:t>
      </w:r>
      <w:proofErr w:type="spellStart"/>
      <w:r>
        <w:t>Hewstone</w:t>
      </w:r>
      <w:proofErr w:type="spellEnd"/>
      <w:r>
        <w:t xml:space="preserve">, M. (2017). When is computer-mediated intergroup contact most promising? Examining the effect of out-group members’ anonymity on prejudice. </w:t>
      </w:r>
      <w:r>
        <w:rPr>
          <w:i/>
        </w:rPr>
        <w:t>Computers in Human Behavior</w:t>
      </w:r>
      <w:r>
        <w:t xml:space="preserve">, </w:t>
      </w:r>
      <w:r>
        <w:rPr>
          <w:i/>
        </w:rPr>
        <w:t>77</w:t>
      </w:r>
      <w:r>
        <w:t xml:space="preserve">, 198–210. </w:t>
      </w:r>
      <w:proofErr w:type="gramStart"/>
      <w:r>
        <w:t>doi</w:t>
      </w:r>
      <w:proofErr w:type="gramEnd"/>
      <w:r>
        <w:t>:</w:t>
      </w:r>
      <w:hyperlink r:id="rId43">
        <w:r>
          <w:t>10.1016/j.chb.2017.08.006</w:t>
        </w:r>
      </w:hyperlink>
    </w:p>
    <w:p w:rsidR="00D674E2" w:rsidRPr="008927DF" w:rsidRDefault="00B26AAD">
      <w:pPr>
        <w:rPr>
          <w:lang w:val="nl-NL"/>
        </w:rPr>
      </w:pPr>
      <w:r>
        <w:t xml:space="preserve">Seaman, M. A., &amp; </w:t>
      </w:r>
      <w:proofErr w:type="spellStart"/>
      <w:r>
        <w:t>Serlin</w:t>
      </w:r>
      <w:proofErr w:type="spellEnd"/>
      <w:r>
        <w:t xml:space="preserve">, R. C. (1998). Equivalence confidence intervals for two-group comparisons of means. </w:t>
      </w:r>
      <w:proofErr w:type="spellStart"/>
      <w:r w:rsidRPr="008927DF">
        <w:rPr>
          <w:i/>
          <w:lang w:val="nl-NL"/>
        </w:rPr>
        <w:t>Psychological</w:t>
      </w:r>
      <w:proofErr w:type="spellEnd"/>
      <w:r w:rsidRPr="008927DF">
        <w:rPr>
          <w:i/>
          <w:lang w:val="nl-NL"/>
        </w:rPr>
        <w:t xml:space="preserve"> </w:t>
      </w:r>
      <w:proofErr w:type="spellStart"/>
      <w:r w:rsidRPr="008927DF">
        <w:rPr>
          <w:i/>
          <w:lang w:val="nl-NL"/>
        </w:rPr>
        <w:t>Methods</w:t>
      </w:r>
      <w:proofErr w:type="spellEnd"/>
      <w:r w:rsidRPr="008927DF">
        <w:rPr>
          <w:lang w:val="nl-NL"/>
        </w:rPr>
        <w:t xml:space="preserve">, </w:t>
      </w:r>
      <w:r w:rsidRPr="008927DF">
        <w:rPr>
          <w:i/>
          <w:lang w:val="nl-NL"/>
        </w:rPr>
        <w:t>3</w:t>
      </w:r>
      <w:r w:rsidRPr="008927DF">
        <w:rPr>
          <w:lang w:val="nl-NL"/>
        </w:rPr>
        <w:t>(4), 403–411. doi</w:t>
      </w:r>
      <w:proofErr w:type="gramStart"/>
      <w:r w:rsidRPr="008927DF">
        <w:rPr>
          <w:lang w:val="nl-NL"/>
        </w:rPr>
        <w:t>:</w:t>
      </w:r>
      <w:hyperlink r:id="rId44">
        <w:r w:rsidRPr="008927DF">
          <w:rPr>
            <w:lang w:val="nl-NL"/>
          </w:rPr>
          <w:t>http</w:t>
        </w:r>
        <w:proofErr w:type="gramEnd"/>
        <w:r w:rsidRPr="008927DF">
          <w:rPr>
            <w:lang w:val="nl-NL"/>
          </w:rPr>
          <w:t>://dx.doi.org.dianus.libr.tue.nl/10.1037/1082-989X.3.4.403</w:t>
        </w:r>
      </w:hyperlink>
    </w:p>
    <w:p w:rsidR="00D674E2" w:rsidRDefault="00B26AAD">
      <w:proofErr w:type="spellStart"/>
      <w:r>
        <w:t>Senn</w:t>
      </w:r>
      <w:proofErr w:type="spellEnd"/>
      <w:r>
        <w:t xml:space="preserve">, S. (2007). </w:t>
      </w:r>
      <w:r>
        <w:rPr>
          <w:i/>
        </w:rPr>
        <w:t>Statistical issues in drug development</w:t>
      </w:r>
      <w:r>
        <w:t xml:space="preserve"> (2nd </w:t>
      </w:r>
      <w:proofErr w:type="gramStart"/>
      <w:r>
        <w:t>ed</w:t>
      </w:r>
      <w:proofErr w:type="gramEnd"/>
      <w:r>
        <w:t xml:space="preserve">.). </w:t>
      </w:r>
      <w:proofErr w:type="spellStart"/>
      <w:r>
        <w:t>Chichester</w:t>
      </w:r>
      <w:proofErr w:type="spellEnd"/>
      <w:r>
        <w:t xml:space="preserve">, </w:t>
      </w:r>
      <w:proofErr w:type="gramStart"/>
      <w:r>
        <w:t>England ;</w:t>
      </w:r>
      <w:proofErr w:type="gramEnd"/>
      <w:r>
        <w:t xml:space="preserve"> Hoboken, NJ: John Wiley &amp; Sons.</w:t>
      </w:r>
    </w:p>
    <w:p w:rsidR="00D674E2" w:rsidRDefault="00B26AAD">
      <w:r>
        <w:lastRenderedPageBreak/>
        <w:t xml:space="preserve">Shih, M., </w:t>
      </w:r>
      <w:proofErr w:type="spellStart"/>
      <w:r>
        <w:t>Pittinsky</w:t>
      </w:r>
      <w:proofErr w:type="spellEnd"/>
      <w:r>
        <w:t xml:space="preserve">, T. L., &amp; </w:t>
      </w:r>
      <w:proofErr w:type="spellStart"/>
      <w:r>
        <w:t>Ambady</w:t>
      </w:r>
      <w:proofErr w:type="spellEnd"/>
      <w:r>
        <w:t xml:space="preserve">, N. (1999). Stereotype Susceptibility: Identity Salience and Shifts in Quantitative Performance. </w:t>
      </w:r>
      <w:r>
        <w:rPr>
          <w:i/>
        </w:rPr>
        <w:t>Psychological Science</w:t>
      </w:r>
      <w:r>
        <w:t xml:space="preserve">, </w:t>
      </w:r>
      <w:r>
        <w:rPr>
          <w:i/>
        </w:rPr>
        <w:t>10</w:t>
      </w:r>
      <w:r>
        <w:t xml:space="preserve">(1), 80–83. </w:t>
      </w:r>
      <w:proofErr w:type="gramStart"/>
      <w:r>
        <w:t>doi</w:t>
      </w:r>
      <w:proofErr w:type="gramEnd"/>
      <w:r>
        <w:t>:</w:t>
      </w:r>
      <w:hyperlink r:id="rId45">
        <w:r>
          <w:t>10.1111/1467-9280.00111</w:t>
        </w:r>
      </w:hyperlink>
    </w:p>
    <w:p w:rsidR="00D674E2" w:rsidRDefault="00B26AAD">
      <w:proofErr w:type="spellStart"/>
      <w:r>
        <w:t>Simonsohn</w:t>
      </w:r>
      <w:proofErr w:type="spellEnd"/>
      <w:r>
        <w:t xml:space="preserve">, U. (2015). Small Telescopes Detectability and the Evaluation of Replication Results. </w:t>
      </w:r>
      <w:r>
        <w:rPr>
          <w:i/>
        </w:rPr>
        <w:t>Psychological Science</w:t>
      </w:r>
      <w:r>
        <w:t xml:space="preserve">, </w:t>
      </w:r>
      <w:r>
        <w:rPr>
          <w:i/>
        </w:rPr>
        <w:t>26</w:t>
      </w:r>
      <w:r>
        <w:t xml:space="preserve">(5), 559–569. </w:t>
      </w:r>
      <w:proofErr w:type="gramStart"/>
      <w:r>
        <w:t>doi</w:t>
      </w:r>
      <w:proofErr w:type="gramEnd"/>
      <w:r>
        <w:t>:</w:t>
      </w:r>
      <w:hyperlink r:id="rId46">
        <w:r>
          <w:t>10.1177/0956797614567341</w:t>
        </w:r>
      </w:hyperlink>
    </w:p>
    <w:p w:rsidR="00D674E2" w:rsidRDefault="00B26AAD">
      <w:r>
        <w:t xml:space="preserve">Tryon, W. W. (2001). Evaluating statistical difference, equivalence, and indeterminacy using inferential confidence intervals: An integrated alternative method of conducting null hypothesis statistical tests. </w:t>
      </w:r>
      <w:r>
        <w:rPr>
          <w:i/>
        </w:rPr>
        <w:t>Psychological Methods</w:t>
      </w:r>
      <w:r>
        <w:t xml:space="preserve">, </w:t>
      </w:r>
      <w:r>
        <w:rPr>
          <w:i/>
        </w:rPr>
        <w:t>6</w:t>
      </w:r>
      <w:r>
        <w:t>(4), 371–386.</w:t>
      </w:r>
    </w:p>
    <w:p w:rsidR="00D674E2" w:rsidRDefault="00B26AAD">
      <w:r>
        <w:t xml:space="preserve">United States, &amp; Central Intelligence Agency. (2016). </w:t>
      </w:r>
      <w:proofErr w:type="gramStart"/>
      <w:r>
        <w:rPr>
          <w:i/>
        </w:rPr>
        <w:t>The</w:t>
      </w:r>
      <w:proofErr w:type="gramEnd"/>
      <w:r>
        <w:rPr>
          <w:i/>
        </w:rPr>
        <w:t xml:space="preserve"> CIA World </w:t>
      </w:r>
      <w:proofErr w:type="spellStart"/>
      <w:r>
        <w:rPr>
          <w:i/>
        </w:rPr>
        <w:t>Factbook</w:t>
      </w:r>
      <w:proofErr w:type="spellEnd"/>
      <w:r>
        <w:rPr>
          <w:i/>
        </w:rPr>
        <w:t xml:space="preserve"> 2017</w:t>
      </w:r>
      <w:r>
        <w:t>. Washington, DC.</w:t>
      </w:r>
    </w:p>
    <w:p w:rsidR="00D674E2" w:rsidRDefault="00B26AAD">
      <w:r>
        <w:t xml:space="preserve">Weber, R., &amp; Popova, L. (2012). Testing Equivalence in Communication Research: Theory and Application. </w:t>
      </w:r>
      <w:r>
        <w:rPr>
          <w:i/>
        </w:rPr>
        <w:t>Communication Methods and Measures</w:t>
      </w:r>
      <w:r>
        <w:t xml:space="preserve">, </w:t>
      </w:r>
      <w:r>
        <w:rPr>
          <w:i/>
        </w:rPr>
        <w:t>6</w:t>
      </w:r>
      <w:r>
        <w:t xml:space="preserve">(3), 190–213. </w:t>
      </w:r>
      <w:proofErr w:type="gramStart"/>
      <w:r>
        <w:t>doi</w:t>
      </w:r>
      <w:proofErr w:type="gramEnd"/>
      <w:r>
        <w:t>:</w:t>
      </w:r>
      <w:hyperlink r:id="rId47">
        <w:r>
          <w:t>10.1080/19312458.2012.703834</w:t>
        </w:r>
      </w:hyperlink>
    </w:p>
    <w:p w:rsidR="00D674E2" w:rsidRDefault="00B26AAD">
      <w:r>
        <w:t xml:space="preserve">Wickham, H. (2009). </w:t>
      </w:r>
      <w:r>
        <w:rPr>
          <w:i/>
        </w:rPr>
        <w:t>ggplot2: Elegant graphics for data analysis</w:t>
      </w:r>
      <w:r>
        <w:t>. Springer-</w:t>
      </w:r>
      <w:proofErr w:type="spellStart"/>
      <w:r>
        <w:t>Verlag</w:t>
      </w:r>
      <w:proofErr w:type="spellEnd"/>
      <w:r>
        <w:t xml:space="preserve"> New York. Retrieved from </w:t>
      </w:r>
      <w:hyperlink r:id="rId48">
        <w:r>
          <w:t>http://ggplot2.org</w:t>
        </w:r>
      </w:hyperlink>
    </w:p>
    <w:p w:rsidR="00D674E2" w:rsidRDefault="00B26AAD">
      <w:r>
        <w:t xml:space="preserve">Williams, L. E., &amp; </w:t>
      </w:r>
      <w:proofErr w:type="spellStart"/>
      <w:r>
        <w:t>Bargh</w:t>
      </w:r>
      <w:proofErr w:type="spellEnd"/>
      <w:r>
        <w:t xml:space="preserve">, J. A. (2008). Experiencing Physical Warmth Promotes Interpersonal Warmth. </w:t>
      </w:r>
      <w:r>
        <w:rPr>
          <w:i/>
        </w:rPr>
        <w:t>Science</w:t>
      </w:r>
      <w:r>
        <w:t xml:space="preserve">, </w:t>
      </w:r>
      <w:r>
        <w:rPr>
          <w:i/>
        </w:rPr>
        <w:t>322</w:t>
      </w:r>
      <w:r>
        <w:t xml:space="preserve">(5901), 606–607. </w:t>
      </w:r>
      <w:proofErr w:type="gramStart"/>
      <w:r>
        <w:t>doi</w:t>
      </w:r>
      <w:proofErr w:type="gramEnd"/>
      <w:r>
        <w:t>:</w:t>
      </w:r>
      <w:hyperlink r:id="rId49">
        <w:r>
          <w:t>10.1126/science.1162548</w:t>
        </w:r>
      </w:hyperlink>
    </w:p>
    <w:p w:rsidR="00D674E2" w:rsidRDefault="00B26AAD">
      <w:proofErr w:type="spellStart"/>
      <w:r>
        <w:t>Xie</w:t>
      </w:r>
      <w:proofErr w:type="spellEnd"/>
      <w:r>
        <w:t xml:space="preserve">, Y. (2015). </w:t>
      </w:r>
      <w:r>
        <w:rPr>
          <w:i/>
        </w:rPr>
        <w:t xml:space="preserve">Dynamic documents with R and </w:t>
      </w:r>
      <w:proofErr w:type="spellStart"/>
      <w:r>
        <w:rPr>
          <w:i/>
        </w:rPr>
        <w:t>knitr</w:t>
      </w:r>
      <w:proofErr w:type="spellEnd"/>
      <w:r>
        <w:t xml:space="preserve"> (2nd </w:t>
      </w:r>
      <w:proofErr w:type="gramStart"/>
      <w:r>
        <w:t>ed</w:t>
      </w:r>
      <w:proofErr w:type="gramEnd"/>
      <w:r>
        <w:t xml:space="preserve">.). Boca Raton, Florida: Chapman; Hall/CRC. Retrieved from </w:t>
      </w:r>
      <w:hyperlink r:id="rId50">
        <w:r>
          <w:t>https://yihui.name/knitr/</w:t>
        </w:r>
      </w:hyperlink>
    </w:p>
    <w:p w:rsidR="00D674E2" w:rsidRDefault="00B26AAD">
      <w:proofErr w:type="spellStart"/>
      <w:r>
        <w:t>Xie</w:t>
      </w:r>
      <w:proofErr w:type="spellEnd"/>
      <w:r>
        <w:t xml:space="preserve">, Y. (2016). </w:t>
      </w:r>
      <w:proofErr w:type="spellStart"/>
      <w:proofErr w:type="gramStart"/>
      <w:r>
        <w:rPr>
          <w:i/>
        </w:rPr>
        <w:t>bookdown</w:t>
      </w:r>
      <w:proofErr w:type="spellEnd"/>
      <w:proofErr w:type="gramEnd"/>
      <w:r>
        <w:rPr>
          <w:i/>
        </w:rPr>
        <w:t>: Authoring books and technical documents with R markdown</w:t>
      </w:r>
      <w:r>
        <w:t xml:space="preserve">. Boca Raton, Florida: Chapman; Hall/CRC. Retrieved from </w:t>
      </w:r>
      <w:hyperlink r:id="rId51">
        <w:r>
          <w:t>https://github.com/rstudio/bookdown</w:t>
        </w:r>
      </w:hyperlink>
    </w:p>
    <w:sectPr w:rsidR="00D674E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AAD" w:rsidRDefault="00B26AAD">
      <w:pPr>
        <w:spacing w:before="0" w:after="0" w:line="240" w:lineRule="auto"/>
      </w:pPr>
      <w:r>
        <w:separator/>
      </w:r>
    </w:p>
  </w:endnote>
  <w:endnote w:type="continuationSeparator" w:id="0">
    <w:p w:rsidR="00B26AAD" w:rsidRDefault="00B26A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AAD" w:rsidRDefault="00B26AAD">
      <w:r>
        <w:separator/>
      </w:r>
    </w:p>
  </w:footnote>
  <w:footnote w:type="continuationSeparator" w:id="0">
    <w:p w:rsidR="00B26AAD" w:rsidRDefault="00B26AAD">
      <w:r>
        <w:continuationSeparator/>
      </w:r>
    </w:p>
  </w:footnote>
  <w:footnote w:id="1">
    <w:p w:rsidR="00D674E2" w:rsidRDefault="00B26AAD">
      <w:pPr>
        <w:pStyle w:val="FootnoteText1"/>
      </w:pPr>
      <w:r w:rsidRPr="007673C6">
        <w:rPr>
          <w:vertAlign w:val="superscript"/>
        </w:rPr>
        <w:footnoteRef/>
      </w:r>
      <w:r>
        <w:t xml:space="preserve"> This will typically, although not always, correspond to the effect size the study had 50% power to detect (see </w:t>
      </w:r>
      <w:proofErr w:type="spellStart"/>
      <w:r>
        <w:t>Lenth</w:t>
      </w:r>
      <w:proofErr w:type="spellEnd"/>
      <w:r>
        <w:t>, 2007). This procedure will result in equivalence bounds that are wider than the ones obtained using the small telescopes approach, which gives the effect size a study had 33% power to detect.</w:t>
      </w:r>
    </w:p>
  </w:footnote>
  <w:footnote w:id="2">
    <w:p w:rsidR="00D674E2" w:rsidRDefault="00B26AAD">
      <w:pPr>
        <w:pStyle w:val="FootnoteText1"/>
      </w:pPr>
      <w:r w:rsidRPr="007673C6">
        <w:rPr>
          <w:vertAlign w:val="superscript"/>
        </w:rPr>
        <w:footnoteRef/>
      </w:r>
      <w:r>
        <w:t xml:space="preserve"> This approach is conceptually very similar to the </w:t>
      </w:r>
      <w:r>
        <w:rPr>
          <w:i/>
        </w:rPr>
        <w:t>power approach</w:t>
      </w:r>
      <w:r>
        <w:t xml:space="preserve">, where the effect size you had 95% power to detect is calculated, and the presence of effects more extreme than this value is rejected after observing a </w:t>
      </w:r>
      <m:oMath>
        <m:r>
          <w:rPr>
            <w:rFonts w:ascii="Cambria Math" w:hAnsi="Cambria Math"/>
          </w:rPr>
          <m:t>p</m:t>
        </m:r>
      </m:oMath>
      <w:r>
        <w:t xml:space="preserve">-value </w:t>
      </w:r>
      <w:r>
        <w:rPr>
          <w:i/>
        </w:rPr>
        <w:t>larger than</w:t>
      </w:r>
      <w:r>
        <w:t xml:space="preserve"> 0.05 in a traditional null-hypothesis significance test. However, </w:t>
      </w:r>
      <w:proofErr w:type="spellStart"/>
      <w:r>
        <w:t>Meyners</w:t>
      </w:r>
      <w:proofErr w:type="spellEnd"/>
      <w:r>
        <w:t xml:space="preserve"> (2012) explains that this approach is not recommended (even though it is common) because it ignores the possibility that effects are significant </w:t>
      </w:r>
      <w:r>
        <w:rPr>
          <w:i/>
        </w:rPr>
        <w:t>and</w:t>
      </w:r>
      <w:r>
        <w:t xml:space="preserve"> equivalent, and error rates are not controlled accurately.</w:t>
      </w:r>
    </w:p>
  </w:footnote>
  <w:footnote w:id="3">
    <w:p w:rsidR="00D674E2" w:rsidRDefault="00B26AAD">
      <w:pPr>
        <w:pStyle w:val="FootnoteText1"/>
      </w:pPr>
      <w:r w:rsidRPr="007673C6">
        <w:rPr>
          <w:vertAlign w:val="superscript"/>
        </w:rPr>
        <w:footnoteRef/>
      </w:r>
      <w:r>
        <w:t xml:space="preserve"> Fractional degrees of freedom in </w:t>
      </w:r>
      <w:r>
        <w:rPr>
          <w:i/>
        </w:rPr>
        <w:t>t</w:t>
      </w:r>
      <w:r>
        <w:t xml:space="preserve">-tests are a result of using Welch’s </w:t>
      </w:r>
      <w:r>
        <w:rPr>
          <w:i/>
        </w:rPr>
        <w:t>t</w:t>
      </w:r>
      <w:r>
        <w:t xml:space="preserve">-test instead of Student’s </w:t>
      </w:r>
      <w:r>
        <w:rPr>
          <w:i/>
        </w:rPr>
        <w:t>t</w:t>
      </w:r>
      <w:r>
        <w:t>-test, which is the recommended default when sample sizes are unequal between groups (</w:t>
      </w:r>
      <w:proofErr w:type="spellStart"/>
      <w:r>
        <w:t>Delacre</w:t>
      </w:r>
      <w:proofErr w:type="spellEnd"/>
      <w:r>
        <w:t>, Lakens, &amp; Leys, 2017). When using the TOSTER package in R, this is achieved by setting “</w:t>
      </w:r>
      <w:proofErr w:type="spellStart"/>
      <w:r>
        <w:t>var.equal</w:t>
      </w:r>
      <w:proofErr w:type="spellEnd"/>
      <w:r>
        <w:t xml:space="preserve"> = FALSE”.</w:t>
      </w:r>
    </w:p>
  </w:footnote>
  <w:footnote w:id="4">
    <w:p w:rsidR="00D674E2" w:rsidRDefault="00B26AAD">
      <w:pPr>
        <w:pStyle w:val="FootnoteText1"/>
      </w:pPr>
      <w:r w:rsidRPr="007673C6">
        <w:rPr>
          <w:vertAlign w:val="superscript"/>
        </w:rPr>
        <w:footnoteRef/>
      </w:r>
      <w:r>
        <w:t xml:space="preserve"> Because this is a replication of a study, it would have been reasonable to assume that we only want to reject effects in the same direction as the effect in the original study. After all, much smaller effects may indicate non-replication, but so do large effects in the opposite direction. In that case, we would perform an inferiority test (see figure 1D) </w:t>
      </w:r>
      <w:proofErr w:type="gramStart"/>
      <w:r>
        <w:t xml:space="preserve">against </w:t>
      </w:r>
      <w:proofErr w:type="gramEnd"/>
      <m:oMath>
        <m:sSub>
          <m:sSubPr>
            <m:ctrlPr>
              <w:rPr>
                <w:rFonts w:ascii="Cambria Math" w:hAnsi="Cambria Math"/>
              </w:rPr>
            </m:ctrlPr>
          </m:sSubPr>
          <m:e>
            <m:r>
              <w:rPr>
                <w:rFonts w:ascii="Cambria Math" w:hAnsi="Cambria Math"/>
              </w:rPr>
              <m:t>Δ</m:t>
            </m:r>
          </m:e>
          <m:sub>
            <m:r>
              <w:rPr>
                <w:rFonts w:ascii="Cambria Math" w:hAnsi="Cambria Math"/>
              </w:rPr>
              <m:t>U</m:t>
            </m:r>
          </m:sub>
        </m:sSub>
      </m:oMath>
      <w:r>
        <w:t xml:space="preserve">. As can be seen in Figure 2A, the 90% CI does not overlap </w:t>
      </w:r>
      <w:proofErr w:type="gramStart"/>
      <w:r>
        <w:t xml:space="preserve">with </w:t>
      </w:r>
      <w:proofErr w:type="gramEnd"/>
      <m:oMath>
        <m:sSub>
          <m:sSubPr>
            <m:ctrlPr>
              <w:rPr>
                <w:rFonts w:ascii="Cambria Math" w:hAnsi="Cambria Math"/>
              </w:rPr>
            </m:ctrlPr>
          </m:sSubPr>
          <m:e>
            <m:r>
              <w:rPr>
                <w:rFonts w:ascii="Cambria Math" w:hAnsi="Cambria Math"/>
              </w:rPr>
              <m:t>Δ</m:t>
            </m:r>
          </m:e>
          <m:sub>
            <m:r>
              <w:rPr>
                <w:rFonts w:ascii="Cambria Math" w:hAnsi="Cambria Math"/>
              </w:rPr>
              <m:t>U</m:t>
            </m:r>
          </m:sub>
        </m:sSub>
      </m:oMath>
      <w:r>
        <w:t xml:space="preserve">, so we can reject effects as large or larger than </w:t>
      </w:r>
      <m:oMath>
        <m:r>
          <w:rPr>
            <w:rFonts w:ascii="Cambria Math" w:hAnsi="Cambria Math"/>
          </w:rPr>
          <m:t>0.0625</m:t>
        </m:r>
      </m:oMath>
      <w:r>
        <w:t>. However, this must be decided before running the tests to prevent loss of error c</w:t>
      </w:r>
      <w:proofErr w:type="spellStart"/>
      <w:r>
        <w:t>ontrol</w:t>
      </w:r>
      <w:proofErr w:type="spellEnd"/>
      <w:r>
        <w:t>.</w:t>
      </w:r>
    </w:p>
  </w:footnote>
  <w:footnote w:id="5">
    <w:p w:rsidR="00D674E2" w:rsidRDefault="00B26AAD">
      <w:pPr>
        <w:pStyle w:val="FootnoteText1"/>
      </w:pPr>
      <w:r w:rsidRPr="007673C6">
        <w:rPr>
          <w:vertAlign w:val="superscript"/>
        </w:rPr>
        <w:footnoteRef/>
      </w:r>
      <w:r>
        <w:t xml:space="preserve"> Study 4 in </w:t>
      </w:r>
      <w:proofErr w:type="spellStart"/>
      <w:r>
        <w:t>Kahane</w:t>
      </w:r>
      <w:proofErr w:type="spellEnd"/>
      <w:r>
        <w:t xml:space="preserve"> et al. (2015) had a final sample size </w:t>
      </w:r>
      <w:proofErr w:type="gramStart"/>
      <w:r>
        <w:t xml:space="preserve">of </w:t>
      </w:r>
      <w:proofErr w:type="gramEnd"/>
      <m:oMath>
        <m:r>
          <w:rPr>
            <w:rFonts w:ascii="Cambria Math" w:hAnsi="Cambria Math"/>
          </w:rPr>
          <m:t>N=232</m:t>
        </m:r>
      </m:oMath>
      <w:r>
        <w:t xml:space="preserve">, but due to missing data in 1 case, the correlation reported here is based on a sample of </w:t>
      </w:r>
      <m:oMath>
        <m:r>
          <w:rPr>
            <w:rFonts w:ascii="Cambria Math" w:hAnsi="Cambria Math"/>
          </w:rPr>
          <m:t>N=231</m:t>
        </m:r>
      </m:oMath>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FE70A52"/>
    <w:multiLevelType w:val="multilevel"/>
    <w:tmpl w:val="65A87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A221A"/>
    <w:rsid w:val="004E29B3"/>
    <w:rsid w:val="00590D07"/>
    <w:rsid w:val="005E0906"/>
    <w:rsid w:val="007673C6"/>
    <w:rsid w:val="00780F95"/>
    <w:rsid w:val="00784D58"/>
    <w:rsid w:val="008927DF"/>
    <w:rsid w:val="008D6863"/>
    <w:rsid w:val="00B26AAD"/>
    <w:rsid w:val="00B86B75"/>
    <w:rsid w:val="00BC48D5"/>
    <w:rsid w:val="00C36279"/>
    <w:rsid w:val="00D674E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A5B74CA-605C-4B59-9F88-C3A7F443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gridExtra" TargetMode="External"/><Relationship Id="rId18" Type="http://schemas.openxmlformats.org/officeDocument/2006/relationships/hyperlink" Target="https://doi.org/10.1007/s40806-017-0102-z" TargetMode="External"/><Relationship Id="rId26" Type="http://schemas.openxmlformats.org/officeDocument/2006/relationships/hyperlink" Target="https://doi.org/10.1016/j.cognition.2014.10.005" TargetMode="External"/><Relationship Id="rId39" Type="http://schemas.openxmlformats.org/officeDocument/2006/relationships/hyperlink" Target="https://doi.org/10.1001/jama.295.10.1152" TargetMode="External"/><Relationship Id="rId3" Type="http://schemas.openxmlformats.org/officeDocument/2006/relationships/settings" Target="settings.xml"/><Relationship Id="rId21" Type="http://schemas.openxmlformats.org/officeDocument/2006/relationships/hyperlink" Target="https://CRAN.R-project.org/package=pwr" TargetMode="External"/><Relationship Id="rId34" Type="http://schemas.openxmlformats.org/officeDocument/2006/relationships/hyperlink" Target="https://doi.org/10.1016/j.foodqual.2012.05.003" TargetMode="External"/><Relationship Id="rId42" Type="http://schemas.openxmlformats.org/officeDocument/2006/relationships/hyperlink" Target="http://lmdvr.r-forge.r-project.org" TargetMode="External"/><Relationship Id="rId47" Type="http://schemas.openxmlformats.org/officeDocument/2006/relationships/hyperlink" Target="https://doi.org/10.1080/19312458.2012.703834" TargetMode="External"/><Relationship Id="rId50" Type="http://schemas.openxmlformats.org/officeDocument/2006/relationships/hyperlink" Target="https://yihui.name/knitr/" TargetMode="External"/><Relationship Id="rId7" Type="http://schemas.openxmlformats.org/officeDocument/2006/relationships/hyperlink" Target="mailto:D.Lakens@tue.nl" TargetMode="External"/><Relationship Id="rId12" Type="http://schemas.openxmlformats.org/officeDocument/2006/relationships/hyperlink" Target="https://CRAN.R-project.org/package=rmarkdown" TargetMode="External"/><Relationship Id="rId17" Type="http://schemas.openxmlformats.org/officeDocument/2006/relationships/hyperlink" Target="https://doi.org/10.1027/1864-9335/a000191" TargetMode="External"/><Relationship Id="rId25" Type="http://schemas.openxmlformats.org/officeDocument/2006/relationships/hyperlink" Target="https://doi.org/10.1126/science.1160364" TargetMode="External"/><Relationship Id="rId33" Type="http://schemas.openxmlformats.org/officeDocument/2006/relationships/hyperlink" Target="https://doi.org/10.1037/0022-006X.46.4.806" TargetMode="External"/><Relationship Id="rId38" Type="http://schemas.openxmlformats.org/officeDocument/2006/relationships/hyperlink" Target="https://doi.org/10.1177/1745691614528519" TargetMode="External"/><Relationship Id="rId46" Type="http://schemas.openxmlformats.org/officeDocument/2006/relationships/hyperlink" Target="https://doi.org/10.1177/0956797614567341" TargetMode="External"/><Relationship Id="rId2" Type="http://schemas.openxmlformats.org/officeDocument/2006/relationships/styles" Target="styles.xml"/><Relationship Id="rId16" Type="http://schemas.openxmlformats.org/officeDocument/2006/relationships/hyperlink" Target="https://doi.org/10.1177/0956797611432497" TargetMode="External"/><Relationship Id="rId20" Type="http://schemas.openxmlformats.org/officeDocument/2006/relationships/hyperlink" Target="https://doi.org/10.1017/S0033291715001270" TargetMode="External"/><Relationship Id="rId29" Type="http://schemas.openxmlformats.org/officeDocument/2006/relationships/hyperlink" Target="https://CRAN.R-project.org/package=TOSTER" TargetMode="External"/><Relationship Id="rId41"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yarxiv.com/v3zkt/" TargetMode="External"/><Relationship Id="rId24" Type="http://schemas.openxmlformats.org/officeDocument/2006/relationships/hyperlink" Target="https://CRAN.R-project.org/package=purrr" TargetMode="External"/><Relationship Id="rId32" Type="http://schemas.openxmlformats.org/officeDocument/2006/relationships/hyperlink" Target="https://doi.org/10.1037/a0039400" TargetMode="External"/><Relationship Id="rId37" Type="http://schemas.openxmlformats.org/officeDocument/2006/relationships/hyperlink" Target="https://doi.org/10.1098/rsta.1933.0009" TargetMode="External"/><Relationship Id="rId40" Type="http://schemas.openxmlformats.org/officeDocument/2006/relationships/hyperlink" Target="https://doi.org/10.5334/pb-51-2-109" TargetMode="External"/><Relationship Id="rId45" Type="http://schemas.openxmlformats.org/officeDocument/2006/relationships/hyperlink" Target="https://doi.org/10.1111/1467-9280.00111"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348/000712608X377117" TargetMode="External"/><Relationship Id="rId23" Type="http://schemas.openxmlformats.org/officeDocument/2006/relationships/hyperlink" Target="https://doi.org/10.1348/000711009X475853" TargetMode="External"/><Relationship Id="rId28" Type="http://schemas.openxmlformats.org/officeDocument/2006/relationships/hyperlink" Target="https://doi.org/10.1177/1948550617697177" TargetMode="External"/><Relationship Id="rId36" Type="http://schemas.openxmlformats.org/officeDocument/2006/relationships/hyperlink" Target="https://doi.org/10.5281/zenodo.838685" TargetMode="External"/><Relationship Id="rId49" Type="http://schemas.openxmlformats.org/officeDocument/2006/relationships/hyperlink" Target="https://doi.org/10.1126/science.1162548" TargetMode="External"/><Relationship Id="rId10" Type="http://schemas.openxmlformats.org/officeDocument/2006/relationships/hyperlink" Target="https://osf.io/qamc6/" TargetMode="External"/><Relationship Id="rId19" Type="http://schemas.openxmlformats.org/officeDocument/2006/relationships/hyperlink" Target="https://doi.org/10.1371/journal.pone.0130093" TargetMode="External"/><Relationship Id="rId31" Type="http://schemas.openxmlformats.org/officeDocument/2006/relationships/hyperlink" Target="https://doi.org/10.1027/1864-9335/a000187" TargetMode="External"/><Relationship Id="rId44" Type="http://schemas.openxmlformats.org/officeDocument/2006/relationships/hyperlink" Target="https://doi.org/http://dx.doi.org.dianus.libr.tue.nl/10.1037/1082-989X.3.4.403"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crsh/papaja" TargetMode="External"/><Relationship Id="rId22" Type="http://schemas.openxmlformats.org/officeDocument/2006/relationships/hyperlink" Target="https://doi.org/10.5334/irsp.82" TargetMode="External"/><Relationship Id="rId27" Type="http://schemas.openxmlformats.org/officeDocument/2006/relationships/hyperlink" Target="https://doi.org/10.1016/j.evolhumbehav.2017.08.002" TargetMode="External"/><Relationship Id="rId30" Type="http://schemas.openxmlformats.org/officeDocument/2006/relationships/hyperlink" Target="https://doi.org/10.17605/OSF.IO/9S3Y6" TargetMode="External"/><Relationship Id="rId35" Type="http://schemas.openxmlformats.org/officeDocument/2006/relationships/hyperlink" Target="https://doi.org/10.1027/1864-9335/a000193" TargetMode="External"/><Relationship Id="rId43" Type="http://schemas.openxmlformats.org/officeDocument/2006/relationships/hyperlink" Target="https://doi.org/10.1016/j.chb.2017.08.006" TargetMode="External"/><Relationship Id="rId48" Type="http://schemas.openxmlformats.org/officeDocument/2006/relationships/hyperlink" Target="http://ggplot2.org" TargetMode="External"/><Relationship Id="rId8" Type="http://schemas.openxmlformats.org/officeDocument/2006/relationships/image" Target="media/image1.png"/><Relationship Id="rId51" Type="http://schemas.openxmlformats.org/officeDocument/2006/relationships/hyperlink" Target="https://github.com/rstudio/boo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7351</Words>
  <Characters>41901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Equivalence Testing for Psychological Research: A Tutorial</vt:lpstr>
    </vt:vector>
  </TitlesOfParts>
  <Company/>
  <LinksUpToDate>false</LinksUpToDate>
  <CharactersWithSpaces>49154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Equivalence Testing for Psychological Research: A Tutorial</dc:title>
  <dc:creator>Scheel, A.M.</dc:creator>
  <cp:lastModifiedBy>Scheel, A.M.</cp:lastModifiedBy>
  <cp:revision>6</cp:revision>
  <dcterms:created xsi:type="dcterms:W3CDTF">2018-03-01T13:02:00Z</dcterms:created>
  <dcterms:modified xsi:type="dcterms:W3CDTF">2018-03-01T14:37:00Z</dcterms:modified>
</cp:coreProperties>
</file>