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29.png" ContentType="image/png"/>
  <Override PartName="/word/media/rId31.png" ContentType="image/png"/>
  <Override PartName="/word/media/rId3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Exploring</w:t>
      </w:r>
      <w:r>
        <w:t xml:space="preserve"> </w:t>
      </w:r>
      <w:r>
        <w:t xml:space="preserve">Equivalence</w:t>
      </w:r>
      <w:r>
        <w:t xml:space="preserve"> </w:t>
      </w:r>
      <w:r>
        <w:t xml:space="preserve">Testing</w:t>
      </w:r>
      <w:r>
        <w:t xml:space="preserve"> </w:t>
      </w:r>
      <w:r>
        <w:t xml:space="preserve">with</w:t>
      </w:r>
      <w:r>
        <w:t xml:space="preserve"> </w:t>
      </w:r>
      <w:r>
        <w:t xml:space="preserve">the</w:t>
      </w:r>
      <w:r>
        <w:t xml:space="preserve"> </w:t>
      </w:r>
      <w:r>
        <w:t xml:space="preserve">TOSTER</w:t>
      </w:r>
      <w:r>
        <w:t xml:space="preserve"> </w:t>
      </w:r>
      <w:r>
        <w:t xml:space="preserve">R</w:t>
      </w:r>
      <w:r>
        <w:t xml:space="preserve"> </w:t>
      </w:r>
      <w:r>
        <w:t xml:space="preserve">package</w:t>
      </w:r>
    </w:p>
    <w:p>
      <w:pPr>
        <w:pStyle w:val="Author"/>
      </w:pPr>
      <w:r>
        <w:t xml:space="preserve">Aaron R. Caldwell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This is an article detailing the</w:t>
      </w:r>
      <w:r>
        <w:t xml:space="preserve"> </w:t>
      </w:r>
      <w:r>
        <w:t xml:space="preserve">“</w:t>
      </w:r>
      <w:r>
        <w:t xml:space="preserve">avocado TOST</w:t>
      </w:r>
      <w:r>
        <w:t xml:space="preserve">”</w:t>
      </w:r>
      <w:r>
        <w:t xml:space="preserve"> </w:t>
      </w:r>
      <w:r>
        <w:t xml:space="preserve">update to the TOSTER R package.</w:t>
      </w:r>
    </w:p>
    <w:p>
      <w:pPr>
        <w:pStyle w:val="Textkrper"/>
      </w:pPr>
      <w:r>
        <w:rPr>
          <w:iCs/>
          <w:i/>
        </w:rPr>
        <w:t xml:space="preserve">Keywords:</w:t>
      </w:r>
      <w:r>
        <w:t xml:space="preserve"> </w:t>
      </w:r>
      <w:r>
        <w:t xml:space="preserve">statistics, bootstrapping, minimal effects test</w:t>
      </w:r>
    </w:p>
    <w:p>
      <w:pPr>
        <w:pStyle w:val="h1-pagebreak"/>
      </w:pPr>
      <w:r>
        <w:t xml:space="preserve">Exploring Equivalence Testing with the TOSTER R package</w:t>
      </w:r>
    </w:p>
    <w:bookmarkStart w:id="20" w:name="introduction"/>
    <w:p>
      <w:pPr>
        <w:pStyle w:val="berschrift1"/>
      </w:pPr>
      <w:r>
        <w:rPr>
          <w:rStyle w:val="SectionNumber"/>
        </w:rPr>
        <w:t xml:space="preserve">1</w:t>
      </w:r>
      <w:r>
        <w:tab/>
      </w:r>
      <w:r>
        <w:t xml:space="preserve">Introduction</w:t>
      </w:r>
    </w:p>
    <w:p>
      <w:pPr>
        <w:pStyle w:val="FirstParagraph"/>
      </w:pPr>
      <w:r>
        <w:t xml:space="preserve">Importance of equivalence testing</w:t>
      </w:r>
      <w:r>
        <w:t xml:space="preserve"> </w:t>
      </w:r>
      <w:r>
        <w:t xml:space="preserve">Seems to be mostly unrecognized by general researchers</w:t>
      </w:r>
      <w:r>
        <w:t xml:space="preserve"> </w:t>
      </w:r>
      <w:r>
        <w:t xml:space="preserve">Many of the complaints about significance testing can be addressed through equivalence testing</w:t>
      </w:r>
      <w:r>
        <w:t xml:space="preserve"> </w:t>
      </w:r>
      <w:r>
        <w:t xml:space="preserve">Teaching the average researcher about equivalence testing, and providing easy-to-use tools to implement such testing, could improve awareness</w:t>
      </w:r>
      <w:r>
        <w:t xml:space="preserve"> </w:t>
      </w:r>
      <w:r>
        <w:t xml:space="preserve">TOSTER (Avocado TOST edition &gt;v0.4.0) is a good tool to introduce the idea of equivalence testing to the average researcher who is already familiar with equivalence testing.</w:t>
      </w:r>
    </w:p>
    <w:bookmarkEnd w:id="20"/>
    <w:bookmarkStart w:id="23" w:name="basics-of-equivalence-testing"/>
    <w:p>
      <w:pPr>
        <w:pStyle w:val="berschrift1"/>
      </w:pPr>
      <w:r>
        <w:rPr>
          <w:rStyle w:val="SectionNumber"/>
        </w:rPr>
        <w:t xml:space="preserve">2</w:t>
      </w:r>
      <w:r>
        <w:tab/>
      </w:r>
      <w:r>
        <w:t xml:space="preserve">Basics of Equivalence Testing</w:t>
      </w:r>
    </w:p>
    <w:bookmarkStart w:id="22" w:name="the-toster-r-package"/>
    <w:p>
      <w:pPr>
        <w:pStyle w:val="berschrift2"/>
      </w:pPr>
      <w:r>
        <w:rPr>
          <w:rStyle w:val="SectionNumber"/>
        </w:rPr>
        <w:t xml:space="preserve">2.1</w:t>
      </w:r>
      <w:r>
        <w:tab/>
      </w:r>
      <w:r>
        <w:t xml:space="preserve">The TOSTER R Package</w:t>
      </w:r>
    </w:p>
    <w:p>
      <w:pPr>
        <w:pStyle w:val="FirstParagraph"/>
      </w:pPr>
      <w:r>
        <w:t xml:space="preserve">In an effort to make</w:t>
      </w:r>
      <w:r>
        <w:t xml:space="preserve"> </w:t>
      </w:r>
      <w:r>
        <w:rPr>
          <w:rStyle w:val="VerbatimChar"/>
        </w:rPr>
        <w:t xml:space="preserve">TOSTER</w:t>
      </w:r>
      <w:r>
        <w:t xml:space="preserve"> </w:t>
      </w:r>
      <w:r>
        <w:t xml:space="preserve">more informative and easier to use, a new function</w:t>
      </w:r>
      <w:r>
        <w:t xml:space="preserve"> </w:t>
      </w:r>
      <w:r>
        <w:rPr>
          <w:rStyle w:val="VerbatimChar"/>
        </w:rPr>
        <w:t xml:space="preserve">t_TOST</w:t>
      </w:r>
      <w:r>
        <w:t xml:space="preserve"> </w:t>
      </w:r>
      <w:r>
        <w:t xml:space="preserve">has been created. This function operates very similarly to base R’s</w:t>
      </w:r>
      <w:r>
        <w:t xml:space="preserve"> </w:t>
      </w:r>
      <w:r>
        <w:rPr>
          <w:rStyle w:val="VerbatimChar"/>
        </w:rPr>
        <w:t xml:space="preserve">t.test</w:t>
      </w:r>
      <w:r>
        <w:t xml:space="preserve"> </w:t>
      </w:r>
      <w:r>
        <w:t xml:space="preserve">function, but performs 3 t-tests (one two-tailed and two one-tailed tests). In addition, this function has a generic method where two vectors can be supplied or a formula can be given (e.g.,</w:t>
      </w:r>
      <w:r>
        <w:rPr>
          <w:rStyle w:val="VerbatimChar"/>
        </w:rPr>
        <w:t xml:space="preserve">y ~ group</w:t>
      </w:r>
      <w:r>
        <w:t xml:space="preserve">). This function also makes it easier to switch between types of t-tests. All three types (two sample, one sample, and paired samples) can be performed/calculated from the same function. Moreover, the summary information and visualizations have been upgraded. This should make the decisions derived from the function more informative and user-friendly.</w:t>
      </w:r>
    </w:p>
    <w:p>
      <w:pPr>
        <w:pStyle w:val="Textkrper"/>
      </w:pPr>
      <w:r>
        <w:t xml:space="preserve">Also,</w:t>
      </w:r>
      <w:r>
        <w:t xml:space="preserve"> </w:t>
      </w:r>
      <w:r>
        <w:rPr>
          <w:rStyle w:val="VerbatimChar"/>
        </w:rPr>
        <w:t xml:space="preserve">t_TOST</w:t>
      </w:r>
      <w:r>
        <w:t xml:space="preserve"> </w:t>
      </w:r>
      <w:r>
        <w:t xml:space="preserve">is not limited to equivalence tests. Minimal effects testing (MET) is now possible. MET is useful for situations where the hypothesis is about a minimal effect and the null hypothesis</w:t>
      </w:r>
      <w:r>
        <w:t xml:space="preserve"> </w:t>
      </w:r>
      <w:r>
        <w:rPr>
          <w:iCs/>
          <w:i/>
        </w:rPr>
        <w:t xml:space="preserve">is</w:t>
      </w:r>
      <w:r>
        <w:t xml:space="preserve"> </w:t>
      </w:r>
      <w:r>
        <w:t xml:space="preserve">equivalence.</w:t>
      </w:r>
    </w:p>
    <w:p>
      <w:pPr>
        <w:pStyle w:val="Textkrper"/>
      </w:pPr>
      <w:r>
        <w:drawing>
          <wp:inline>
            <wp:extent cx="4587290" cy="3669832"/>
            <wp:effectExtent b="0" l="0" r="0" t="0"/>
            <wp:docPr descr="" title="" id="1" name="Picture"/>
            <a:graphic>
              <a:graphicData uri="http://schemas.openxmlformats.org/drawingml/2006/picture">
                <pic:pic>
                  <pic:nvPicPr>
                    <pic:cNvPr descr="Avocado_Update_files/figure-docx/hypplot-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In the general introduction to this package we detailed how to look at</w:t>
      </w:r>
      <w:r>
        <w:t xml:space="preserve"> </w:t>
      </w:r>
      <w:r>
        <w:rPr>
          <w:iCs/>
          <w:i/>
        </w:rPr>
        <w:t xml:space="preserve">old</w:t>
      </w:r>
      <w:r>
        <w:t xml:space="preserve"> </w:t>
      </w:r>
      <w:r>
        <w:t xml:space="preserve">results and how to apply TOST to interpreting those results. However, in many cases, users may have new data that needs to be analyzed. Therefore,</w:t>
      </w:r>
      <w:r>
        <w:t xml:space="preserve"> </w:t>
      </w:r>
      <w:r>
        <w:rPr>
          <w:rStyle w:val="VerbatimChar"/>
        </w:rPr>
        <w:t xml:space="preserve">t_TOST</w:t>
      </w:r>
      <w:r>
        <w:t xml:space="preserve"> </w:t>
      </w:r>
      <w:r>
        <w:t xml:space="preserve">can be applied to new data. This vignette will use the</w:t>
      </w:r>
      <w:r>
        <w:t xml:space="preserve"> </w:t>
      </w:r>
      <w:r>
        <w:rPr>
          <w:rStyle w:val="VerbatimChar"/>
        </w:rPr>
        <w:t xml:space="preserve">bugs</w:t>
      </w:r>
      <w:r>
        <w:t xml:space="preserve"> </w:t>
      </w:r>
      <w:r>
        <w:t xml:space="preserve">data from the</w:t>
      </w:r>
      <w:r>
        <w:t xml:space="preserve"> </w:t>
      </w:r>
      <w:r>
        <w:rPr>
          <w:rStyle w:val="VerbatimChar"/>
        </w:rPr>
        <w:t xml:space="preserve">jmv</w:t>
      </w:r>
      <w:r>
        <w:t xml:space="preserve"> </w:t>
      </w:r>
      <w:r>
        <w:t xml:space="preserve">R package and the</w:t>
      </w:r>
      <w:r>
        <w:t xml:space="preserve"> </w:t>
      </w:r>
      <w:r>
        <w:rPr>
          <w:rStyle w:val="VerbatimChar"/>
        </w:rPr>
        <w:t xml:space="preserve">sleep</w:t>
      </w:r>
      <w:r>
        <w:t xml:space="preserve"> </w:t>
      </w:r>
      <w:r>
        <w:t xml:space="preserve">data.</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rPr>
          <w:rStyle w:val="FunctionTok"/>
        </w:rPr>
        <w:t xml:space="preserve">library</w:t>
      </w:r>
      <w:r>
        <w:rPr>
          <w:rStyle w:val="NormalTok"/>
        </w:rPr>
        <w:t xml:space="preserve">(jmv)</w:t>
      </w:r>
      <w:r>
        <w:br/>
      </w:r>
      <w:r>
        <w:rPr>
          <w:rStyle w:val="FunctionTok"/>
        </w:rPr>
        <w:t xml:space="preserve">data</w:t>
      </w:r>
      <w:r>
        <w:rPr>
          <w:rStyle w:val="NormalTok"/>
        </w:rPr>
        <w:t xml:space="preserve">(</w:t>
      </w:r>
      <w:r>
        <w:rPr>
          <w:rStyle w:val="StringTok"/>
        </w:rPr>
        <w:t xml:space="preserve">'bugs'</w:t>
      </w:r>
      <w:r>
        <w:rPr>
          <w:rStyle w:val="NormalTok"/>
        </w:rPr>
        <w:t xml:space="preserve">)</w:t>
      </w:r>
    </w:p>
    <w:bookmarkEnd w:id="22"/>
    <w:bookmarkEnd w:id="23"/>
    <w:bookmarkStart w:id="28" w:name="independent-groups"/>
    <w:p>
      <w:pPr>
        <w:pStyle w:val="berschrift1"/>
      </w:pPr>
      <w:r>
        <w:rPr>
          <w:rStyle w:val="SectionNumber"/>
        </w:rPr>
        <w:t xml:space="preserve">3</w:t>
      </w:r>
      <w:r>
        <w:tab/>
      </w:r>
      <w:r>
        <w:t xml:space="preserve">Independent Groups</w:t>
      </w:r>
    </w:p>
    <w:p>
      <w:pPr>
        <w:pStyle w:val="FirstParagraph"/>
      </w:pPr>
      <w:r>
        <w:t xml:space="preserve">For this example, we will use the sleep data. In this data there is a</w:t>
      </w:r>
      <w:r>
        <w:t xml:space="preserve"> </w:t>
      </w:r>
      <w:r>
        <w:rPr>
          <w:rStyle w:val="VerbatimChar"/>
        </w:rPr>
        <w:t xml:space="preserve">group</w:t>
      </w:r>
      <w:r>
        <w:t xml:space="preserve"> </w:t>
      </w:r>
      <w:r>
        <w:t xml:space="preserve">variable and an outcome</w:t>
      </w:r>
      <w:r>
        <w:t xml:space="preserve"> </w:t>
      </w:r>
      <w:r>
        <w:rPr>
          <w:rStyle w:val="VerbatimChar"/>
        </w:rPr>
        <w:t xml:space="preserve">extra</w:t>
      </w:r>
      <w:r>
        <w:t xml:space="preserve">.</w:t>
      </w:r>
    </w:p>
    <w:p>
      <w:pPr>
        <w:pStyle w:val="SourceCode"/>
      </w:pPr>
      <w:r>
        <w:rPr>
          <w:rStyle w:val="FunctionTok"/>
        </w:rPr>
        <w:t xml:space="preserve">head</w:t>
      </w:r>
      <w:r>
        <w:rPr>
          <w:rStyle w:val="NormalTok"/>
        </w:rPr>
        <w:t xml:space="preserve">(sleep)</w:t>
      </w:r>
    </w:p>
    <w:p>
      <w:pPr>
        <w:pStyle w:val="SourceCode"/>
      </w:pPr>
      <w:r>
        <w:rPr>
          <w:rStyle w:val="VerbatimChar"/>
        </w:rPr>
        <w:t xml:space="preserve">##   extra group ID</w:t>
      </w:r>
      <w:r>
        <w:br/>
      </w:r>
      <w:r>
        <w:rPr>
          <w:rStyle w:val="VerbatimChar"/>
        </w:rPr>
        <w:t xml:space="preserve">## 1   0.7     1  1</w:t>
      </w:r>
      <w:r>
        <w:br/>
      </w:r>
      <w:r>
        <w:rPr>
          <w:rStyle w:val="VerbatimChar"/>
        </w:rPr>
        <w:t xml:space="preserve">## 2  -1.6     1  2</w:t>
      </w:r>
      <w:r>
        <w:br/>
      </w:r>
      <w:r>
        <w:rPr>
          <w:rStyle w:val="VerbatimChar"/>
        </w:rPr>
        <w:t xml:space="preserve">## 3  -0.2     1  3</w:t>
      </w:r>
      <w:r>
        <w:br/>
      </w:r>
      <w:r>
        <w:rPr>
          <w:rStyle w:val="VerbatimChar"/>
        </w:rPr>
        <w:t xml:space="preserve">## 4  -1.2     1  4</w:t>
      </w:r>
      <w:r>
        <w:br/>
      </w:r>
      <w:r>
        <w:rPr>
          <w:rStyle w:val="VerbatimChar"/>
        </w:rPr>
        <w:t xml:space="preserve">## 5  -0.1     1  5</w:t>
      </w:r>
      <w:r>
        <w:br/>
      </w:r>
      <w:r>
        <w:rPr>
          <w:rStyle w:val="VerbatimChar"/>
        </w:rPr>
        <w:t xml:space="preserve">## 6   3.4     1  6</w:t>
      </w:r>
    </w:p>
    <w:p>
      <w:pPr>
        <w:pStyle w:val="FirstParagraph"/>
      </w:pPr>
      <w:r>
        <w:t xml:space="preserve">We will assume the data are independent, and that we have equivalence bounds of +/- 0.5. All we need to do is provide the</w:t>
      </w:r>
      <w:r>
        <w:t xml:space="preserve"> </w:t>
      </w:r>
      <w:r>
        <w:rPr>
          <w:rStyle w:val="VerbatimChar"/>
        </w:rPr>
        <w:t xml:space="preserve">formula</w:t>
      </w:r>
      <w:r>
        <w:t xml:space="preserve">,</w:t>
      </w:r>
      <w:r>
        <w:t xml:space="preserve"> </w:t>
      </w:r>
      <w:r>
        <w:rPr>
          <w:rStyle w:val="VerbatimChar"/>
        </w:rPr>
        <w:t xml:space="preserve">data</w:t>
      </w:r>
      <w:r>
        <w:t xml:space="preserve">, and eqbound arguments for the function to run appropriately. In addition, we can set the</w:t>
      </w:r>
      <w:r>
        <w:t xml:space="preserve"> </w:t>
      </w:r>
      <w:r>
        <w:rPr>
          <w:rStyle w:val="VerbatimChar"/>
        </w:rPr>
        <w:t xml:space="preserve">var.equal</w:t>
      </w:r>
      <w:r>
        <w:t xml:space="preserve"> </w:t>
      </w:r>
      <w:r>
        <w:t xml:space="preserve">argument (to assume equal variance), and the</w:t>
      </w:r>
      <w:r>
        <w:t xml:space="preserve"> </w:t>
      </w:r>
      <w:r>
        <w:rPr>
          <w:rStyle w:val="VerbatimChar"/>
        </w:rPr>
        <w:t xml:space="preserve">paired</w:t>
      </w:r>
      <w:r>
        <w:t xml:space="preserve"> </w:t>
      </w:r>
      <w:r>
        <w:t xml:space="preserve">argument (sets if the data is paired or not). Both are logical indicators that can be set to TRUE or FALSE. The</w:t>
      </w:r>
      <w:r>
        <w:t xml:space="preserve"> </w:t>
      </w:r>
      <w:r>
        <w:rPr>
          <w:rStyle w:val="VerbatimChar"/>
        </w:rPr>
        <w:t xml:space="preserve">alpha</w:t>
      </w:r>
      <w:r>
        <w:t xml:space="preserve"> </w:t>
      </w:r>
      <w:r>
        <w:t xml:space="preserve">is automatically set to 0.05 but this can also be adjusted by the user. The Hedges correction is also automatically calculated, but this can be overridden with the</w:t>
      </w:r>
      <w:r>
        <w:t xml:space="preserve"> </w:t>
      </w:r>
      <w:r>
        <w:rPr>
          <w:rStyle w:val="VerbatimChar"/>
        </w:rPr>
        <w:t xml:space="preserve">bias_correction</w:t>
      </w:r>
      <w:r>
        <w:t xml:space="preserve"> </w:t>
      </w:r>
      <w:r>
        <w:t xml:space="preserve">argument. The</w:t>
      </w:r>
      <w:r>
        <w:t xml:space="preserve"> </w:t>
      </w:r>
      <w:r>
        <w:rPr>
          <w:rStyle w:val="VerbatimChar"/>
        </w:rPr>
        <w:t xml:space="preserve">hypothesis</w:t>
      </w:r>
      <w:r>
        <w:t xml:space="preserve"> </w:t>
      </w:r>
      <w:r>
        <w:t xml:space="preserve">is automatically set to</w:t>
      </w:r>
      <w:r>
        <w:t xml:space="preserve"> </w:t>
      </w:r>
      <w:r>
        <w:t xml:space="preserve">“</w:t>
      </w:r>
      <w:r>
        <w:t xml:space="preserve">EQU</w:t>
      </w:r>
      <w:r>
        <w:t xml:space="preserve">”</w:t>
      </w:r>
      <w:r>
        <w:t xml:space="preserve"> </w:t>
      </w:r>
      <w:r>
        <w:t xml:space="preserve">for equivalence but if a minimal effect is of interest then</w:t>
      </w:r>
      <w:r>
        <w:t xml:space="preserve"> </w:t>
      </w:r>
      <w:r>
        <w:t xml:space="preserve">“</w:t>
      </w:r>
      <w:r>
        <w:t xml:space="preserve">MET</w:t>
      </w:r>
      <w:r>
        <w:t xml:space="preserve">”</w:t>
      </w:r>
      <w:r>
        <w:t xml:space="preserve"> </w:t>
      </w:r>
      <w:r>
        <w:t xml:space="preserve">can be supplied</w:t>
      </w:r>
    </w:p>
    <w:p>
      <w:pPr>
        <w:pStyle w:val="SourceCode"/>
      </w:pPr>
      <w:r>
        <w:rPr>
          <w:rStyle w:val="NormalTok"/>
        </w:rPr>
        <w:t xml:space="preserve">res1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br/>
      </w:r>
      <w:r>
        <w:rPr>
          <w:rStyle w:val="NormalTok"/>
        </w:rPr>
        <w:t xml:space="preserve">res1a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y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p>
    <w:p>
      <w:pPr>
        <w:pStyle w:val="FirstParagraph"/>
      </w:pPr>
      <w:r>
        <w:t xml:space="preserve">Once the function has run, we can print the results with the</w:t>
      </w:r>
      <w:r>
        <w:t xml:space="preserve"> </w:t>
      </w:r>
      <w:r>
        <w:rPr>
          <w:rStyle w:val="VerbatimChar"/>
        </w:rPr>
        <w:t xml:space="preserve">print</w:t>
      </w:r>
      <w:r>
        <w:t xml:space="preserve"> </w:t>
      </w:r>
      <w:r>
        <w:t xml:space="preserve">command. This provides a verbose summary of the results.</w:t>
      </w:r>
    </w:p>
    <w:p>
      <w:pPr>
        <w:pStyle w:val="SourceCode"/>
      </w:pPr>
      <w:r>
        <w:rPr>
          <w:rStyle w:val="FunctionTok"/>
        </w:rPr>
        <w:t xml:space="preserve">print</w:t>
      </w:r>
      <w:r>
        <w:rPr>
          <w:rStyle w:val="NormalTok"/>
        </w:rPr>
        <w:t xml:space="preserve">(res1)</w:t>
      </w:r>
    </w:p>
    <w:p>
      <w:pPr>
        <w:pStyle w:val="SourceCode"/>
      </w:pPr>
      <w:r>
        <w:rPr>
          <w:rStyle w:val="VerbatimChar"/>
        </w:rPr>
        <w:t xml:space="preserve">## </w:t>
      </w:r>
      <w:r>
        <w:br/>
      </w:r>
      <w:r>
        <w:rPr>
          <w:rStyle w:val="VerbatimChar"/>
        </w:rPr>
        <w:t xml:space="preserve">## Welch Two Sample t-test</w:t>
      </w:r>
      <w:r>
        <w:br/>
      </w:r>
      <w:r>
        <w:rPr>
          <w:rStyle w:val="VerbatimChar"/>
        </w:rPr>
        <w:t xml:space="preserve">## Hypothesis Tested: Equivalence</w:t>
      </w:r>
      <w:r>
        <w:br/>
      </w:r>
      <w:r>
        <w:rPr>
          <w:rStyle w:val="VerbatimChar"/>
        </w:rPr>
        <w:t xml:space="preserve">## Equivalence Bounds (raw):-0.500 &amp; 0.500</w:t>
      </w:r>
      <w:r>
        <w:br/>
      </w:r>
      <w:r>
        <w:rPr>
          <w:rStyle w:val="VerbatimChar"/>
        </w:rPr>
        <w:t xml:space="preserve">## Alpha Level:0.05</w:t>
      </w:r>
      <w:r>
        <w:br/>
      </w:r>
      <w:r>
        <w:rPr>
          <w:rStyle w:val="VerbatimChar"/>
        </w:rPr>
        <w:t xml:space="preserve">## The equivalence test was non-significant, t(17.78) = -1.272, p = 8.9e-01</w:t>
      </w:r>
      <w:r>
        <w:br/>
      </w:r>
      <w:r>
        <w:rPr>
          <w:rStyle w:val="VerbatimChar"/>
        </w:rPr>
        <w:t xml:space="preserve">## The null hypothesis test was non-significant, t(17.78) = -1.861, p = 7.94e-02</w:t>
      </w:r>
      <w:r>
        <w:br/>
      </w:r>
      <w:r>
        <w:rPr>
          <w:rStyle w:val="VerbatimChar"/>
        </w:rPr>
        <w:t xml:space="preserve">## NHST: don't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-1.860813 0.849091 17.77647 0.07939414</w:t>
      </w:r>
      <w:r>
        <w:br/>
      </w:r>
      <w:r>
        <w:rPr>
          <w:rStyle w:val="VerbatimChar"/>
        </w:rPr>
        <w:t xml:space="preserve">## TOST Lower -1.271948 0.849091 17.77647 0.89010996</w:t>
      </w:r>
      <w:r>
        <w:br/>
      </w:r>
      <w:r>
        <w:rPr>
          <w:rStyle w:val="VerbatimChar"/>
        </w:rPr>
        <w:t xml:space="preserve">## TOST Upper -2.449678 0.849091 17.77647 0.01245133</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-1.5800000 0.849091 -3.053381 -0.10661850        0.9</w:t>
      </w:r>
      <w:r>
        <w:br/>
      </w:r>
      <w:r>
        <w:rPr>
          <w:rStyle w:val="VerbatimChar"/>
        </w:rPr>
        <w:t xml:space="preserve">## Hedges' g(av) -0.7964846 0.497633 -1.684326 -0.06154947        0.9</w:t>
      </w:r>
      <w:r>
        <w:br/>
      </w:r>
      <w:r>
        <w:rPr>
          <w:rStyle w:val="VerbatimChar"/>
        </w:rPr>
        <w:t xml:space="preserve">## </w:t>
      </w:r>
      <w:r>
        <w:br/>
      </w:r>
      <w:r>
        <w:rPr>
          <w:rStyle w:val="VerbatimChar"/>
        </w:rPr>
        <w:t xml:space="preserve">## Note: SMD confidence intervals are an approximation. See vignette("SMD_calcs").</w:t>
      </w:r>
    </w:p>
    <w:p>
      <w:pPr>
        <w:pStyle w:val="FirstParagraph"/>
      </w:pPr>
      <w:r>
        <w:t xml:space="preserve">Another nice feature is the generic</w:t>
      </w:r>
      <w:r>
        <w:t xml:space="preserve"> </w:t>
      </w:r>
      <w:r>
        <w:rPr>
          <w:rStyle w:val="VerbatimChar"/>
        </w:rPr>
        <w:t xml:space="preserve">plot</w:t>
      </w:r>
      <w:r>
        <w:t xml:space="preserve"> </w:t>
      </w:r>
      <w:r>
        <w:t xml:space="preserve">method that can provide a visual summary of the results. All of the plots in this package were inspired by the</w:t>
      </w:r>
      <w:r>
        <w:t xml:space="preserve"> </w:t>
      </w:r>
      <w:hyperlink r:id="rId24">
        <w:r>
          <w:rPr>
            <w:rStyle w:val="Hyperlink"/>
          </w:rPr>
          <w:t xml:space="preserve">concurve</w:t>
        </w:r>
      </w:hyperlink>
      <w:r>
        <w:t xml:space="preserve"> </w:t>
      </w:r>
      <w:r>
        <w:t xml:space="preserve">R package. There are two types of plots that can be produced. The first, and default, is the consonance density plot (</w:t>
      </w:r>
      <w:r>
        <w:rPr>
          <w:rStyle w:val="VerbatimChar"/>
        </w:rPr>
        <w:t xml:space="preserve">type = "cd"</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p>
    <w:p>
      <w:pPr>
        <w:pStyle w:val="FirstParagraph"/>
      </w:pPr>
      <w:r>
        <w:drawing>
          <wp:inline>
            <wp:extent cx="5504749" cy="5504749"/>
            <wp:effectExtent b="0" l="0" r="0" t="0"/>
            <wp:docPr descr="" title="" id="1" name="Picture"/>
            <a:graphic>
              <a:graphicData uri="http://schemas.openxmlformats.org/drawingml/2006/picture">
                <pic:pic>
                  <pic:nvPicPr>
                    <pic:cNvPr descr="Avocado_Update_files/figure-docx/unnamed-chunk-6-1.png" id="0" name="Picture"/>
                    <pic:cNvPicPr>
                      <a:picLocks noChangeArrowheads="1" noChangeAspect="1"/>
                    </pic:cNvPicPr>
                  </pic:nvPicPr>
                  <pic:blipFill>
                    <a:blip r:embed="rId25"/>
                    <a:stretch>
                      <a:fillRect/>
                    </a:stretch>
                  </pic:blipFill>
                  <pic:spPr bwMode="auto">
                    <a:xfrm>
                      <a:off x="0" y="0"/>
                      <a:ext cx="5504749" cy="5504749"/>
                    </a:xfrm>
                    <a:prstGeom prst="rect">
                      <a:avLst/>
                    </a:prstGeom>
                    <a:noFill/>
                    <a:ln w="9525">
                      <a:noFill/>
                      <a:headEnd/>
                      <a:tailEnd/>
                    </a:ln>
                  </pic:spPr>
                </pic:pic>
              </a:graphicData>
            </a:graphic>
          </wp:inline>
        </w:drawing>
      </w:r>
    </w:p>
    <w:p>
      <w:pPr>
        <w:pStyle w:val="Textkrper"/>
      </w:pPr>
      <w:r>
        <w:t xml:space="preserve">The shading pattern can be modified with the</w:t>
      </w:r>
      <w:r>
        <w:t xml:space="preserve"> </w:t>
      </w:r>
      <w:r>
        <w:rPr>
          <w:rStyle w:val="VerbatimChar"/>
        </w:rPr>
        <w:t xml:space="preserve">ci_shades</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r>
        <w:br/>
      </w:r>
      <w:r>
        <w:rPr>
          <w:rStyle w:val="NormalTok"/>
        </w:rPr>
        <w:t xml:space="preserve">     </w:t>
      </w:r>
      <w:r>
        <w:rPr>
          <w:rStyle w:val="AttributeTok"/>
        </w:rPr>
        <w:t xml:space="preserve">ci_shades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FirstParagraph"/>
      </w:pPr>
      <w:r>
        <w:drawing>
          <wp:inline>
            <wp:extent cx="5504749" cy="5504749"/>
            <wp:effectExtent b="0" l="0" r="0" t="0"/>
            <wp:docPr descr="" title="" id="1" name="Picture"/>
            <a:graphic>
              <a:graphicData uri="http://schemas.openxmlformats.org/drawingml/2006/picture">
                <pic:pic>
                  <pic:nvPicPr>
                    <pic:cNvPr descr="Avocado_Update_files/figure-docx/unnamed-chunk-7-1.png" id="0" name="Picture"/>
                    <pic:cNvPicPr>
                      <a:picLocks noChangeArrowheads="1" noChangeAspect="1"/>
                    </pic:cNvPicPr>
                  </pic:nvPicPr>
                  <pic:blipFill>
                    <a:blip r:embed="rId26"/>
                    <a:stretch>
                      <a:fillRect/>
                    </a:stretch>
                  </pic:blipFill>
                  <pic:spPr bwMode="auto">
                    <a:xfrm>
                      <a:off x="0" y="0"/>
                      <a:ext cx="5504749" cy="5504749"/>
                    </a:xfrm>
                    <a:prstGeom prst="rect">
                      <a:avLst/>
                    </a:prstGeom>
                    <a:noFill/>
                    <a:ln w="9525">
                      <a:noFill/>
                      <a:headEnd/>
                      <a:tailEnd/>
                    </a:ln>
                  </pic:spPr>
                </pic:pic>
              </a:graphicData>
            </a:graphic>
          </wp:inline>
        </w:drawing>
      </w:r>
    </w:p>
    <w:p>
      <w:pPr>
        <w:pStyle w:val="Textkrper"/>
      </w:pPr>
      <w:r>
        <w:t xml:space="preserve">Consonance plots, where all confidence intervals can be simultaneous plotted, can also be produced. The advantage here is multiple confidence interval lines can plotted at once.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ci_lines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FirstParagraph"/>
      </w:pPr>
      <w:r>
        <w:drawing>
          <wp:inline>
            <wp:extent cx="5504749" cy="5504749"/>
            <wp:effectExtent b="0" l="0" r="0" t="0"/>
            <wp:docPr descr="" title="" id="1" name="Picture"/>
            <a:graphic>
              <a:graphicData uri="http://schemas.openxmlformats.org/drawingml/2006/picture">
                <pic:pic>
                  <pic:nvPicPr>
                    <pic:cNvPr descr="Avocado_Update_files/figure-docx/unnamed-chunk-8-1.png" id="0" name="Picture"/>
                    <pic:cNvPicPr>
                      <a:picLocks noChangeArrowheads="1" noChangeAspect="1"/>
                    </pic:cNvPicPr>
                  </pic:nvPicPr>
                  <pic:blipFill>
                    <a:blip r:embed="rId27"/>
                    <a:stretch>
                      <a:fillRect/>
                    </a:stretch>
                  </pic:blipFill>
                  <pic:spPr bwMode="auto">
                    <a:xfrm>
                      <a:off x="0" y="0"/>
                      <a:ext cx="5504749" cy="5504749"/>
                    </a:xfrm>
                    <a:prstGeom prst="rect">
                      <a:avLst/>
                    </a:prstGeom>
                    <a:noFill/>
                    <a:ln w="9525">
                      <a:noFill/>
                      <a:headEnd/>
                      <a:tailEnd/>
                    </a:ln>
                  </pic:spPr>
                </pic:pic>
              </a:graphicData>
            </a:graphic>
          </wp:inline>
        </w:drawing>
      </w:r>
    </w:p>
    <w:bookmarkEnd w:id="28"/>
    <w:bookmarkStart w:id="30" w:name="paired-samples"/>
    <w:p>
      <w:pPr>
        <w:pStyle w:val="berschrift1"/>
      </w:pPr>
      <w:r>
        <w:rPr>
          <w:rStyle w:val="SectionNumber"/>
        </w:rPr>
        <w:t xml:space="preserve">4</w:t>
      </w:r>
      <w:r>
        <w:tab/>
      </w:r>
      <w:r>
        <w:t xml:space="preserve">Paired Samples</w:t>
      </w:r>
    </w:p>
    <w:p>
      <w:pPr>
        <w:pStyle w:val="FirstParagraph"/>
      </w:pPr>
      <w:r>
        <w:t xml:space="preserve">To perform a paired samples TOST, the process does not change much. We could process the test the same way by providing a formula. All we would need to then is change</w:t>
      </w:r>
      <w:r>
        <w:t xml:space="preserve"> </w:t>
      </w:r>
      <w:r>
        <w:rPr>
          <w:rStyle w:val="VerbatimChar"/>
        </w:rPr>
        <w:t xml:space="preserve">paired</w:t>
      </w:r>
      <w:r>
        <w:t xml:space="preserve"> </w:t>
      </w:r>
      <w:r>
        <w:t xml:space="preserve">to TRUE.</w:t>
      </w:r>
    </w:p>
    <w:p>
      <w:pPr>
        <w:pStyle w:val="SourceCode"/>
      </w:pPr>
      <w:r>
        <w:rPr>
          <w:rStyle w:val="NormalTok"/>
        </w:rPr>
        <w:t xml:space="preserve">res2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rPr>
          <w:rStyle w:val="NormalTok"/>
        </w:rPr>
        <w:t xml:space="preserve">res2</w:t>
      </w:r>
    </w:p>
    <w:p>
      <w:pPr>
        <w:pStyle w:val="SourceCode"/>
      </w:pPr>
      <w:r>
        <w:rPr>
          <w:rStyle w:val="VerbatimChar"/>
        </w:rPr>
        <w:t xml:space="preserve">## </w:t>
      </w:r>
      <w:r>
        <w:br/>
      </w:r>
      <w:r>
        <w:rPr>
          <w:rStyle w:val="VerbatimChar"/>
        </w:rPr>
        <w:t xml:space="preserve">## Paired t-test</w:t>
      </w:r>
      <w:r>
        <w:br/>
      </w:r>
      <w:r>
        <w:rPr>
          <w:rStyle w:val="VerbatimChar"/>
        </w:rPr>
        <w:t xml:space="preserve">## Hypothesis Tested: Equivalence</w:t>
      </w:r>
      <w:r>
        <w:br/>
      </w:r>
      <w:r>
        <w:rPr>
          <w:rStyle w:val="VerbatimChar"/>
        </w:rPr>
        <w:t xml:space="preserve">## Equivalence Bounds (raw):-0.500 &amp; 0.500</w:t>
      </w:r>
      <w:r>
        <w:br/>
      </w:r>
      <w:r>
        <w:rPr>
          <w:rStyle w:val="VerbatimChar"/>
        </w:rPr>
        <w:t xml:space="preserve">## Alpha Level:0.05</w:t>
      </w:r>
      <w:r>
        <w:br/>
      </w:r>
      <w:r>
        <w:rPr>
          <w:rStyle w:val="VerbatimChar"/>
        </w:rPr>
        <w:t xml:space="preserve">## The equivalence test was non-significant, t(9) = -2.777, p = 9.89e-01</w:t>
      </w:r>
      <w:r>
        <w:br/>
      </w:r>
      <w:r>
        <w:rPr>
          <w:rStyle w:val="VerbatimChar"/>
        </w:rPr>
        <w:t xml:space="preserve">## The null hypothesis test was significant, t(9) = -4.062, p = 2.83e-03</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-4.062128 0.3889587  9 0.0028328902</w:t>
      </w:r>
      <w:r>
        <w:br/>
      </w:r>
      <w:r>
        <w:rPr>
          <w:rStyle w:val="VerbatimChar"/>
        </w:rPr>
        <w:t xml:space="preserve">## TOST Lower -2.776644 0.3889587  9 0.9892407566</w:t>
      </w:r>
      <w:r>
        <w:br/>
      </w:r>
      <w:r>
        <w:rPr>
          <w:rStyle w:val="VerbatimChar"/>
        </w:rPr>
        <w:t xml:space="preserve">## TOST Upper -5.347611 0.3889587  9 0.0002319027</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-1.580000 0.3889587 -2.293005 -0.8669947        0.9</w:t>
      </w:r>
      <w:r>
        <w:br/>
      </w:r>
      <w:r>
        <w:rPr>
          <w:rStyle w:val="VerbatimChar"/>
        </w:rPr>
        <w:t xml:space="preserve">## Hedges' g(z) -1.230152 0.2008070 -1.848296 -0.8362302        0.9</w:t>
      </w:r>
      <w:r>
        <w:br/>
      </w:r>
      <w:r>
        <w:rPr>
          <w:rStyle w:val="VerbatimChar"/>
        </w:rPr>
        <w:t xml:space="preserve">## </w:t>
      </w:r>
      <w:r>
        <w:br/>
      </w:r>
      <w:r>
        <w:rPr>
          <w:rStyle w:val="VerbatimChar"/>
        </w:rPr>
        <w:t xml:space="preserve">## Note: SMD confidence intervals are an approximation. See vignette("SMD_calcs").</w:t>
      </w:r>
    </w:p>
    <w:p>
      <w:pPr>
        <w:pStyle w:val="FirstParagraph"/>
      </w:pPr>
      <w:r>
        <w:t xml:space="preserve">However, we may have two vectors of data that are paired. So instead we may want to just provide those separately rather than using a data set and setting the formula. This can be demonstrated with the</w:t>
      </w:r>
      <w:r>
        <w:t xml:space="preserve"> </w:t>
      </w:r>
      <w:r>
        <w:t xml:space="preserve">“</w:t>
      </w:r>
      <w:r>
        <w:t xml:space="preserve">bugs</w:t>
      </w:r>
      <w:r>
        <w:t xml:space="preserve">”</w:t>
      </w:r>
      <w:r>
        <w:t xml:space="preserve"> </w:t>
      </w:r>
      <w:r>
        <w:t xml:space="preserve">data.</w:t>
      </w:r>
    </w:p>
    <w:p>
      <w:pPr>
        <w:pStyle w:val="SourceCode"/>
      </w:pPr>
      <w:r>
        <w:rPr>
          <w:rStyle w:val="NormalTok"/>
        </w:rPr>
        <w:t xml:space="preserve">res3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1</w:t>
      </w:r>
      <w:r>
        <w:rPr>
          <w:rStyle w:val="NormalTok"/>
        </w:rPr>
        <w:t xml:space="preserve">)</w:t>
      </w:r>
      <w:r>
        <w:br/>
      </w:r>
      <w:r>
        <w:rPr>
          <w:rStyle w:val="NormalTok"/>
        </w:rPr>
        <w:t xml:space="preserve">res3</w:t>
      </w:r>
    </w:p>
    <w:p>
      <w:pPr>
        <w:pStyle w:val="SourceCode"/>
      </w:pPr>
      <w:r>
        <w:rPr>
          <w:rStyle w:val="VerbatimChar"/>
        </w:rPr>
        <w:t xml:space="preserve">## </w:t>
      </w:r>
      <w:r>
        <w:br/>
      </w:r>
      <w:r>
        <w:rPr>
          <w:rStyle w:val="VerbatimChar"/>
        </w:rPr>
        <w:t xml:space="preserve">## Paired t-test</w:t>
      </w:r>
      <w:r>
        <w:br/>
      </w:r>
      <w:r>
        <w:rPr>
          <w:rStyle w:val="VerbatimChar"/>
        </w:rPr>
        <w:t xml:space="preserve">## Hypothesis Tested: Equivalence</w:t>
      </w:r>
      <w:r>
        <w:br/>
      </w:r>
      <w:r>
        <w:rPr>
          <w:rStyle w:val="VerbatimChar"/>
        </w:rPr>
        <w:t xml:space="preserve">## Equivalence Bounds (raw):-1.000 &amp; 1.000</w:t>
      </w:r>
      <w:r>
        <w:br/>
      </w:r>
      <w:r>
        <w:rPr>
          <w:rStyle w:val="VerbatimChar"/>
        </w:rPr>
        <w:t xml:space="preserve">## Alpha Level:0.05</w:t>
      </w:r>
      <w:r>
        <w:br/>
      </w:r>
      <w:r>
        <w:rPr>
          <w:rStyle w:val="VerbatimChar"/>
        </w:rPr>
        <w:t xml:space="preserve">## The equivalence test was non-significant, t(90) = 2.655, p = 9.95e-01</w:t>
      </w:r>
      <w:r>
        <w:br/>
      </w:r>
      <w:r>
        <w:rPr>
          <w:rStyle w:val="VerbatimChar"/>
        </w:rPr>
        <w:t xml:space="preserve">## The null hypothesis test was significant, t(90) = 6.649, p = 2.22e-09</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6.648618 0.2504032 90 2.223690e-09</w:t>
      </w:r>
      <w:r>
        <w:br/>
      </w:r>
      <w:r>
        <w:rPr>
          <w:rStyle w:val="VerbatimChar"/>
        </w:rPr>
        <w:t xml:space="preserve">## TOST Lower 10.642177 0.2504032 90 6.681389e-18</w:t>
      </w:r>
      <w:r>
        <w:br/>
      </w:r>
      <w:r>
        <w:rPr>
          <w:rStyle w:val="VerbatimChar"/>
        </w:rPr>
        <w:t xml:space="preserve">## TOST Upper  2.655058 0.2504032 90 9.953114e-01</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1.6648352 0.25040321 1.2486748 2.0809956        0.9</w:t>
      </w:r>
      <w:r>
        <w:br/>
      </w:r>
      <w:r>
        <w:rPr>
          <w:rStyle w:val="VerbatimChar"/>
        </w:rPr>
        <w:t xml:space="preserve">## Hedges' g(z) 0.6940558 0.09548981 0.5296194 0.8707979        0.9</w:t>
      </w:r>
      <w:r>
        <w:br/>
      </w:r>
      <w:r>
        <w:rPr>
          <w:rStyle w:val="VerbatimChar"/>
        </w:rPr>
        <w:t xml:space="preserve">## </w:t>
      </w:r>
      <w:r>
        <w:br/>
      </w:r>
      <w:r>
        <w:rPr>
          <w:rStyle w:val="VerbatimChar"/>
        </w:rPr>
        <w:t xml:space="preserve">## Note: SMD confidence intervals are an approximation. See vignette("SMD_calcs").</w:t>
      </w:r>
    </w:p>
    <w:p>
      <w:pPr>
        <w:pStyle w:val="FirstParagraph"/>
      </w:pPr>
      <w:r>
        <w:t xml:space="preserve">We may want to perform a Minimal Effect Test with the</w:t>
      </w:r>
      <w:r>
        <w:t xml:space="preserve"> </w:t>
      </w:r>
      <w:r>
        <w:rPr>
          <w:rStyle w:val="VerbatimChar"/>
        </w:rPr>
        <w:t xml:space="preserve">hypothesis</w:t>
      </w:r>
      <w:r>
        <w:t xml:space="preserve"> </w:t>
      </w:r>
      <w:r>
        <w:t xml:space="preserve">argument set to</w:t>
      </w:r>
      <w:r>
        <w:t xml:space="preserve"> </w:t>
      </w:r>
      <w:r>
        <w:t xml:space="preserve">“</w:t>
      </w:r>
      <w:r>
        <w:t xml:space="preserve">MET.</w:t>
      </w:r>
      <w:r>
        <w:t xml:space="preserve">”</w:t>
      </w:r>
    </w:p>
    <w:p>
      <w:pPr>
        <w:pStyle w:val="SourceCode"/>
      </w:pPr>
      <w:r>
        <w:rPr>
          <w:rStyle w:val="NormalTok"/>
        </w:rPr>
        <w:t xml:space="preserve">res3a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hypothesis =</w:t>
      </w:r>
      <w:r>
        <w:rPr>
          <w:rStyle w:val="NormalTok"/>
        </w:rPr>
        <w:t xml:space="preserve"> </w:t>
      </w:r>
      <w:r>
        <w:rPr>
          <w:rStyle w:val="StringTok"/>
        </w:rPr>
        <w:t xml:space="preserve">"MET"</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1</w:t>
      </w:r>
      <w:r>
        <w:rPr>
          <w:rStyle w:val="NormalTok"/>
        </w:rPr>
        <w:t xml:space="preserve">)</w:t>
      </w:r>
      <w:r>
        <w:br/>
      </w:r>
      <w:r>
        <w:rPr>
          <w:rStyle w:val="NormalTok"/>
        </w:rPr>
        <w:t xml:space="preserve">res3a</w:t>
      </w:r>
    </w:p>
    <w:p>
      <w:pPr>
        <w:pStyle w:val="SourceCode"/>
      </w:pPr>
      <w:r>
        <w:rPr>
          <w:rStyle w:val="VerbatimChar"/>
        </w:rPr>
        <w:t xml:space="preserve">## </w:t>
      </w:r>
      <w:r>
        <w:br/>
      </w:r>
      <w:r>
        <w:rPr>
          <w:rStyle w:val="VerbatimChar"/>
        </w:rPr>
        <w:t xml:space="preserve">## Paired t-test</w:t>
      </w:r>
      <w:r>
        <w:br/>
      </w:r>
      <w:r>
        <w:rPr>
          <w:rStyle w:val="VerbatimChar"/>
        </w:rPr>
        <w:t xml:space="preserve">## Hypothesis Tested: Minimal Effect</w:t>
      </w:r>
      <w:r>
        <w:br/>
      </w:r>
      <w:r>
        <w:rPr>
          <w:rStyle w:val="VerbatimChar"/>
        </w:rPr>
        <w:t xml:space="preserve">## Equivalence Bounds (raw):-1.000 &amp; 1.000</w:t>
      </w:r>
      <w:r>
        <w:br/>
      </w:r>
      <w:r>
        <w:rPr>
          <w:rStyle w:val="VerbatimChar"/>
        </w:rPr>
        <w:t xml:space="preserve">## Alpha Level:0.05</w:t>
      </w:r>
      <w:r>
        <w:br/>
      </w:r>
      <w:r>
        <w:rPr>
          <w:rStyle w:val="VerbatimChar"/>
        </w:rPr>
        <w:t xml:space="preserve">## The minimal effect test was significant, t(90) = 10.642, p = 4.69e-03</w:t>
      </w:r>
      <w:r>
        <w:br/>
      </w:r>
      <w:r>
        <w:rPr>
          <w:rStyle w:val="VerbatimChar"/>
        </w:rPr>
        <w:t xml:space="preserve">## The null hypothesis test was significant, t(90) = 6.649, p = 2.22e-09</w:t>
      </w:r>
      <w:r>
        <w:br/>
      </w:r>
      <w:r>
        <w:rPr>
          <w:rStyle w:val="VerbatimChar"/>
        </w:rPr>
        <w:t xml:space="preserve">## NHST: reject null significance hypothesis that the effect is equal to zero </w:t>
      </w:r>
      <w:r>
        <w:br/>
      </w:r>
      <w:r>
        <w:rPr>
          <w:rStyle w:val="VerbatimChar"/>
        </w:rPr>
        <w:t xml:space="preserve">##  TOST: reject null MET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6.648618 0.2504032 90 2.223690e-09</w:t>
      </w:r>
      <w:r>
        <w:br/>
      </w:r>
      <w:r>
        <w:rPr>
          <w:rStyle w:val="VerbatimChar"/>
        </w:rPr>
        <w:t xml:space="preserve">## TOST Lower 10.642177 0.2504032 90 1.000000e+00</w:t>
      </w:r>
      <w:r>
        <w:br/>
      </w:r>
      <w:r>
        <w:rPr>
          <w:rStyle w:val="VerbatimChar"/>
        </w:rPr>
        <w:t xml:space="preserve">## TOST Upper  2.655058 0.2504032 90 4.688649e-03</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1.6648352 0.25040321 1.2486748 2.0809956        0.9</w:t>
      </w:r>
      <w:r>
        <w:br/>
      </w:r>
      <w:r>
        <w:rPr>
          <w:rStyle w:val="VerbatimChar"/>
        </w:rPr>
        <w:t xml:space="preserve">## Hedges' g(z) 0.6940558 0.09548981 0.5296194 0.8707979        0.9</w:t>
      </w:r>
      <w:r>
        <w:br/>
      </w:r>
      <w:r>
        <w:rPr>
          <w:rStyle w:val="VerbatimChar"/>
        </w:rPr>
        <w:t xml:space="preserve">## </w:t>
      </w:r>
      <w:r>
        <w:br/>
      </w:r>
      <w:r>
        <w:rPr>
          <w:rStyle w:val="VerbatimChar"/>
        </w:rPr>
        <w:t xml:space="preserve">## Note: SMD confidence intervals are an approximation. See vignette("SMD_calcs").</w:t>
      </w:r>
    </w:p>
    <w:p>
      <w:pPr>
        <w:pStyle w:val="FirstParagraph"/>
      </w:pPr>
      <w:r>
        <w:t xml:space="preserve">Again, we can plot the effects from the</w:t>
      </w:r>
      <w:r>
        <w:t xml:space="preserve"> </w:t>
      </w:r>
      <w:r>
        <w:rPr>
          <w:rStyle w:val="VerbatimChar"/>
        </w:rPr>
        <w:t xml:space="preserve">t_TOST</w:t>
      </w:r>
      <w:r>
        <w:t xml:space="preserve"> </w:t>
      </w:r>
      <w:r>
        <w:t xml:space="preserve">result.</w:t>
      </w:r>
    </w:p>
    <w:p>
      <w:pPr>
        <w:pStyle w:val="SourceCode"/>
      </w:pPr>
      <w:r>
        <w:rPr>
          <w:rStyle w:val="FunctionTok"/>
        </w:rPr>
        <w:t xml:space="preserve">plot</w:t>
      </w:r>
      <w:r>
        <w:rPr>
          <w:rStyle w:val="NormalTok"/>
        </w:rPr>
        <w:t xml:space="preserve">(res3a)</w:t>
      </w:r>
    </w:p>
    <w:p>
      <w:pPr>
        <w:pStyle w:val="FirstParagraph"/>
      </w:pPr>
      <w:r>
        <w:drawing>
          <wp:inline>
            <wp:extent cx="5504749" cy="5504749"/>
            <wp:effectExtent b="0" l="0" r="0" t="0"/>
            <wp:docPr descr="" title="" id="1" name="Picture"/>
            <a:graphic>
              <a:graphicData uri="http://schemas.openxmlformats.org/drawingml/2006/picture">
                <pic:pic>
                  <pic:nvPicPr>
                    <pic:cNvPr descr="Avocado_Update_files/figure-docx/unnamed-chunk-12-1.png" id="0" name="Picture"/>
                    <pic:cNvPicPr>
                      <a:picLocks noChangeArrowheads="1" noChangeAspect="1"/>
                    </pic:cNvPicPr>
                  </pic:nvPicPr>
                  <pic:blipFill>
                    <a:blip r:embed="rId29"/>
                    <a:stretch>
                      <a:fillRect/>
                    </a:stretch>
                  </pic:blipFill>
                  <pic:spPr bwMode="auto">
                    <a:xfrm>
                      <a:off x="0" y="0"/>
                      <a:ext cx="5504749" cy="5504749"/>
                    </a:xfrm>
                    <a:prstGeom prst="rect">
                      <a:avLst/>
                    </a:prstGeom>
                    <a:noFill/>
                    <a:ln w="9525">
                      <a:noFill/>
                      <a:headEnd/>
                      <a:tailEnd/>
                    </a:ln>
                  </pic:spPr>
                </pic:pic>
              </a:graphicData>
            </a:graphic>
          </wp:inline>
        </w:drawing>
      </w:r>
    </w:p>
    <w:bookmarkEnd w:id="30"/>
    <w:bookmarkStart w:id="32" w:name="one-sample-t-test"/>
    <w:p>
      <w:pPr>
        <w:pStyle w:val="berschrift1"/>
      </w:pPr>
      <w:r>
        <w:rPr>
          <w:rStyle w:val="SectionNumber"/>
        </w:rPr>
        <w:t xml:space="preserve">5</w:t>
      </w:r>
      <w:r>
        <w:tab/>
      </w:r>
      <w:r>
        <w:t xml:space="preserve">One Sample t-test</w:t>
      </w:r>
    </w:p>
    <w:p>
      <w:pPr>
        <w:pStyle w:val="FirstParagraph"/>
      </w:pPr>
      <w:r>
        <w:t xml:space="preserve">In other cases we may just have a one sample test. If that is the case all we have to do is supply the</w:t>
      </w:r>
      <w:r>
        <w:t xml:space="preserve"> </w:t>
      </w:r>
      <w:r>
        <w:rPr>
          <w:rStyle w:val="VerbatimChar"/>
        </w:rPr>
        <w:t xml:space="preserve">x</w:t>
      </w:r>
      <w:r>
        <w:t xml:space="preserve"> </w:t>
      </w:r>
      <w:r>
        <w:t xml:space="preserve">argument for the data. For this test we may hypothesis that the mean of LDHF is not more than 1.5 points greater or less than 7.</w:t>
      </w:r>
    </w:p>
    <w:p>
      <w:pPr>
        <w:pStyle w:val="SourceCode"/>
      </w:pPr>
      <w:r>
        <w:rPr>
          <w:rStyle w:val="NormalTok"/>
        </w:rPr>
        <w:t xml:space="preserve">res4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FloatTok"/>
        </w:rPr>
        <w:t xml:space="preserve">5.5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FloatTok"/>
        </w:rPr>
        <w:t xml:space="preserve">8.5</w:t>
      </w:r>
      <w:r>
        <w:rPr>
          <w:rStyle w:val="NormalTok"/>
        </w:rPr>
        <w:t xml:space="preserve">)</w:t>
      </w:r>
      <w:r>
        <w:br/>
      </w:r>
      <w:r>
        <w:rPr>
          <w:rStyle w:val="NormalTok"/>
        </w:rPr>
        <w:t xml:space="preserve">res4</w:t>
      </w:r>
    </w:p>
    <w:p>
      <w:pPr>
        <w:pStyle w:val="SourceCode"/>
      </w:pPr>
      <w:r>
        <w:rPr>
          <w:rStyle w:val="VerbatimChar"/>
        </w:rPr>
        <w:t xml:space="preserve">## </w:t>
      </w:r>
      <w:r>
        <w:br/>
      </w:r>
      <w:r>
        <w:rPr>
          <w:rStyle w:val="VerbatimChar"/>
        </w:rPr>
        <w:t xml:space="preserve">## One Sample t-test</w:t>
      </w:r>
      <w:r>
        <w:br/>
      </w:r>
      <w:r>
        <w:rPr>
          <w:rStyle w:val="VerbatimChar"/>
        </w:rPr>
        <w:t xml:space="preserve">## Hypothesis Tested: Equivalence</w:t>
      </w:r>
      <w:r>
        <w:br/>
      </w:r>
      <w:r>
        <w:rPr>
          <w:rStyle w:val="VerbatimChar"/>
        </w:rPr>
        <w:t xml:space="preserve">## Equivalence Bounds (raw):5.500 &amp; 8.500</w:t>
      </w:r>
      <w:r>
        <w:br/>
      </w:r>
      <w:r>
        <w:rPr>
          <w:rStyle w:val="VerbatimChar"/>
        </w:rPr>
        <w:t xml:space="preserve">## Alpha Level:0.05</w:t>
      </w:r>
      <w:r>
        <w:br/>
      </w:r>
      <w:r>
        <w:rPr>
          <w:rStyle w:val="VerbatimChar"/>
        </w:rPr>
        <w:t xml:space="preserve">## The equivalence test was significant, t(90) = -4.244, p = 2.66e-05</w:t>
      </w:r>
      <w:r>
        <w:br/>
      </w:r>
      <w:r>
        <w:rPr>
          <w:rStyle w:val="VerbatimChar"/>
        </w:rPr>
        <w:t xml:space="preserve">## The null hypothesis test was significant, t(90) = 27.942, p = 3.91e-46</w:t>
      </w:r>
      <w:r>
        <w:br/>
      </w:r>
      <w:r>
        <w:rPr>
          <w:rStyle w:val="VerbatimChar"/>
        </w:rPr>
        <w:t xml:space="preserve">## NHST: reject null significance hypothesis that the effect is equal to zero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27.942403 0.2640833 90 3.906969e-46</w:t>
      </w:r>
      <w:r>
        <w:br/>
      </w:r>
      <w:r>
        <w:rPr>
          <w:rStyle w:val="VerbatimChar"/>
        </w:rPr>
        <w:t xml:space="preserve">## TOST Lower  7.115638 0.2640833 90 1.298575e-10</w:t>
      </w:r>
      <w:r>
        <w:br/>
      </w:r>
      <w:r>
        <w:rPr>
          <w:rStyle w:val="VerbatimChar"/>
        </w:rPr>
        <w:t xml:space="preserve">## TOST Upper -4.244416 0.2640833 90 2.658068e-05</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7.379121 0.2640833 6.940225 7.818017        0.9</w:t>
      </w:r>
      <w:r>
        <w:br/>
      </w:r>
      <w:r>
        <w:rPr>
          <w:rStyle w:val="VerbatimChar"/>
        </w:rPr>
        <w:t xml:space="preserve">## Hedges' g 2.904671 0.2452067 2.551811 3.354884        0.9</w:t>
      </w:r>
      <w:r>
        <w:br/>
      </w:r>
      <w:r>
        <w:rPr>
          <w:rStyle w:val="VerbatimChar"/>
        </w:rPr>
        <w:t xml:space="preserve">## </w:t>
      </w:r>
      <w:r>
        <w:br/>
      </w:r>
      <w:r>
        <w:rPr>
          <w:rStyle w:val="VerbatimChar"/>
        </w:rPr>
        <w:t xml:space="preserve">## Note: SMD confidence intervals are an approximation. See vignette("SMD_calcs").</w:t>
      </w:r>
    </w:p>
    <w:p>
      <w:pPr>
        <w:pStyle w:val="SourceCode"/>
      </w:pPr>
      <w:r>
        <w:rPr>
          <w:rStyle w:val="FunctionTok"/>
        </w:rPr>
        <w:t xml:space="preserve">plot</w:t>
      </w:r>
      <w:r>
        <w:rPr>
          <w:rStyle w:val="NormalTok"/>
        </w:rPr>
        <w:t xml:space="preserve">(res4)</w:t>
      </w:r>
    </w:p>
    <w:p>
      <w:pPr>
        <w:pStyle w:val="FirstParagraph"/>
      </w:pPr>
      <w:r>
        <w:drawing>
          <wp:inline>
            <wp:extent cx="5504749" cy="5504749"/>
            <wp:effectExtent b="0" l="0" r="0" t="0"/>
            <wp:docPr descr="" title="" id="1" name="Picture"/>
            <a:graphic>
              <a:graphicData uri="http://schemas.openxmlformats.org/drawingml/2006/picture">
                <pic:pic>
                  <pic:nvPicPr>
                    <pic:cNvPr descr="Avocado_Update_files/figure-docx/unnamed-chunk-14-1.png" id="0" name="Picture"/>
                    <pic:cNvPicPr>
                      <a:picLocks noChangeArrowheads="1" noChangeAspect="1"/>
                    </pic:cNvPicPr>
                  </pic:nvPicPr>
                  <pic:blipFill>
                    <a:blip r:embed="rId31"/>
                    <a:stretch>
                      <a:fillRect/>
                    </a:stretch>
                  </pic:blipFill>
                  <pic:spPr bwMode="auto">
                    <a:xfrm>
                      <a:off x="0" y="0"/>
                      <a:ext cx="5504749" cy="5504749"/>
                    </a:xfrm>
                    <a:prstGeom prst="rect">
                      <a:avLst/>
                    </a:prstGeom>
                    <a:noFill/>
                    <a:ln w="9525">
                      <a:noFill/>
                      <a:headEnd/>
                      <a:tailEnd/>
                    </a:ln>
                  </pic:spPr>
                </pic:pic>
              </a:graphicData>
            </a:graphic>
          </wp:inline>
        </w:drawing>
      </w:r>
    </w:p>
    <w:bookmarkEnd w:id="32"/>
    <w:bookmarkStart w:id="34" w:name="X8d4ed0a60b6e5506297fe2224a93c132210cbd3"/>
    <w:p>
      <w:pPr>
        <w:pStyle w:val="berschrift1"/>
      </w:pPr>
      <w:r>
        <w:rPr>
          <w:rStyle w:val="SectionNumber"/>
        </w:rPr>
        <w:t xml:space="preserve">6</w:t>
      </w:r>
      <w:r>
        <w:tab/>
      </w:r>
      <w:r>
        <w:t xml:space="preserve">Only have the summary statistics? No problem!</w:t>
      </w:r>
    </w:p>
    <w:p>
      <w:pPr>
        <w:pStyle w:val="FirstParagraph"/>
      </w:pPr>
      <w:r>
        <w:t xml:space="preserve">In some cases you may only have access to the summary statistics. Therefore, we created a function,</w:t>
      </w:r>
      <w:r>
        <w:t xml:space="preserve"> </w:t>
      </w:r>
      <w:r>
        <w:rPr>
          <w:rStyle w:val="VerbatimChar"/>
        </w:rPr>
        <w:t xml:space="preserve">tsum_TOST</w:t>
      </w:r>
      <w:r>
        <w:t xml:space="preserve">,to perform the same tests just based on the summary statistics. This involves providing the function with a number of different arguments.</w:t>
      </w:r>
    </w:p>
    <w:p>
      <w:pPr>
        <w:numPr>
          <w:ilvl w:val="0"/>
          <w:numId w:val="1001"/>
        </w:numPr>
        <w:pStyle w:val="Compact"/>
      </w:pPr>
      <w:r>
        <w:rPr>
          <w:rStyle w:val="VerbatimChar"/>
        </w:rPr>
        <w:t xml:space="preserve">n1 &amp; n2</w:t>
      </w:r>
      <w:r>
        <w:t xml:space="preserve"> </w:t>
      </w:r>
      <w:r>
        <w:t xml:space="preserve">the sample sizes (only n1 needs to be provided for one sample case)</w:t>
      </w:r>
    </w:p>
    <w:p>
      <w:pPr>
        <w:numPr>
          <w:ilvl w:val="0"/>
          <w:numId w:val="1001"/>
        </w:numPr>
        <w:pStyle w:val="Compact"/>
      </w:pPr>
      <w:r>
        <w:rPr>
          <w:rStyle w:val="VerbatimChar"/>
        </w:rPr>
        <w:t xml:space="preserve">m1 &amp; m2</w:t>
      </w:r>
      <w:r>
        <w:t xml:space="preserve"> </w:t>
      </w:r>
      <w:r>
        <w:t xml:space="preserve">the sample means</w:t>
      </w:r>
    </w:p>
    <w:p>
      <w:pPr>
        <w:numPr>
          <w:ilvl w:val="0"/>
          <w:numId w:val="1001"/>
        </w:numPr>
        <w:pStyle w:val="Compact"/>
      </w:pPr>
      <w:r>
        <w:rPr>
          <w:rStyle w:val="VerbatimChar"/>
        </w:rPr>
        <w:t xml:space="preserve">sd1 &amp; sd2</w:t>
      </w:r>
      <w:r>
        <w:t xml:space="preserve"> </w:t>
      </w:r>
      <w:r>
        <w:t xml:space="preserve">the sample standard deviation</w:t>
      </w:r>
    </w:p>
    <w:p>
      <w:pPr>
        <w:numPr>
          <w:ilvl w:val="0"/>
          <w:numId w:val="1001"/>
        </w:numPr>
        <w:pStyle w:val="Compact"/>
      </w:pPr>
      <w:r>
        <w:rPr>
          <w:rStyle w:val="VerbatimChar"/>
        </w:rPr>
        <w:t xml:space="preserve">r12</w:t>
      </w:r>
      <w:r>
        <w:t xml:space="preserve"> </w:t>
      </w:r>
      <w:r>
        <w:t xml:space="preserve">the correlation between each if paired is set to TRUE</w:t>
      </w:r>
    </w:p>
    <w:p>
      <w:pPr>
        <w:pStyle w:val="FirstParagraph"/>
      </w:pPr>
      <w:r>
        <w:t xml:space="preserve">The results from above can be replicated with the</w:t>
      </w:r>
      <w:r>
        <w:t xml:space="preserve"> </w:t>
      </w:r>
      <w:r>
        <w:rPr>
          <w:rStyle w:val="VerbatimChar"/>
        </w:rPr>
        <w:t xml:space="preserve">tsum_TOST</w:t>
      </w:r>
    </w:p>
    <w:p>
      <w:pPr>
        <w:pStyle w:val="SourceCode"/>
      </w:pPr>
      <w:r>
        <w:rPr>
          <w:rStyle w:val="NormalTok"/>
        </w:rPr>
        <w:t xml:space="preserve">res_tsum </w:t>
      </w:r>
      <w:r>
        <w:rPr>
          <w:rStyle w:val="OtherTok"/>
        </w:rPr>
        <w:t xml:space="preserve">=</w:t>
      </w:r>
      <w:r>
        <w:rPr>
          <w:rStyle w:val="NormalTok"/>
        </w:rPr>
        <w:t xml:space="preserve"> </w:t>
      </w:r>
      <w:r>
        <w:rPr>
          <w:rStyle w:val="FunctionTok"/>
        </w:rPr>
        <w:t xml:space="preserve">tsum_TOST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unctionTok"/>
        </w:rPr>
        <w:t xml:space="preserve">mean</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unctionTok"/>
        </w:rPr>
        <w:t xml:space="preserve">sd</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FloatTok"/>
        </w:rPr>
        <w:t xml:space="preserve">5.5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FloatTok"/>
        </w:rPr>
        <w:t xml:space="preserve">8.5</w:t>
      </w:r>
      <w:r>
        <w:br/>
      </w:r>
      <w:r>
        <w:rPr>
          <w:rStyle w:val="NormalTok"/>
        </w:rPr>
        <w:t xml:space="preserve">)</w:t>
      </w:r>
      <w:r>
        <w:br/>
      </w:r>
      <w:r>
        <w:br/>
      </w:r>
      <w:r>
        <w:rPr>
          <w:rStyle w:val="NormalTok"/>
        </w:rPr>
        <w:t xml:space="preserve">res_tsum</w:t>
      </w:r>
    </w:p>
    <w:p>
      <w:pPr>
        <w:pStyle w:val="SourceCode"/>
      </w:pPr>
      <w:r>
        <w:rPr>
          <w:rStyle w:val="VerbatimChar"/>
        </w:rPr>
        <w:t xml:space="preserve">## </w:t>
      </w:r>
      <w:r>
        <w:br/>
      </w:r>
      <w:r>
        <w:rPr>
          <w:rStyle w:val="VerbatimChar"/>
        </w:rPr>
        <w:t xml:space="preserve">## One-sample t-Test</w:t>
      </w:r>
      <w:r>
        <w:br/>
      </w:r>
      <w:r>
        <w:rPr>
          <w:rStyle w:val="VerbatimChar"/>
        </w:rPr>
        <w:t xml:space="preserve">## Hypothesis Tested: Equivalence</w:t>
      </w:r>
      <w:r>
        <w:br/>
      </w:r>
      <w:r>
        <w:rPr>
          <w:rStyle w:val="VerbatimChar"/>
        </w:rPr>
        <w:t xml:space="preserve">## Equivalence Bounds (raw):5.500 &amp; 8.500</w:t>
      </w:r>
      <w:r>
        <w:br/>
      </w:r>
      <w:r>
        <w:rPr>
          <w:rStyle w:val="VerbatimChar"/>
        </w:rPr>
        <w:t xml:space="preserve">## Alpha Level:0.05</w:t>
      </w:r>
      <w:r>
        <w:br/>
      </w:r>
      <w:r>
        <w:rPr>
          <w:rStyle w:val="VerbatimChar"/>
        </w:rPr>
        <w:t xml:space="preserve">## The equivalence test was significant, t(90) = -4.244, p = 2.66e-05</w:t>
      </w:r>
      <w:r>
        <w:br/>
      </w:r>
      <w:r>
        <w:rPr>
          <w:rStyle w:val="VerbatimChar"/>
        </w:rPr>
        <w:t xml:space="preserve">## The null hypothesis test was significant, t(90) = 27.942, p = 3.91e-46</w:t>
      </w:r>
      <w:r>
        <w:br/>
      </w:r>
      <w:r>
        <w:rPr>
          <w:rStyle w:val="VerbatimChar"/>
        </w:rPr>
        <w:t xml:space="preserve">## NHST: reject null significance hypothesis that the effect is equal to zero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27.942403 0.2640833 90 3.906969e-46</w:t>
      </w:r>
      <w:r>
        <w:br/>
      </w:r>
      <w:r>
        <w:rPr>
          <w:rStyle w:val="VerbatimChar"/>
        </w:rPr>
        <w:t xml:space="preserve">## TOST Lower  7.115638 0.2640833 90 1.298575e-10</w:t>
      </w:r>
      <w:r>
        <w:br/>
      </w:r>
      <w:r>
        <w:rPr>
          <w:rStyle w:val="VerbatimChar"/>
        </w:rPr>
        <w:t xml:space="preserve">## TOST Upper -4.244416 0.2640833 90 2.658068e-05</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7.379121 0.2640833 6.940225 7.818017        0.9</w:t>
      </w:r>
      <w:r>
        <w:br/>
      </w:r>
      <w:r>
        <w:rPr>
          <w:rStyle w:val="VerbatimChar"/>
        </w:rPr>
        <w:t xml:space="preserve">## Hedges' g 2.904671 0.2452067 2.551811 3.354884        0.9</w:t>
      </w:r>
      <w:r>
        <w:br/>
      </w:r>
      <w:r>
        <w:rPr>
          <w:rStyle w:val="VerbatimChar"/>
        </w:rPr>
        <w:t xml:space="preserve">## </w:t>
      </w:r>
      <w:r>
        <w:br/>
      </w:r>
      <w:r>
        <w:rPr>
          <w:rStyle w:val="VerbatimChar"/>
        </w:rPr>
        <w:t xml:space="preserve">## Note: SMD confidence intervals are an approximation. See vignette("SMD_calcs").</w:t>
      </w:r>
    </w:p>
    <w:p>
      <w:pPr>
        <w:pStyle w:val="SourceCode"/>
      </w:pPr>
      <w:r>
        <w:rPr>
          <w:rStyle w:val="FunctionTok"/>
        </w:rPr>
        <w:t xml:space="preserve">plot</w:t>
      </w:r>
      <w:r>
        <w:rPr>
          <w:rStyle w:val="NormalTok"/>
        </w:rPr>
        <w:t xml:space="preserve">(res_tsum)</w:t>
      </w:r>
    </w:p>
    <w:p>
      <w:pPr>
        <w:pStyle w:val="FirstParagraph"/>
      </w:pPr>
      <w:r>
        <w:drawing>
          <wp:inline>
            <wp:extent cx="5504749" cy="5504749"/>
            <wp:effectExtent b="0" l="0" r="0" t="0"/>
            <wp:docPr descr="" title="" id="1" name="Picture"/>
            <a:graphic>
              <a:graphicData uri="http://schemas.openxmlformats.org/drawingml/2006/picture">
                <pic:pic>
                  <pic:nvPicPr>
                    <pic:cNvPr descr="Avocado_Update_files/figure-docx/unnamed-chunk-16-1.png" id="0" name="Picture"/>
                    <pic:cNvPicPr>
                      <a:picLocks noChangeArrowheads="1" noChangeAspect="1"/>
                    </pic:cNvPicPr>
                  </pic:nvPicPr>
                  <pic:blipFill>
                    <a:blip r:embed="rId33"/>
                    <a:stretch>
                      <a:fillRect/>
                    </a:stretch>
                  </pic:blipFill>
                  <pic:spPr bwMode="auto">
                    <a:xfrm>
                      <a:off x="0" y="0"/>
                      <a:ext cx="5504749" cy="5504749"/>
                    </a:xfrm>
                    <a:prstGeom prst="rect">
                      <a:avLst/>
                    </a:prstGeom>
                    <a:noFill/>
                    <a:ln w="9525">
                      <a:noFill/>
                      <a:headEnd/>
                      <a:tailEnd/>
                    </a:ln>
                  </pic:spPr>
                </pic:pic>
              </a:graphicData>
            </a:graphic>
          </wp:inline>
        </w:drawing>
      </w:r>
    </w:p>
    <w:bookmarkEnd w:id="34"/>
    <w:bookmarkStart w:id="35" w:name="power-analysis-for-t-test-based-tost"/>
    <w:p>
      <w:pPr>
        <w:pStyle w:val="berschrift1"/>
      </w:pPr>
      <w:r>
        <w:rPr>
          <w:rStyle w:val="SectionNumber"/>
        </w:rPr>
        <w:t xml:space="preserve">7</w:t>
      </w:r>
      <w:r>
        <w:tab/>
      </w:r>
      <w:r>
        <w:t xml:space="preserve">Power Analysis for t-test based TOST</w:t>
      </w:r>
    </w:p>
    <w:p>
      <w:pPr>
        <w:pStyle w:val="FirstParagraph"/>
      </w:pPr>
      <w:r>
        <w:t xml:space="preserve">A new function,</w:t>
      </w:r>
      <w:r>
        <w:t xml:space="preserve"> </w:t>
      </w:r>
      <w:r>
        <w:rPr>
          <w:rStyle w:val="VerbatimChar"/>
        </w:rPr>
        <w:t xml:space="preserve">power_t_TOST</w:t>
      </w:r>
      <w:r>
        <w:t xml:space="preserve"> </w:t>
      </w:r>
      <w:r>
        <w:t xml:space="preserve">has been created to allow for power calculations for TOST analyses that utilize t-tests. This function uses a more accurate method than the older functions in this package and match the results of the PASS statistics software. The exact calculations of power are based on Owenâ€™s Q-function or by direct integration of the bivariate non-central t-distribution (inspired by</w:t>
      </w:r>
      <w:r>
        <w:t xml:space="preserve"> </w:t>
      </w:r>
      <w:r>
        <w:t xml:space="preserve">(</w:t>
      </w:r>
      <w:r>
        <w:rPr>
          <w:bCs/>
          <w:b/>
        </w:rPr>
        <w:t xml:space="preserve">PowerTOST?</w:t>
      </w:r>
      <w:r>
        <w:t xml:space="preserve">)</w:t>
      </w:r>
      <w:r>
        <w:t xml:space="preserve"> </w:t>
      </w:r>
      <w:r>
        <w:t xml:space="preserve">in the</w:t>
      </w:r>
      <w:r>
        <w:t xml:space="preserve"> </w:t>
      </w:r>
      <w:r>
        <w:rPr>
          <w:rStyle w:val="VerbatimChar"/>
        </w:rPr>
        <w:t xml:space="preserve">PowerTOST</w:t>
      </w:r>
      <w:r>
        <w:t xml:space="preserve"> </w:t>
      </w:r>
      <w:r>
        <w:t xml:space="preserve">R package). Approximate power is implemented via the non-central t-distribution or the â€˜shiftedâ€™ central t-distribution</w:t>
      </w:r>
      <w:r>
        <w:t xml:space="preserve"> </w:t>
      </w:r>
      <w:r>
        <w:t xml:space="preserve">(</w:t>
      </w:r>
      <w:r>
        <w:rPr>
          <w:bCs/>
          <w:b/>
        </w:rPr>
        <w:t xml:space="preserve">diletti1991?</w:t>
      </w:r>
      <w:r>
        <w:t xml:space="preserve">)</w:t>
      </w:r>
      <w:r>
        <w:t xml:space="preserve">. The function is limited to power analyses involves one sample, two sample, and paired sample cases. More options are available in the</w:t>
      </w:r>
      <w:r>
        <w:t xml:space="preserve"> </w:t>
      </w:r>
      <w:r>
        <w:rPr>
          <w:rStyle w:val="VerbatimChar"/>
        </w:rPr>
        <w:t xml:space="preserve">PowerTOST</w:t>
      </w:r>
      <w:r>
        <w:t xml:space="preserve"> </w:t>
      </w:r>
      <w:r>
        <w:t xml:space="preserve">R package.</w:t>
      </w:r>
    </w:p>
    <w:p>
      <w:pPr>
        <w:pStyle w:val="Textkrper"/>
      </w:pPr>
      <w:r>
        <w:t xml:space="preserve">The interface for this function is quite simple and was intended to mimic the base R function</w:t>
      </w:r>
      <w:r>
        <w:t xml:space="preserve"> </w:t>
      </w:r>
      <w:r>
        <w:rPr>
          <w:rStyle w:val="VerbatimChar"/>
        </w:rPr>
        <w:t xml:space="preserve">power.t.test</w:t>
      </w:r>
      <w:r>
        <w:t xml:space="preserve">. The user must specify the 2 equivalence bounds, and leave only one of the other options blank (</w:t>
      </w:r>
      <w:r>
        <w:rPr>
          <w:rStyle w:val="VerbatimChar"/>
        </w:rPr>
        <w:t xml:space="preserve">alpha</w:t>
      </w:r>
      <w:r>
        <w:t xml:space="preserve">,</w:t>
      </w:r>
      <w:r>
        <w:t xml:space="preserve"> </w:t>
      </w:r>
      <w:r>
        <w:rPr>
          <w:rStyle w:val="VerbatimChar"/>
        </w:rPr>
        <w:t xml:space="preserve">power</w:t>
      </w:r>
      <w:r>
        <w:t xml:space="preserve">, or</w:t>
      </w:r>
      <w:r>
        <w:t xml:space="preserve"> </w:t>
      </w:r>
      <w:r>
        <w:rPr>
          <w:rStyle w:val="VerbatimChar"/>
        </w:rPr>
        <w:t xml:space="preserve">n</w:t>
      </w:r>
      <w:r>
        <w:t xml:space="preserve">). The</w:t>
      </w:r>
      <w:r>
        <w:t xml:space="preserve"> </w:t>
      </w:r>
      <w:r>
        <w:t xml:space="preserve">“</w:t>
      </w:r>
      <w:r>
        <w:t xml:space="preserve">true difference</w:t>
      </w:r>
      <w:r>
        <w:t xml:space="preserve">”</w:t>
      </w:r>
      <w:r>
        <w:t xml:space="preserve"> </w:t>
      </w:r>
      <w:r>
        <w:t xml:space="preserve">can be set with</w:t>
      </w:r>
      <w:r>
        <w:t xml:space="preserve"> </w:t>
      </w:r>
      <w:r>
        <w:rPr>
          <w:rStyle w:val="VerbatimChar"/>
        </w:rPr>
        <w:t xml:space="preserve">delta</w:t>
      </w:r>
      <w:r>
        <w:t xml:space="preserve"> </w:t>
      </w:r>
      <w:r>
        <w:t xml:space="preserve">and the standard deviation (default is 1) can be set with the</w:t>
      </w:r>
      <w:r>
        <w:t xml:space="preserve"> </w:t>
      </w:r>
      <w:r>
        <w:rPr>
          <w:rStyle w:val="VerbatimChar"/>
        </w:rPr>
        <w:t xml:space="preserve">sd</w:t>
      </w:r>
      <w:r>
        <w:t xml:space="preserve"> </w:t>
      </w:r>
      <w:r>
        <w:t xml:space="preserve">argument. Once everything is set and the function is run, the function will return a object of the</w:t>
      </w:r>
      <w:r>
        <w:t xml:space="preserve"> </w:t>
      </w:r>
      <w:r>
        <w:rPr>
          <w:rStyle w:val="VerbatimChar"/>
        </w:rPr>
        <w:t xml:space="preserve">power.htest</w:t>
      </w:r>
      <w:r>
        <w:t xml:space="preserve"> </w:t>
      </w:r>
      <w:r>
        <w:t xml:space="preserve">class.</w:t>
      </w:r>
    </w:p>
    <w:p>
      <w:pPr>
        <w:pStyle w:val="Textkrper"/>
      </w:pPr>
      <w:r>
        <w:t xml:space="preserve">As an example, let’s say we are looking at an equivalence study where we assume the true difference is 1 unit, the standard deviation is 2.5, and we set the equivalence bounds to 2.5 units as well. If we want to find the sample size adequate to have 95% power at an alpha of 0.025 we enter the following:</w:t>
      </w:r>
    </w:p>
    <w:p>
      <w:pPr>
        <w:pStyle w:val="SourceCode"/>
      </w:pPr>
      <w:r>
        <w:rPr>
          <w:rStyle w:val="FunctionTok"/>
        </w:rPr>
        <w:t xml:space="preserve">power_t_TOST</w:t>
      </w:r>
      <w:r>
        <w:rPr>
          <w:rStyle w:val="NormalTok"/>
        </w:rPr>
        <w:t xml:space="preserve">(</w:t>
      </w:r>
      <w:r>
        <w:rPr>
          <w:rStyle w:val="AttributeTok"/>
        </w:rPr>
        <w:t xml:space="preserve">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delta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FloatTok"/>
        </w:rPr>
        <w:t xml:space="preserve">2.5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025</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w:t>
      </w:r>
    </w:p>
    <w:p>
      <w:pPr>
        <w:pStyle w:val="SourceCode"/>
      </w:pPr>
      <w:r>
        <w:rPr>
          <w:rStyle w:val="VerbatimChar"/>
        </w:rPr>
        <w:t xml:space="preserve">## </w:t>
      </w:r>
      <w:r>
        <w:br/>
      </w:r>
      <w:r>
        <w:rPr>
          <w:rStyle w:val="VerbatimChar"/>
        </w:rPr>
        <w:t xml:space="preserve">##      Two-sample TOST power calculation </w:t>
      </w:r>
      <w:r>
        <w:br/>
      </w:r>
      <w:r>
        <w:rPr>
          <w:rStyle w:val="VerbatimChar"/>
        </w:rPr>
        <w:t xml:space="preserve">## </w:t>
      </w:r>
      <w:r>
        <w:br/>
      </w:r>
      <w:r>
        <w:rPr>
          <w:rStyle w:val="VerbatimChar"/>
        </w:rPr>
        <w:t xml:space="preserve">##           power = 0.95</w:t>
      </w:r>
      <w:r>
        <w:br/>
      </w:r>
      <w:r>
        <w:rPr>
          <w:rStyle w:val="VerbatimChar"/>
        </w:rPr>
        <w:t xml:space="preserve">##            beta = 0.05</w:t>
      </w:r>
      <w:r>
        <w:br/>
      </w:r>
      <w:r>
        <w:rPr>
          <w:rStyle w:val="VerbatimChar"/>
        </w:rPr>
        <w:t xml:space="preserve">##           alpha = 0.025</w:t>
      </w:r>
      <w:r>
        <w:br/>
      </w:r>
      <w:r>
        <w:rPr>
          <w:rStyle w:val="VerbatimChar"/>
        </w:rPr>
        <w:t xml:space="preserve">##               n = 73.16747</w:t>
      </w:r>
      <w:r>
        <w:br/>
      </w:r>
      <w:r>
        <w:rPr>
          <w:rStyle w:val="VerbatimChar"/>
        </w:rPr>
        <w:t xml:space="preserve">##           delta = 1</w:t>
      </w:r>
      <w:r>
        <w:br/>
      </w:r>
      <w:r>
        <w:rPr>
          <w:rStyle w:val="VerbatimChar"/>
        </w:rPr>
        <w:t xml:space="preserve">##              sd = 2.5</w:t>
      </w:r>
      <w:r>
        <w:br/>
      </w:r>
      <w:r>
        <w:rPr>
          <w:rStyle w:val="VerbatimChar"/>
        </w:rPr>
        <w:t xml:space="preserve">##          bounds = -2.5, 2.5</w:t>
      </w:r>
      <w:r>
        <w:br/>
      </w:r>
      <w:r>
        <w:rPr>
          <w:rStyle w:val="VerbatimChar"/>
        </w:rPr>
        <w:t xml:space="preserve">## </w:t>
      </w:r>
      <w:r>
        <w:br/>
      </w:r>
      <w:r>
        <w:rPr>
          <w:rStyle w:val="VerbatimChar"/>
        </w:rPr>
        <w:t xml:space="preserve">## NOTE: n is number in *each* group</w:t>
      </w:r>
    </w:p>
    <w:p>
      <w:pPr>
        <w:pStyle w:val="FirstParagraph"/>
      </w:pPr>
      <w:r>
        <w:t xml:space="preserve">From the analysis above we would conclude that adequate power is achieved with 74 participants per group and 148 participants in total.</w:t>
      </w:r>
    </w:p>
    <w:bookmarkEnd w:id="35"/>
    <w:bookmarkStart w:id="36" w:name="non-parametric-tools"/>
    <w:p>
      <w:pPr>
        <w:pStyle w:val="berschrift1"/>
      </w:pPr>
      <w:r>
        <w:rPr>
          <w:rStyle w:val="SectionNumber"/>
        </w:rPr>
        <w:t xml:space="preserve">8</w:t>
      </w:r>
      <w:r>
        <w:tab/>
      </w:r>
      <w:r>
        <w:t xml:space="preserve">Non-Parametric Tools</w:t>
      </w:r>
    </w:p>
    <w:p>
      <w:pPr>
        <w:pStyle w:val="FirstParagraph"/>
      </w:pPr>
      <w:r>
        <w:t xml:space="preserve">Why this may be useful</w:t>
      </w:r>
      <w:r>
        <w:t xml:space="preserve"> </w:t>
      </w:r>
      <w:r>
        <w:t xml:space="preserve">Describe these arenâ€™t tests of medians but symmetry tests (myth busting)</w:t>
      </w:r>
      <w:r>
        <w:t xml:space="preserve"> </w:t>
      </w:r>
      <w:r>
        <w:t xml:space="preserve">Paired samples may want to be rank transformed</w:t>
      </w:r>
    </w:p>
    <w:bookmarkEnd w:id="36"/>
    <w:bookmarkStart w:id="37" w:name="bootstrapping"/>
    <w:p>
      <w:pPr>
        <w:pStyle w:val="berschrift1"/>
      </w:pPr>
      <w:r>
        <w:rPr>
          <w:rStyle w:val="SectionNumber"/>
        </w:rPr>
        <w:t xml:space="preserve">9</w:t>
      </w:r>
      <w:r>
        <w:tab/>
      </w:r>
      <w:r>
        <w:t xml:space="preserve">Bootstrapping</w:t>
      </w:r>
    </w:p>
    <w:p>
      <w:pPr>
        <w:pStyle w:val="FirstParagraph"/>
      </w:pPr>
      <w:r>
        <w:t xml:space="preserve">Detail the boostrapping tools</w:t>
      </w:r>
    </w:p>
    <w:bookmarkEnd w:id="37"/>
    <w:bookmarkStart w:id="38" w:name="equivalence-testing-with-anovas"/>
    <w:p>
      <w:pPr>
        <w:pStyle w:val="berschrift1"/>
      </w:pPr>
      <w:r>
        <w:rPr>
          <w:rStyle w:val="SectionNumber"/>
        </w:rPr>
        <w:t xml:space="preserve">10</w:t>
      </w:r>
      <w:r>
        <w:tab/>
      </w:r>
      <w:r>
        <w:t xml:space="preserve">Equivalence Testing with ANOVAs</w:t>
      </w:r>
    </w:p>
    <w:p>
      <w:pPr>
        <w:pStyle w:val="FirstParagraph"/>
      </w:pPr>
      <w:r>
        <w:t xml:space="preserve">Detail the tools from Campbell &amp; Lakens integrated with this package.</w:t>
      </w:r>
    </w:p>
    <w:bookmarkEnd w:id="38"/>
    <w:bookmarkStart w:id="39" w:name="acknowledgements"/>
    <w:p>
      <w:pPr>
        <w:pStyle w:val="berschrift1"/>
      </w:pPr>
      <w:r>
        <w:t xml:space="preserve">Acknowledgement(s)</w:t>
      </w:r>
    </w:p>
    <w:p>
      <w:pPr>
        <w:pStyle w:val="FirstParagraph"/>
      </w:pPr>
      <w:r>
        <w:t xml:space="preserve">An unnumbered section, e.g. </w:t>
      </w:r>
      <w:r>
        <w:rPr>
          <w:rStyle w:val="VerbatimChar"/>
        </w:rPr>
        <w:t xml:space="preserve">\section*{Acknowledgements}</w:t>
      </w:r>
      <w:r>
        <w:t xml:space="preserve">, may be used for thanks, etc. if required and included</w:t>
      </w:r>
      <w:r>
        <w:t xml:space="preserve"> </w:t>
      </w:r>
      <w:r>
        <w:rPr>
          <w:iCs/>
          <w:i/>
        </w:rPr>
        <w:t xml:space="preserve">in the non-anonymous version</w:t>
      </w:r>
      <w:r>
        <w:t xml:space="preserve"> </w:t>
      </w:r>
      <w:r>
        <w:t xml:space="preserve">before any Notes or References.</w:t>
      </w:r>
    </w:p>
    <w:bookmarkEnd w:id="39"/>
    <w:bookmarkStart w:id="40" w:name="disclosure-statement"/>
    <w:p>
      <w:pPr>
        <w:pStyle w:val="berschrift1"/>
      </w:pPr>
      <w:r>
        <w:t xml:space="preserve">Disclosure statement</w:t>
      </w:r>
    </w:p>
    <w:p>
      <w:pPr>
        <w:pStyle w:val="FirstParagraph"/>
      </w:pPr>
      <w:r>
        <w:t xml:space="preserve">An unnumbered section, e.g. </w:t>
      </w:r>
      <w:r>
        <w:rPr>
          <w:rStyle w:val="VerbatimChar"/>
        </w:rPr>
        <w:t xml:space="preserve">\section*{Disclosure statement}</w:t>
      </w:r>
      <w:r>
        <w:t xml:space="preserve">, may be used to declare any potential conflict of interest and included</w:t>
      </w:r>
      <w:r>
        <w:t xml:space="preserve"> </w:t>
      </w:r>
      <w:r>
        <w:rPr>
          <w:iCs/>
          <w:i/>
        </w:rPr>
        <w:t xml:space="preserve">in the non-anonymous version</w:t>
      </w:r>
      <w:r>
        <w:t xml:space="preserve"> </w:t>
      </w:r>
      <w:r>
        <w:t xml:space="preserve">before any Notes or References, after any Acknowledgements and before any Funding information.</w:t>
      </w:r>
    </w:p>
    <w:bookmarkEnd w:id="40"/>
    <w:bookmarkStart w:id="41" w:name="funding"/>
    <w:p>
      <w:pPr>
        <w:pStyle w:val="berschrift1"/>
      </w:pPr>
      <w:r>
        <w:t xml:space="preserve">Funding</w:t>
      </w:r>
    </w:p>
    <w:p>
      <w:pPr>
        <w:pStyle w:val="FirstParagraph"/>
      </w:pPr>
      <w:r>
        <w:t xml:space="preserve">An unnumbered section, e.g. </w:t>
      </w:r>
      <w:r>
        <w:rPr>
          <w:rStyle w:val="VerbatimChar"/>
        </w:rPr>
        <w:t xml:space="preserve">\section*{Funding}</w:t>
      </w:r>
      <w:r>
        <w:t xml:space="preserve">, may be used for grant details, etc. if required and included</w:t>
      </w:r>
      <w:r>
        <w:t xml:space="preserve"> </w:t>
      </w:r>
      <w:r>
        <w:rPr>
          <w:iCs/>
          <w:i/>
        </w:rPr>
        <w:t xml:space="preserve">in the non-anonymous version</w:t>
      </w:r>
      <w:r>
        <w:t xml:space="preserve"> </w:t>
      </w:r>
      <w:r>
        <w:t xml:space="preserve">before any Notes or References.</w:t>
      </w:r>
    </w:p>
    <w:bookmarkEnd w:id="41"/>
    <w:bookmarkStart w:id="42" w:name="notes-on-contributors"/>
    <w:p>
      <w:pPr>
        <w:pStyle w:val="berschrift1"/>
      </w:pPr>
      <w:r>
        <w:t xml:space="preserve">Notes on contributor(s)</w:t>
      </w:r>
    </w:p>
    <w:p>
      <w:pPr>
        <w:pStyle w:val="FirstParagraph"/>
      </w:pPr>
      <w:r>
        <w:t xml:space="preserve">An unnumbered section, e.g. </w:t>
      </w:r>
      <w:r>
        <w:rPr>
          <w:rStyle w:val="VerbatimChar"/>
        </w:rPr>
        <w:t xml:space="preserve">\section*{Notes on contributors}</w:t>
      </w:r>
      <w:r>
        <w:t xml:space="preserve">, may be included</w:t>
      </w:r>
      <w:r>
        <w:t xml:space="preserve"> </w:t>
      </w:r>
      <w:r>
        <w:rPr>
          <w:iCs/>
          <w:i/>
        </w:rPr>
        <w:t xml:space="preserve">in the non-anonymous version</w:t>
      </w:r>
      <w:r>
        <w:t xml:space="preserve"> </w:t>
      </w:r>
      <w:r>
        <w:t xml:space="preserve">if required. A photograph may be added if requested.</w:t>
      </w:r>
    </w:p>
    <w:bookmarkEnd w:id="42"/>
    <w:bookmarkStart w:id="43" w:name="nomenclaturenotation"/>
    <w:p>
      <w:pPr>
        <w:pStyle w:val="berschrift1"/>
      </w:pPr>
      <w:r>
        <w:t xml:space="preserve">Nomenclature/Notation</w:t>
      </w:r>
    </w:p>
    <w:p>
      <w:pPr>
        <w:pStyle w:val="FirstParagraph"/>
      </w:pPr>
      <w:r>
        <w:t xml:space="preserve">An unnumbered section, e.g. </w:t>
      </w:r>
      <w:r>
        <w:rPr>
          <w:rStyle w:val="VerbatimChar"/>
        </w:rPr>
        <w:t xml:space="preserve">\section*{Nomenclature}</w:t>
      </w:r>
      <w:r>
        <w:t xml:space="preserve"> </w:t>
      </w:r>
      <w:r>
        <w:t xml:space="preserve">(or</w:t>
      </w:r>
      <w:r>
        <w:t xml:space="preserve"> </w:t>
      </w:r>
      <w:r>
        <w:rPr>
          <w:rStyle w:val="VerbatimChar"/>
        </w:rPr>
        <w:t xml:space="preserve">\section*{Notation}</w:t>
      </w:r>
      <w:r>
        <w:t xml:space="preserve">), may be included if required, before any Notes or References.</w:t>
      </w:r>
    </w:p>
    <w:bookmarkEnd w:id="43"/>
    <w:bookmarkStart w:id="44" w:name="notes"/>
    <w:p>
      <w:pPr>
        <w:pStyle w:val="berschrift1"/>
      </w:pPr>
      <w:r>
        <w:t xml:space="preserve">Notes</w:t>
      </w:r>
    </w:p>
    <w:p>
      <w:pPr>
        <w:pStyle w:val="FirstParagraph"/>
      </w:pPr>
      <w:r>
        <w:t xml:space="preserve">An unnumbered</w:t>
      </w:r>
      <w:r>
        <w:t xml:space="preserve"> </w:t>
      </w:r>
      <w:r>
        <w:rPr>
          <w:rStyle w:val="VerbatimChar"/>
        </w:rPr>
        <w:t xml:space="preserve">Notes</w:t>
      </w:r>
      <w:r>
        <w:t xml:space="preserve"> </w:t>
      </w:r>
      <w:r>
        <w:t xml:space="preserve">section may be included before the References (if using the</w:t>
      </w:r>
      <w:r>
        <w:t xml:space="preserve"> </w:t>
      </w:r>
      <w:r>
        <w:rPr>
          <w:rStyle w:val="VerbatimChar"/>
        </w:rPr>
        <w:t xml:space="preserve">endnotes</w:t>
      </w:r>
      <w:r>
        <w:t xml:space="preserve"> </w:t>
      </w:r>
      <w:r>
        <w:t xml:space="preserve">package, use the command</w:t>
      </w:r>
      <w:r>
        <w:t xml:space="preserve"> </w:t>
      </w:r>
      <w:r>
        <w:rPr>
          <w:rStyle w:val="VerbatimChar"/>
        </w:rPr>
        <w:t xml:space="preserve">\theendnotes</w:t>
      </w:r>
      <w:r>
        <w:t xml:space="preserve"> </w:t>
      </w:r>
      <w:r>
        <w:t xml:space="preserve">where the notes are to appear, instead of creating a</w:t>
      </w:r>
      <w:r>
        <w:t xml:space="preserve"> </w:t>
      </w:r>
      <w:r>
        <w:rPr>
          <w:rStyle w:val="VerbatimChar"/>
        </w:rPr>
        <w:t xml:space="preserve">\section*</w:t>
      </w:r>
      <w:r>
        <w:t xml:space="preserve">).</w:t>
      </w:r>
    </w:p>
    <w:bookmarkEnd w:id="44"/>
    <w:bookmarkStart w:id="50" w:name="references"/>
    <w:p>
      <w:pPr>
        <w:pStyle w:val="berschrift1"/>
      </w:pPr>
      <w:r>
        <w:rPr>
          <w:rStyle w:val="SectionNumber"/>
        </w:rPr>
        <w:t xml:space="preserve">11</w:t>
      </w:r>
      <w:r>
        <w:tab/>
      </w:r>
      <w:r>
        <w:t xml:space="preserve">References</w:t>
      </w:r>
    </w:p>
    <w:bookmarkStart w:id="45" w:name="references-cited-in-the-text"/>
    <w:p>
      <w:pPr>
        <w:pStyle w:val="berschrift2"/>
      </w:pPr>
      <w:r>
        <w:rPr>
          <w:rStyle w:val="SectionNumber"/>
        </w:rPr>
        <w:t xml:space="preserve">11.1</w:t>
      </w:r>
      <w:r>
        <w:tab/>
      </w:r>
      <w:r>
        <w:t xml:space="preserve">References cited in the text</w:t>
      </w:r>
    </w:p>
    <w:bookmarkEnd w:id="45"/>
    <w:bookmarkStart w:id="49" w:name="the-list-of-references"/>
    <w:p>
      <w:pPr>
        <w:pStyle w:val="berschrift2"/>
      </w:pPr>
      <w:r>
        <w:rPr>
          <w:rStyle w:val="SectionNumber"/>
        </w:rPr>
        <w:t xml:space="preserve">11.2</w:t>
      </w:r>
      <w:r>
        <w:tab/>
      </w:r>
      <w:r>
        <w:t xml:space="preserve">The list of references</w:t>
      </w:r>
    </w:p>
    <w:p>
      <w:pPr>
        <w:pStyle w:val="FirstParagraph"/>
      </w:pPr>
      <w:r>
        <w:t xml:space="preserve">References should be listed at the end of the main text in alphabetical order by authors’ surnames, then chronologically (earliest first). If references have the same author(s), editor(s), etc., arrange by year of publication, with undated works at the end.</w:t>
      </w:r>
      <w:r>
        <w:t xml:space="preserve"> </w:t>
      </w:r>
      <w:r>
        <w:t xml:space="preserve">A single-author entry precedes a multi-author entry that begins with the same name.</w:t>
      </w:r>
      <w:r>
        <w:t xml:space="preserve"> </w:t>
      </w:r>
      <w:r>
        <w:t xml:space="preserve">If the reference list contains two or more items by the same author(s) in the same year, add a, b, etc. and list them alphabetically by title.</w:t>
      </w:r>
      <w:r>
        <w:t xml:space="preserve"> </w:t>
      </w:r>
      <w:r>
        <w:t xml:space="preserve">Successive entries by two or more authors when only the first author is the same are alphabetized by co-authors’ surnames.</w:t>
      </w:r>
      <w:r>
        <w:t xml:space="preserve"> </w:t>
      </w:r>
      <w:r>
        <w:t xml:space="preserve">If a reference has more than ten named authors, list only the first seven, followed by</w:t>
      </w:r>
      <w:r>
        <w:t xml:space="preserve"> </w:t>
      </w:r>
      <w:r>
        <w:t xml:space="preserve">‘</w:t>
      </w:r>
      <w:r>
        <w:t xml:space="preserve">et al.</w:t>
      </w:r>
      <w:r>
        <w:t xml:space="preserve">’</w:t>
      </w:r>
      <w:r>
        <w:t xml:space="preserve"> </w:t>
      </w:r>
      <w:r>
        <w:t xml:space="preserve">If a reference has no author or editor, order by title; if a date of publication is impossible to find, use `n.d.’ in its place.</w:t>
      </w:r>
    </w:p>
    <w:p>
      <w:pPr>
        <w:pStyle w:val="Textkrper"/>
      </w:pPr>
      <w:r>
        <w:t xml:space="preserve">The following list shows some sample references prepared in the Taylor &amp; Francis Chicago author-date style.</w:t>
      </w:r>
    </w:p>
    <w:p>
      <w:pPr>
        <w:pStyle w:val="Textkrper"/>
      </w:pPr>
      <w:r>
        <w:t xml:space="preserve">(Adelman, 2009; Albiston, 2005)</w:t>
      </w:r>
    </w:p>
    <w:p>
      <w:pPr>
        <w:pStyle w:val="h1-pagebreak"/>
      </w:pPr>
      <w:r>
        <w:t xml:space="preserve">Appendix</w:t>
      </w:r>
    </w:p>
    <w:p>
      <w:pPr>
        <w:pStyle w:val="Textkrper"/>
      </w:pPr>
      <w:r>
        <w:t xml:space="preserve">Any appendices should be placed after the list of references, beginning with the command</w:t>
      </w:r>
      <w:r>
        <w:t xml:space="preserve"> </w:t>
      </w:r>
      <w:r>
        <w:t xml:space="preserve"> </w:t>
      </w:r>
      <w:r>
        <w:t xml:space="preserve">followed by the command</w:t>
      </w:r>
      <w:r>
        <w:t xml:space="preserve"> </w:t>
      </w:r>
      <w:r>
        <w:t xml:space="preserve"> </w:t>
      </w:r>
      <w:r>
        <w:t xml:space="preserve">for each appendix title, e.g.</w:t>
      </w:r>
    </w:p>
    <w:p>
      <w:pPr>
        <w:pStyle w:val="Textkrper"/>
      </w:pPr>
      <w:r>
        <w:t xml:space="preserve">produces:</w:t>
      </w:r>
    </w:p>
    <w:p>
      <w:pPr>
        <w:pStyle w:val="Textkrper"/>
      </w:pPr>
    </w:p>
    <w:p>
      <w:pPr>
        <w:pStyle w:val="Textkrper"/>
      </w:pPr>
    </w:p>
    <w:p>
      <w:pPr>
        <w:pStyle w:val="Textkrper"/>
      </w:pPr>
      <w:r>
        <w:t xml:space="preserve">Subsections, equations, figures, tables, etc. within appendices will then be automatically numbered as appropriate. Some theorem-like environments may need to have their counters reset manually (e.g. if they are not numbered within sections in the main text). You can achieve this by using</w:t>
      </w:r>
      <w:r>
        <w:t xml:space="preserve"> </w:t>
      </w:r>
      <w:r>
        <w:t xml:space="preserve"> </w:t>
      </w:r>
      <w:r>
        <w:t xml:space="preserve">(for example) just after the</w:t>
      </w:r>
      <w:r>
        <w:t xml:space="preserve"> </w:t>
      </w:r>
      <w:r>
        <w:t xml:space="preserve"> </w:t>
      </w:r>
      <w:r>
        <w:t xml:space="preserve">command.</w:t>
      </w:r>
    </w:p>
    <w:p>
      <w:pPr>
        <w:pStyle w:val="Textkrper"/>
      </w:pPr>
      <w:r>
        <w:t xml:space="preserve">Please note that if the</w:t>
      </w:r>
      <w:r>
        <w:t xml:space="preserve"> </w:t>
      </w:r>
      <w:r>
        <w:t xml:space="preserve"> </w:t>
      </w:r>
      <w:r>
        <w:t xml:space="preserve">package is used on a document containing appendices, the</w:t>
      </w:r>
      <w:r>
        <w:t xml:space="preserve"> </w:t>
      </w:r>
      <w:r>
        <w:t xml:space="preserve"> </w:t>
      </w:r>
      <w:r>
        <w:t xml:space="preserve">command must be included immediately before the</w:t>
      </w:r>
      <w:r>
        <w:t xml:space="preserve"> </w:t>
      </w:r>
      <w:r>
        <w:t xml:space="preserve"> </w:t>
      </w:r>
      <w:r>
        <w:t xml:space="preserve">command in order to ensure that the floats in the main body of the text are numbered as such.</w:t>
      </w:r>
    </w:p>
    <w:p>
      <w:pPr>
        <w:pStyle w:val="Textkrper"/>
      </w:pPr>
      <w:r>
        <w:t xml:space="preserve">%</w:t>
      </w:r>
      <w:r>
        <w:t xml:space="preserve">%%% See above for an explanation of why this command might be needed.</w:t>
      </w:r>
    </w:p>
    <w:p>
      <w:pPr>
        <w:pStyle w:val="Textkrper"/>
      </w:pPr>
      <w:r>
        <w:t xml:space="preserve">Authors may occasionally encounter problems with the preparation of a manuscript using</w:t>
      </w:r>
      <w:r>
        <w:t xml:space="preserve"> </w:t>
      </w:r>
      <w:r>
        <w:t xml:space="preserve">. The appropriate action to take will depend on the nature of the problem:</w:t>
      </w:r>
    </w:p>
    <w:p>
      <w:pPr>
        <w:pStyle w:val="Textkrper"/>
      </w:pPr>
      <w:r>
        <w:t xml:space="preserve">This article template and the</w:t>
      </w:r>
      <w:r>
        <w:t xml:space="preserve"> </w:t>
      </w:r>
      <w:r>
        <w:t xml:space="preserve"> </w:t>
      </w:r>
      <w:r>
        <w:t xml:space="preserve">class file may be obtained via the `Instructions for Authors’ pages of selected Taylor &amp; Francis journals.</w:t>
      </w:r>
    </w:p>
    <w:p>
      <w:pPr>
        <w:pStyle w:val="Textkrper"/>
      </w:pPr>
      <w:r>
        <w:t xml:space="preserve">Please note that the class file calls up the open-source</w:t>
      </w:r>
      <w:r>
        <w:t xml:space="preserve"> </w:t>
      </w:r>
      <w:r>
        <w:t xml:space="preserve"> packages booktabs.sty, epsfig.sty and rotating.sty, which will, for convenience, unpack with the downloaded template and class file. The template calls for natbib.sty and subfigure.sty, which are also supplied for convenience.</w:t>
      </w:r>
    </w:p>
    <w:p>
      <w:pPr>
        <w:pStyle w:val="Textkrper"/>
      </w:pPr>
      <w:r>
        <w:t xml:space="preserve">This article template, the</w:t>
      </w:r>
      <w:r>
        <w:t xml:space="preserve"> </w:t>
      </w:r>
      <w:r>
        <w:t xml:space="preserve"> </w:t>
      </w:r>
      <w:r>
        <w:t xml:space="preserve">class file and the associated open-source</w:t>
      </w:r>
      <w:r>
        <w:t xml:space="preserve"> </w:t>
      </w:r>
      <w:r>
        <w:t xml:space="preserve"> packages are also available via e-mail. Requests should be addressed to</w:t>
      </w:r>
      <w:r>
        <w:t xml:space="preserve"> </w:t>
      </w:r>
      <w:r>
        <w:t xml:space="preserve">, clearly stating for which journal you require the template and class file.</w:t>
      </w:r>
    </w:p>
    <w:bookmarkStart w:id="48" w:name="refs"/>
    <w:bookmarkStart w:id="46" w:name="ref-Ade09"/>
    <w:p>
      <w:pPr>
        <w:pStyle w:val="Literaturverzeichnis"/>
      </w:pPr>
      <w:r>
        <w:t xml:space="preserve">Adelman, R. (2009).</w:t>
      </w:r>
      <w:r>
        <w:t xml:space="preserve"> </w:t>
      </w:r>
      <w:r>
        <w:t xml:space="preserve">‘Such stuff as dreams are made on’</w:t>
      </w:r>
      <w:r>
        <w:t xml:space="preserve">:</w:t>
      </w:r>
      <w:r>
        <w:t xml:space="preserve"> </w:t>
      </w:r>
      <w:r>
        <w:t xml:space="preserve">G</w:t>
      </w:r>
      <w:r>
        <w:t xml:space="preserve">od’s</w:t>
      </w:r>
      <w:r>
        <w:t xml:space="preserve"> </w:t>
      </w:r>
      <w:r>
        <w:t xml:space="preserve">F</w:t>
      </w:r>
      <w:r>
        <w:t xml:space="preserve">ootstool in the</w:t>
      </w:r>
      <w:r>
        <w:t xml:space="preserve"> </w:t>
      </w:r>
      <w:r>
        <w:t xml:space="preserve">A</w:t>
      </w:r>
      <w:r>
        <w:t xml:space="preserve">ramaic</w:t>
      </w:r>
      <w:r>
        <w:t xml:space="preserve"> </w:t>
      </w:r>
      <w:r>
        <w:t xml:space="preserve">T</w:t>
      </w:r>
      <w:r>
        <w:t xml:space="preserve">argumim and</w:t>
      </w:r>
      <w:r>
        <w:t xml:space="preserve"> </w:t>
      </w:r>
      <w:r>
        <w:t xml:space="preserve">M</w:t>
      </w:r>
      <w:r>
        <w:t xml:space="preserve">idrashic tradition. New Orleans, Louisiana: Paper presented at the annual meeting for the Society of Biblical Literature.</w:t>
      </w:r>
    </w:p>
    <w:bookmarkEnd w:id="46"/>
    <w:bookmarkStart w:id="47" w:name="ref-Alb05"/>
    <w:p>
      <w:pPr>
        <w:pStyle w:val="Literaturverzeichnis"/>
      </w:pPr>
      <w:r>
        <w:t xml:space="preserve">Albiston, C. R. (2005). Bargaining in the shadow of social institutions: Competing discourses and social change in the workplace mobilization of civil rights.</w:t>
      </w:r>
      <w:r>
        <w:t xml:space="preserve"> </w:t>
      </w:r>
      <w:r>
        <w:rPr>
          <w:iCs/>
          <w:i/>
        </w:rPr>
        <w:t xml:space="preserve">Law and Society Review</w:t>
      </w:r>
      <w:r>
        <w:t xml:space="preserve">,</w:t>
      </w:r>
      <w:r>
        <w:t xml:space="preserve"> </w:t>
      </w:r>
      <w:r>
        <w:rPr>
          <w:iCs/>
          <w:i/>
        </w:rPr>
        <w:t xml:space="preserve">39</w:t>
      </w:r>
      <w:r>
        <w:t xml:space="preserve">(1), 11–47.</w:t>
      </w:r>
    </w:p>
    <w:bookmarkEnd w:id="47"/>
    <w:bookmarkEnd w:id="48"/>
    <w:bookmarkEnd w:id="49"/>
    <w:bookmarkEnd w:id="5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EXPLORING EQUIVALENCE TESTING WITH THE TOSTER R PACKAGE
</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EXPLORING EQUIVALENCE TESTING WITH THE TOSTER R PACKAGE
</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4" Target="https://cran.r-project.org/package=concurve"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package=concur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Equivalence Testing with the TOSTER R package</dc:title>
  <dc:creator/>
  <cp:keywords/>
  <dcterms:created xsi:type="dcterms:W3CDTF">2022-02-12T21:54:20Z</dcterms:created>
  <dcterms:modified xsi:type="dcterms:W3CDTF">2022-02-12T21:54:20Z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appendix.tex</vt:lpwstr>
  </property>
  <property fmtid="{D5CDD505-2E9C-101B-9397-08002B2CF9AE}" pid="4" name="bibliography">
    <vt:lpwstr>interactcadsample.bib</vt:lpwstr>
  </property>
  <property fmtid="{D5CDD505-2E9C-101B-9397-08002B2CF9AE}" pid="5" name="csl">
    <vt:lpwstr>C:\Users\arcal\OneDrive\Documents\R\win-library\4.1\papaja\rmd\apa6.csl</vt:lpwstr>
  </property>
  <property fmtid="{D5CDD505-2E9C-101B-9397-08002B2CF9AE}" pid="6" name="header-includes">
    <vt:lpwstr/>
  </property>
  <property fmtid="{D5CDD505-2E9C-101B-9397-08002B2CF9AE}" pid="7" name="output">
    <vt:lpwstr/>
  </property>
  <property fmtid="{D5CDD505-2E9C-101B-9397-08002B2CF9AE}" pid="8" name="type">
    <vt:lpwstr>ARTICLE</vt:lpwstr>
  </property>
</Properties>
</file>