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36.png" ContentType="image/png"/>
  <Override PartName="/word/media/rId40.png" ContentType="image/png"/>
  <Override PartName="/word/media/rId44.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 R. Caldwell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This is an article detailing the</w:t>
      </w:r>
      <w:r>
        <w:t xml:space="preserve"> </w:t>
      </w:r>
      <w:r>
        <w:t xml:space="preserve">“</w:t>
      </w:r>
      <w:r>
        <w:t xml:space="preserve">avocado TOST</w:t>
      </w:r>
      <w:r>
        <w:t xml:space="preserve">”</w:t>
      </w:r>
      <w:r>
        <w:t xml:space="preserve"> </w:t>
      </w:r>
      <w:r>
        <w:t xml:space="preserve">update to the TOSTER R package.</w:t>
      </w:r>
    </w:p>
    <w:p>
      <w:pPr>
        <w:pStyle w:val="Textkrper"/>
      </w:pPr>
      <w:r>
        <w:rPr>
          <w:iCs/>
          <w:i/>
        </w:rPr>
        <w:t xml:space="preserve">Keywords:</w:t>
      </w:r>
      <w:r>
        <w:t xml:space="preserve"> </w:t>
      </w:r>
      <w:r>
        <w:t xml:space="preserve">statistics, bootstrapping, minimal effects test, NHST, TOST</w:t>
      </w:r>
    </w:p>
    <w:p>
      <w:pPr>
        <w:pStyle w:val="h1-pagebreak"/>
      </w:pPr>
      <w:r>
        <w:t xml:space="preserve">Exploring Equivalence Testing with the Updated TOSTER R Package</w:t>
      </w:r>
    </w:p>
    <w:bookmarkStart w:id="20" w:name="introduction"/>
    <w:p>
      <w:pPr>
        <w:pStyle w:val="berschrift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&amp; Bland, 1995)</w:t>
      </w:r>
      <w:r>
        <w:t xml:space="preserve">. In many of these cases, the data may corroborate the researchers claim but the interpretation of a null hypothesis significance test (NHST), wherein the null hypothesis is</w:t>
      </w:r>
      <w:r>
        <w:t xml:space="preserve"> </w:t>
      </w:r>
      <w:r>
        <w:t xml:space="preserve">“</w:t>
      </w:r>
      <w:r>
        <w:t xml:space="preserve">no effect</w:t>
      </w:r>
      <w:r>
        <w:t xml:space="preserve">”</w:t>
      </w:r>
      <w:r>
        <w:t xml:space="preserve">, is nonetheless incorrect. In order to statistically test for whether there is</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researchers could explore using equivalence testing. A very simple equivalence testing approach is the use of</w:t>
      </w:r>
      <w:r>
        <w:t xml:space="preserve"> </w:t>
      </w:r>
      <w:r>
        <w:t xml:space="preserve">“</w:t>
      </w:r>
      <w:r>
        <w:t xml:space="preserve">two one-sided tests</w:t>
      </w:r>
      <w:r>
        <w:t xml:space="preserve">”</w:t>
      </w:r>
      <w:r>
        <w:t xml:space="preserve"> </w:t>
      </w:r>
      <w:r>
        <w:t xml:space="preserve">(TOST)</w:t>
      </w:r>
      <w:r>
        <w:t xml:space="preserve"> </w:t>
      </w:r>
      <w:r>
        <w:t xml:space="preserve">(Schuirmann, 1987)</w:t>
      </w:r>
      <w:r>
        <w:t xml:space="preserve">. In TOST procedures, 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 If the TOST is below a prespecified alpha level, then the effect can be considered close enough to zero to be practically equivalent</w:t>
      </w:r>
      <w:r>
        <w:t xml:space="preserve"> </w:t>
      </w:r>
      <w:r>
        <w:t xml:space="preserve">(Lakens, 2017)</w:t>
      </w:r>
      <w:r>
        <w:t xml:space="preserve">.</w:t>
      </w:r>
    </w:p>
    <w:p>
      <w:pPr>
        <w:pStyle w:val="Textkrper"/>
      </w:pPr>
      <w:r>
        <w:t xml:space="preserve">Both the complaints about erroneous conclusions regarding equivalence</w:t>
      </w:r>
      <w:r>
        <w:t xml:space="preserve"> </w:t>
      </w:r>
      <w:r>
        <w:t xml:space="preserve">(Altman &amp; Bland, 1995)</w:t>
      </w:r>
      <w:r>
        <w:t xml:space="preserve"> </w:t>
      </w:r>
      <w:r>
        <w:t xml:space="preserve">and proposed statistical solutions</w:t>
      </w:r>
      <w:r>
        <w:t xml:space="preserve"> </w:t>
      </w:r>
      <w:r>
        <w:t xml:space="preserve">(Schuirmann, 1987)</w:t>
      </w:r>
      <w:r>
        <w:t xml:space="preserve"> </w:t>
      </w:r>
      <w:r>
        <w:t xml:space="preserve">have existed for decades now. Yet the problem appears to persist in many applied disciplines. I estimate that the cause of this continued dissonance is due to a lack of education on equivalence testing and struggle for many applied researchers to implement equivalence testing. In my experience, most researchers have received some degree of statistical training in their doctoral or master’s studies, but it is rare that any have idea of equivalence testing. It may also be difficult to implement equivalence testing for many researchers. This may be caused by most statistical software defaulting to a null hypothesis of zero, or even completely lacking an ability to change the null hypothesis.</w:t>
      </w:r>
    </w:p>
    <w:p>
      <w:pPr>
        <w:pStyle w:val="Textkrper"/>
      </w:pPr>
      <w:r>
        <w:t xml:space="preserve">The TOSTER R package was originally developed in 2018 (CITE Lakens) to introduce experimental psychologists to the concept of equivalence testing and provide an easy-to-use implementation in R. Since then I have made a significant update to the package in order to improve the user interface and expand the tools available within the package.</w:t>
      </w:r>
      <w:r>
        <w:t xml:space="preserve"> </w:t>
      </w:r>
      <w:r>
        <w:t xml:space="preserve">TOSTER (Avocado TOST edition &gt;v0.4.0) is a good tool to introduce the idea of equivalence testing to the average researcher who is already familiar with equivalence testing.</w:t>
      </w:r>
    </w:p>
    <w:p>
      <w:pPr>
        <w:pStyle w:val="Textkrper"/>
      </w:pPr>
      <w:r>
        <w:t xml:space="preserve">One possible source of this misinterpretation may be due to the fact that many researchers are</w:t>
      </w:r>
    </w:p>
    <w:p>
      <w:pPr>
        <w:pStyle w:val="Textkrper"/>
      </w:pPr>
      <w:r>
        <w:t xml:space="preserve">An experienced R programmer may have no problem performing equivalence testing within R but beginners may struggle with both writing the code and interpreting the output.</w:t>
      </w:r>
    </w:p>
    <w:bookmarkEnd w:id="20"/>
    <w:bookmarkStart w:id="49" w:name="basics-of-equivalence-testing"/>
    <w:p>
      <w:pPr>
        <w:pStyle w:val="berschrift1"/>
      </w:pPr>
      <w:r>
        <w:t xml:space="preserve">Basics of Equivalence Testing</w:t>
      </w:r>
    </w:p>
    <w:bookmarkStart w:id="24" w:name="the-toster-r-package"/>
    <w:p>
      <w:pPr>
        <w:pStyle w:val="berschrift2"/>
      </w:pPr>
      <w:r>
        <w:t xml:space="preserve">The TOSTER R Package</w:t>
      </w:r>
    </w:p>
    <w:p>
      <w:pPr>
        <w:pStyle w:val="FirstParagraph"/>
      </w:pPr>
      <w:r>
        <w:t xml:space="preserve">In an effort to make</w:t>
      </w:r>
      <w:r>
        <w:t xml:space="preserve"> </w:t>
      </w:r>
      <w:r>
        <w:rPr>
          <w:rStyle w:val="VerbatimChar"/>
        </w:rPr>
        <w:t xml:space="preserve">TOSTER</w:t>
      </w:r>
      <w:r>
        <w:t xml:space="preserve"> </w:t>
      </w:r>
      <w:r>
        <w:t xml:space="preserve">more informative and easier to use, a new function</w:t>
      </w:r>
      <w:r>
        <w:t xml:space="preserve"> </w:t>
      </w:r>
      <w:r>
        <w:rPr>
          <w:rStyle w:val="VerbatimChar"/>
        </w:rPr>
        <w:t xml:space="preserve">t_TOST</w:t>
      </w:r>
      <w:r>
        <w:t xml:space="preserve"> </w:t>
      </w:r>
      <w:r>
        <w:t xml:space="preserve">was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output from this function is verbose, and should make the decisions derived from the function more informative and user-friendly.</w:t>
      </w:r>
    </w:p>
    <w:p>
      <w:pPr>
        <w:pStyle w:val="Textkrper"/>
      </w:pPr>
      <w:r>
        <w:t xml:space="preserve">Also,</w:t>
      </w:r>
      <w:r>
        <w:t xml:space="preserve"> </w:t>
      </w:r>
      <w:r>
        <w:rPr>
          <w:rStyle w:val="VerbatimChar"/>
        </w:rPr>
        <w:t xml:space="preserve">t_TOST</w:t>
      </w:r>
      <w:r>
        <w:t xml:space="preserve"> </w:t>
      </w:r>
      <w:r>
        <w:t xml:space="preserve">is not limited to equivalence tests. Minimal effects testing (MET) is possible. MET is useful for situations where the hypothesis is about a minimal effect and the null hypothesis</w:t>
      </w:r>
      <w:r>
        <w:t xml:space="preserve"> </w:t>
      </w:r>
      <w:r>
        <w:rPr>
          <w:iCs/>
          <w:i/>
        </w:rPr>
        <w:t xml:space="preserve">is</w:t>
      </w:r>
      <w:r>
        <w:t xml:space="preserve"> </w:t>
      </w:r>
      <w:r>
        <w:t xml:space="preserve">equivalence.</w:t>
      </w:r>
    </w:p>
    <w:p>
      <w:pPr>
        <w:pStyle w:val="CaptionedFigure"/>
      </w:pPr>
      <w:r>
        <w:drawing>
          <wp:inline>
            <wp:extent cx="5969000" cy="4228041"/>
            <wp:effectExtent b="0" l="0" r="0" t="0"/>
            <wp:docPr descr="Figure 1.  Type of Hypothesis" title="" id="22" name="Picture"/>
            <a:graphic>
              <a:graphicData uri="http://schemas.openxmlformats.org/drawingml/2006/picture">
                <pic:pic>
                  <pic:nvPicPr>
                    <pic:cNvPr descr="Avocado_Update_files/figure-docx/hypplot-1.png" id="23" name="Picture"/>
                    <pic:cNvPicPr>
                      <a:picLocks noChangeArrowheads="1" noChangeAspect="1"/>
                    </pic:cNvPicPr>
                  </pic:nvPicPr>
                  <pic:blipFill>
                    <a:blip r:embed="rId21"/>
                    <a:stretch>
                      <a:fillRect/>
                    </a:stretch>
                  </pic:blipFill>
                  <pic:spPr bwMode="auto">
                    <a:xfrm>
                      <a:off x="0" y="0"/>
                      <a:ext cx="5969000" cy="422804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Type of Hypothesis</w:t>
      </w:r>
    </w:p>
    <w:p>
      <w:r>
        <w:br w:type="page"/>
      </w:r>
    </w:p>
    <w:bookmarkEnd w:id="24"/>
    <w:bookmarkStart w:id="48" w:name="vignettes-with-toster"/>
    <w:p>
      <w:pPr>
        <w:pStyle w:val="berschrift2"/>
      </w:pPr>
      <w:r>
        <w:t xml:space="preserve">Vignettes with TOSTER</w:t>
      </w:r>
    </w:p>
    <w:p>
      <w:pPr>
        <w:pStyle w:val="FirstParagraph"/>
      </w:pPr>
      <w:r>
        <w:t xml:space="preserve">In the general introduction to this package we detailed how to look at</w:t>
      </w:r>
      <w:r>
        <w:t xml:space="preserve"> </w:t>
      </w:r>
      <w:r>
        <w:rPr>
          <w:iCs/>
          <w:i/>
        </w:rPr>
        <w:t xml:space="preserve">old</w:t>
      </w:r>
      <w:r>
        <w:t xml:space="preserve"> </w:t>
      </w:r>
      <w:r>
        <w:t xml:space="preserve">results and how to apply TOST to interpreting those results. However, in many cases, users may have new data that needs to be analyzed. Therefore,</w:t>
      </w:r>
      <w:r>
        <w:t xml:space="preserve"> </w:t>
      </w:r>
      <w:r>
        <w:rPr>
          <w:rStyle w:val="VerbatimChar"/>
        </w:rPr>
        <w:t xml:space="preserve">t_TOST</w:t>
      </w:r>
      <w:r>
        <w:t xml:space="preserve"> </w:t>
      </w:r>
      <w:r>
        <w:t xml:space="preserve">can be applied to new data. This vignette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p>
      <w:r>
        <w:br w:type="page"/>
      </w:r>
    </w:p>
    <w:bookmarkStart w:id="35" w:name="independent-groups"/>
    <w:p>
      <w:pPr>
        <w:pStyle w:val="berschrift3"/>
      </w:pP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p>
    <w:p>
      <w:pPr>
        <w:pStyle w:val="SourceCode"/>
      </w:pPr>
      <w:r>
        <w:rPr>
          <w:rStyle w:val="VerbatimChar"/>
        </w:rPr>
        <w:t xml:space="preserve">##   extra group ID</w:t>
      </w:r>
      <w:r>
        <w:br/>
      </w:r>
      <w:r>
        <w:rPr>
          <w:rStyle w:val="VerbatimChar"/>
        </w:rPr>
        <w:t xml:space="preserve">## 1   0.7     1  1</w:t>
      </w:r>
      <w:r>
        <w:br/>
      </w:r>
      <w:r>
        <w:rPr>
          <w:rStyle w:val="VerbatimChar"/>
        </w:rPr>
        <w:t xml:space="preserve">## 2  -1.6     1  2</w:t>
      </w:r>
      <w:r>
        <w:br/>
      </w:r>
      <w:r>
        <w:rPr>
          <w:rStyle w:val="VerbatimChar"/>
        </w:rPr>
        <w:t xml:space="preserve">## 3  -0.2     1  3</w:t>
      </w:r>
      <w:r>
        <w:br/>
      </w:r>
      <w:r>
        <w:rPr>
          <w:rStyle w:val="VerbatimChar"/>
        </w:rPr>
        <w:t xml:space="preserve">## 4  -1.2     1  4</w:t>
      </w:r>
      <w:r>
        <w:br/>
      </w:r>
      <w:r>
        <w:rPr>
          <w:rStyle w:val="VerbatimChar"/>
        </w:rPr>
        <w:t xml:space="preserve">## 5  -0.1     1  5</w:t>
      </w:r>
      <w:r>
        <w:br/>
      </w:r>
      <w:r>
        <w:rPr>
          <w:rStyle w:val="VerbatimChar"/>
        </w:rPr>
        <w:t xml:space="preserve">## 6   3.4     1  6</w:t>
      </w:r>
    </w:p>
    <w:p>
      <w:pPr>
        <w:pStyle w:val="FirstParagraph"/>
      </w:pPr>
      <w:r>
        <w:t xml:space="preserve">We will assume the data are independent, and that we have equivalence bounds of +/- 0.5.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 eqbound 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The Hedges correction is also automatically calculated, but this can be overridden with the</w:t>
      </w:r>
      <w:r>
        <w:t xml:space="preserve"> </w:t>
      </w:r>
      <w:r>
        <w:rPr>
          <w:rStyle w:val="VerbatimChar"/>
        </w:rPr>
        <w:t xml:space="preserve">bias_correction</w:t>
      </w:r>
      <w:r>
        <w:t xml:space="preserve"> </w:t>
      </w:r>
      <w:r>
        <w:t xml:space="preserve">argument. The</w:t>
      </w:r>
      <w:r>
        <w:t xml:space="preserve"> </w:t>
      </w:r>
      <w:r>
        <w:rPr>
          <w:rStyle w:val="VerbatimChar"/>
        </w:rPr>
        <w:t xml:space="preserve">hypothesis</w:t>
      </w:r>
      <w:r>
        <w:t xml:space="preserve"> </w:t>
      </w:r>
      <w:r>
        <w:t xml:space="preserve">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r>
        <w:br w:type="page"/>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SMD CIs will be biased</w:t>
      </w:r>
      <w:r>
        <w:br/>
      </w:r>
      <w:r>
        <w:rPr>
          <w:rStyle w:val="NormalTok"/>
        </w:rPr>
        <w:t xml:space="preserve">              </w:t>
      </w:r>
      <w:r>
        <w:rPr>
          <w:rStyle w:val="CommentTok"/>
        </w:rPr>
        <w:t xml:space="preserve"># THis was done to make code run faster</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p>
    <w:p>
      <w:r>
        <w:br w:type="page"/>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command. This provides a verbose summary of the results.</w:t>
      </w:r>
    </w:p>
    <w:p>
      <w:pPr>
        <w:pStyle w:val="SourceCode"/>
      </w:pPr>
      <w:r>
        <w:rPr>
          <w:rStyle w:val="FunctionTok"/>
        </w:rPr>
        <w:t xml:space="preserve">print</w:t>
      </w:r>
      <w:r>
        <w:rPr>
          <w:rStyle w:val="NormalTok"/>
        </w:rPr>
        <w:t xml:space="preserve">(res1)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The equivalence test was non-significant, t(17.78) = -1.272, p = 8.9e-01</w:t>
      </w:r>
      <w:r>
        <w:br/>
      </w:r>
      <w:r>
        <w:rPr>
          <w:rStyle w:val="VerbatimChar"/>
        </w:rPr>
        <w:t xml:space="preserve">## The null hypothesis test was non-significant, t(17.78) = -1.861, p = 7.94e-02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-1.861 17.78   0.079</w:t>
      </w:r>
      <w:r>
        <w:br/>
      </w:r>
      <w:r>
        <w:rPr>
          <w:rStyle w:val="VerbatimChar"/>
        </w:rPr>
        <w:t xml:space="preserve">## TOST Lower -1.272 17.78   0.890</w:t>
      </w:r>
      <w:r>
        <w:br/>
      </w:r>
      <w:r>
        <w:rPr>
          <w:rStyle w:val="VerbatimChar"/>
        </w:rPr>
        <w:t xml:space="preserve">## TOST Upper -2.450 17.78   0.012</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-1.5800 0.8491 [-3.0534, -0.1066]         0.9</w:t>
      </w:r>
      <w:r>
        <w:br/>
      </w:r>
      <w:r>
        <w:rPr>
          <w:rStyle w:val="VerbatimChar"/>
        </w:rPr>
        <w:t xml:space="preserve">## Hedges's g(av)  -0.7965 0.5992  [-1.8362, 0.2433]         0.9</w:t>
      </w:r>
      <w:r>
        <w:br/>
      </w:r>
      <w:r>
        <w:rPr>
          <w:rStyle w:val="VerbatimChar"/>
        </w:rPr>
        <w:t xml:space="preserve">## Note: SMD confidence intervals are an approximation. See vignette("SMD_calcs").</w:t>
      </w:r>
    </w:p>
    <w:p>
      <w:r>
        <w:br w:type="page"/>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All of the plots in this package were inspired by the</w:t>
      </w:r>
      <w:r>
        <w:t xml:space="preserve"> </w:t>
      </w:r>
      <w:hyperlink r:id="rId25">
        <w:r>
          <w:rPr>
            <w:rStyle w:val="Hyperlink"/>
          </w:rPr>
          <w:t xml:space="preserve">concurve</w:t>
        </w:r>
      </w:hyperlink>
      <w:r>
        <w:t xml:space="preserve"> </w:t>
      </w:r>
      <w:r>
        <w:t xml:space="preserve">R package. 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p>
      <w:pPr>
        <w:pStyle w:val="FirstParagraph"/>
      </w:pPr>
      <w:r>
        <w:drawing>
          <wp:inline>
            <wp:extent cx="5969000" cy="5969000"/>
            <wp:effectExtent b="0" l="0" r="0" t="0"/>
            <wp:docPr descr="" title="" id="27" name="Picture"/>
            <a:graphic>
              <a:graphicData uri="http://schemas.openxmlformats.org/drawingml/2006/picture">
                <pic:pic>
                  <pic:nvPicPr>
                    <pic:cNvPr descr="Avocado_Update_files/figure-docx/unnamed-chunk-5-1.png" id="28"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Textkrper"/>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969000" cy="5969000"/>
            <wp:effectExtent b="0" l="0" r="0" t="0"/>
            <wp:docPr descr="" title="" id="30" name="Picture"/>
            <a:graphic>
              <a:graphicData uri="http://schemas.openxmlformats.org/drawingml/2006/picture">
                <pic:pic>
                  <pic:nvPicPr>
                    <pic:cNvPr descr="Avocado_Update_files/figure-docx/unnamed-chunk-6-1.png" id="31"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Textkrper"/>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969000" cy="5969000"/>
            <wp:effectExtent b="0" l="0" r="0" t="0"/>
            <wp:docPr descr="" title="" id="33" name="Picture"/>
            <a:graphic>
              <a:graphicData uri="http://schemas.openxmlformats.org/drawingml/2006/picture">
                <pic:pic>
                  <pic:nvPicPr>
                    <pic:cNvPr descr="Avocado_Update_files/figure-docx/unnamed-chunk-7-1.png" id="34"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35"/>
    <w:bookmarkStart w:id="39" w:name="paired-samples"/>
    <w:p>
      <w:pPr>
        <w:pStyle w:val="berschrift3"/>
      </w:pPr>
      <w:r>
        <w:t xml:space="preserve">Paired Samples.</w:t>
      </w:r>
    </w:p>
    <w:p>
      <w:pPr>
        <w:pStyle w:val="FirstParagraph"/>
      </w:pPr>
      <w:r>
        <w:t xml:space="preserve">To perform a paired samples TOST,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 = -2.777, p = 9.89e-01</w:t>
      </w:r>
      <w:r>
        <w:br/>
      </w:r>
      <w:r>
        <w:rPr>
          <w:rStyle w:val="VerbatimChar"/>
        </w:rPr>
        <w:t xml:space="preserve">## The null hypothesis test was significant, t(9) = -4.062, p = 2.83e-03</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0.003</w:t>
      </w:r>
      <w:r>
        <w:br/>
      </w:r>
      <w:r>
        <w:rPr>
          <w:rStyle w:val="VerbatimChar"/>
        </w:rPr>
        <w:t xml:space="preserve">## TOST Lower -2.777  9   0.989</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0.389   [-2.293, -0.867]         0.9</w:t>
      </w:r>
      <w:r>
        <w:br/>
      </w:r>
      <w:r>
        <w:rPr>
          <w:rStyle w:val="VerbatimChar"/>
        </w:rPr>
        <w:t xml:space="preserve">## Hedges's g(z)   -1.174 0.411 [-1.8046, -0.4977]         0.9</w:t>
      </w:r>
      <w:r>
        <w:br/>
      </w:r>
      <w:r>
        <w:rPr>
          <w:rStyle w:val="VerbatimChar"/>
        </w:rPr>
        <w:t xml:space="preserve">## Note: SMD confidence intervals are an approximation. See vignette("SMD_calcs").</w:t>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t(90) = 2.655, p = 9.95e-01</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&lt; 0.001</w:t>
      </w:r>
      <w:r>
        <w:br/>
      </w:r>
      <w:r>
        <w:rPr>
          <w:rStyle w:val="VerbatimChar"/>
        </w:rPr>
        <w:t xml:space="preserve">## TOST Upper  2.655 90   0.995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0.1167 [0.4987, 0.8802]         0.9</w:t>
      </w:r>
      <w:r>
        <w:br/>
      </w:r>
      <w:r>
        <w:rPr>
          <w:rStyle w:val="VerbatimChar"/>
        </w:rPr>
        <w:t xml:space="preserve">## Note: SMD confidence intervals are an approximation. See vignette("SMD_calcs").</w:t>
      </w:r>
    </w:p>
    <w:p>
      <w:pPr>
        <w:pStyle w:val="FirstParagraph"/>
      </w:pPr>
      <w:r>
        <w:t xml:space="preserve">We may want to perform a Minimal Effect Test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minimal effect test was significant, t(90) = 10.642, p = 4.69e-03</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reject null MET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1</w:t>
      </w:r>
      <w:r>
        <w:br/>
      </w:r>
      <w:r>
        <w:rPr>
          <w:rStyle w:val="VerbatimChar"/>
        </w:rPr>
        <w:t xml:space="preserve">## TOST Upper  2.655 90   0.005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0.1020 [0.5217, 0.8606]         0.9</w:t>
      </w:r>
      <w:r>
        <w:br/>
      </w:r>
      <w:r>
        <w:rPr>
          <w:rStyle w:val="VerbatimChar"/>
        </w:rPr>
        <w:t xml:space="preserve">## Note: SMD confidence intervals are an approximation. See vignette("SMD_calcs").</w:t>
      </w:r>
    </w:p>
    <w:p>
      <w:pPr>
        <w:pStyle w:val="FirstParagraph"/>
      </w:pPr>
      <w:r>
        <w:t xml:space="preserve">Again, we can plot the effects from the</w:t>
      </w:r>
      <w:r>
        <w:t xml:space="preserve"> </w:t>
      </w:r>
      <w:r>
        <w:rPr>
          <w:rStyle w:val="VerbatimChar"/>
        </w:rPr>
        <w:t xml:space="preserve">t_TOST</w:t>
      </w:r>
      <w:r>
        <w:t xml:space="preserve"> </w:t>
      </w:r>
      <w:r>
        <w:t xml:space="preserve">result.</w:t>
      </w:r>
    </w:p>
    <w:p>
      <w:pPr>
        <w:pStyle w:val="SourceCode"/>
      </w:pPr>
      <w:r>
        <w:rPr>
          <w:rStyle w:val="FunctionTok"/>
        </w:rPr>
        <w:t xml:space="preserve">plot</w:t>
      </w:r>
      <w:r>
        <w:rPr>
          <w:rStyle w:val="NormalTok"/>
        </w:rPr>
        <w:t xml:space="preserve">(res3a)</w:t>
      </w:r>
    </w:p>
    <w:p>
      <w:pPr>
        <w:pStyle w:val="FirstParagraph"/>
      </w:pPr>
      <w:r>
        <w:drawing>
          <wp:inline>
            <wp:extent cx="5969000" cy="5969000"/>
            <wp:effectExtent b="0" l="0" r="0" t="0"/>
            <wp:docPr descr="" title="" id="37" name="Picture"/>
            <a:graphic>
              <a:graphicData uri="http://schemas.openxmlformats.org/drawingml/2006/picture">
                <pic:pic>
                  <pic:nvPicPr>
                    <pic:cNvPr descr="Avocado_Update_files/figure-docx/unnamed-chunk-11-1.png" id="38"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bookmarkEnd w:id="39"/>
    <w:bookmarkStart w:id="43" w:name="one-sample-t-test"/>
    <w:p>
      <w:pPr>
        <w:pStyle w:val="berschrift3"/>
      </w:pPr>
      <w:r>
        <w:t xml:space="preserve">One Sample t-test.</w:t>
      </w:r>
    </w:p>
    <w:p>
      <w:pPr>
        <w:pStyle w:val="FirstParagraph"/>
      </w:pPr>
      <w:r>
        <w:t xml:space="preserve">In other cases we may just have a one sample test. If that is the case all we have to do is supply the</w:t>
      </w:r>
      <w:r>
        <w:t xml:space="preserve"> </w:t>
      </w:r>
      <w:r>
        <w:rPr>
          <w:rStyle w:val="VerbatimChar"/>
        </w:rPr>
        <w:t xml:space="preserve">x</w:t>
      </w:r>
      <w:r>
        <w:t xml:space="preserve"> </w:t>
      </w:r>
      <w:r>
        <w:t xml:space="preserve">argument for the data. For this test we may hypothesis that the mean of LDHF is not more than 1.5 points greater or less than 7.</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27.942 90 &lt; 0.001</w:t>
      </w:r>
      <w:r>
        <w:br/>
      </w:r>
      <w:r>
        <w:rPr>
          <w:rStyle w:val="VerbatimChar"/>
        </w:rPr>
        <w:t xml:space="preserve">## TOST Lower  7.116 90 &lt; 0.001</w:t>
      </w:r>
      <w:r>
        <w:br/>
      </w:r>
      <w:r>
        <w:rPr>
          <w:rStyle w:val="VerbatimChar"/>
        </w:rPr>
        <w:t xml:space="preserve">## TOST Upper -4.244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7.379 0.2641  [6.9402, 7.818]         0.9</w:t>
      </w:r>
      <w:r>
        <w:br/>
      </w:r>
      <w:r>
        <w:rPr>
          <w:rStyle w:val="VerbatimChar"/>
        </w:rPr>
        <w:t xml:space="preserve">## Hedges's g    2.905 0.2395 [2.4289, 3.3804]         0.9</w:t>
      </w:r>
      <w:r>
        <w:br/>
      </w:r>
      <w:r>
        <w:rPr>
          <w:rStyle w:val="VerbatimChar"/>
        </w:rPr>
        <w:t xml:space="preserve">## Note: SMD confidence intervals are an approximation. See vignette("SMD_calcs").</w:t>
      </w:r>
    </w:p>
    <w:p>
      <w:pPr>
        <w:pStyle w:val="SourceCode"/>
      </w:pPr>
      <w:r>
        <w:rPr>
          <w:rStyle w:val="FunctionTok"/>
        </w:rPr>
        <w:t xml:space="preserve">plot</w:t>
      </w:r>
      <w:r>
        <w:rPr>
          <w:rStyle w:val="NormalTok"/>
        </w:rPr>
        <w:t xml:space="preserve">(res4)</w:t>
      </w:r>
    </w:p>
    <w:p>
      <w:pPr>
        <w:pStyle w:val="FirstParagraph"/>
      </w:pPr>
      <w:r>
        <w:drawing>
          <wp:inline>
            <wp:extent cx="5969000" cy="5969000"/>
            <wp:effectExtent b="0" l="0" r="0" t="0"/>
            <wp:docPr descr="" title="" id="41" name="Picture"/>
            <a:graphic>
              <a:graphicData uri="http://schemas.openxmlformats.org/drawingml/2006/picture">
                <pic:pic>
                  <pic:nvPicPr>
                    <pic:cNvPr descr="Avocado_Update_files/figure-docx/unnamed-chunk-13-1.png" id="4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bookmarkEnd w:id="43"/>
    <w:bookmarkStart w:id="47" w:name="using-summary-statistics"/>
    <w:p>
      <w:pPr>
        <w:pStyle w:val="berschrift3"/>
      </w:pPr>
      <w:r>
        <w:t xml:space="preserve">Using Summary Statistics.</w:t>
      </w:r>
    </w:p>
    <w:p>
      <w:pPr>
        <w:pStyle w:val="FirstParagraph"/>
      </w:pPr>
      <w:r>
        <w:t xml:space="preserve">In some cases you may only have access to the summary statistics. Therefore, we created a function,</w:t>
      </w:r>
      <w:r>
        <w:t xml:space="preserve"> </w:t>
      </w:r>
      <w:r>
        <w:rPr>
          <w:rStyle w:val="VerbatimChar"/>
        </w:rPr>
        <w:t xml:space="preserve">tsum_TOST</w:t>
      </w:r>
      <w:r>
        <w:t xml:space="preserve">,to perform the same tests just based on the summary statistics. 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p>
    <w:p>
      <w:pPr>
        <w:pStyle w:val="FirstParagraph"/>
      </w:pPr>
      <w:r>
        <w:t xml:space="preserve">The results from above can be replicated with the</w:t>
      </w:r>
      <w:r>
        <w:t xml:space="preserve"> </w:t>
      </w:r>
      <w:r>
        <w:rPr>
          <w:rStyle w:val="VerbatimChar"/>
        </w:rPr>
        <w:t xml:space="preserve">tsum_TOST</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FloatTok"/>
        </w:rPr>
        <w:t xml:space="preserve">5.5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FloatTok"/>
        </w:rPr>
        <w:t xml:space="preserve">8.5</w:t>
      </w:r>
      <w:r>
        <w:br/>
      </w:r>
      <w:r>
        <w:rPr>
          <w:rStyle w:val="NormalTok"/>
        </w:rPr>
        <w:t xml:space="preserve">)</w:t>
      </w:r>
      <w:r>
        <w:br/>
      </w:r>
      <w:r>
        <w:br/>
      </w:r>
      <w:r>
        <w:rPr>
          <w:rStyle w:val="NormalTok"/>
        </w:rPr>
        <w:t xml:space="preserve">res_tsum</w:t>
      </w:r>
    </w:p>
    <w:p>
      <w:pPr>
        <w:pStyle w:val="SourceCode"/>
      </w:pPr>
      <w:r>
        <w:rPr>
          <w:rStyle w:val="VerbatimChar"/>
        </w:rPr>
        <w:t xml:space="preserve">## </w:t>
      </w:r>
      <w:r>
        <w:br/>
      </w:r>
      <w:r>
        <w:rPr>
          <w:rStyle w:val="VerbatimChar"/>
        </w:rPr>
        <w:t xml:space="preserve">## One-sample t-Test</w:t>
      </w:r>
      <w:r>
        <w:br/>
      </w:r>
      <w:r>
        <w:rPr>
          <w:rStyle w:val="VerbatimChar"/>
        </w:rPr>
        <w:t xml:space="preserve">## </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27.942 90 &lt; 0.001</w:t>
      </w:r>
      <w:r>
        <w:br/>
      </w:r>
      <w:r>
        <w:rPr>
          <w:rStyle w:val="VerbatimChar"/>
        </w:rPr>
        <w:t xml:space="preserve">## TOST Lower  7.116 90 &lt; 0.001</w:t>
      </w:r>
      <w:r>
        <w:br/>
      </w:r>
      <w:r>
        <w:rPr>
          <w:rStyle w:val="VerbatimChar"/>
        </w:rPr>
        <w:t xml:space="preserve">## TOST Upper -4.244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7.379 0.2641  [6.9402, 7.818]         0.9</w:t>
      </w:r>
      <w:r>
        <w:br/>
      </w:r>
      <w:r>
        <w:rPr>
          <w:rStyle w:val="VerbatimChar"/>
        </w:rPr>
        <w:t xml:space="preserve">## Hedges's g    2.905 0.2395 [2.4289, 3.3804]         0.9</w:t>
      </w:r>
      <w:r>
        <w:br/>
      </w:r>
      <w:r>
        <w:rPr>
          <w:rStyle w:val="VerbatimChar"/>
        </w:rPr>
        <w:t xml:space="preserve">## Note: SMD confidence intervals are an approximation. See vignette("SMD_calcs").</w:t>
      </w:r>
    </w:p>
    <w:p>
      <w:pPr>
        <w:pStyle w:val="SourceCode"/>
      </w:pPr>
      <w:r>
        <w:rPr>
          <w:rStyle w:val="FunctionTok"/>
        </w:rPr>
        <w:t xml:space="preserve">plot</w:t>
      </w:r>
      <w:r>
        <w:rPr>
          <w:rStyle w:val="NormalTok"/>
        </w:rPr>
        <w:t xml:space="preserve">(res_tsum)</w:t>
      </w:r>
    </w:p>
    <w:p>
      <w:pPr>
        <w:pStyle w:val="FirstParagraph"/>
      </w:pPr>
      <w:r>
        <w:drawing>
          <wp:inline>
            <wp:extent cx="5969000" cy="5969000"/>
            <wp:effectExtent b="0" l="0" r="0" t="0"/>
            <wp:docPr descr="" title="" id="45" name="Picture"/>
            <a:graphic>
              <a:graphicData uri="http://schemas.openxmlformats.org/drawingml/2006/picture">
                <pic:pic>
                  <pic:nvPicPr>
                    <pic:cNvPr descr="Avocado_Update_files/figure-docx/unnamed-chunk-15-1.png" id="46"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bookmarkEnd w:id="47"/>
    <w:bookmarkEnd w:id="48"/>
    <w:bookmarkEnd w:id="49"/>
    <w:bookmarkStart w:id="54" w:name="robust-methods-for-equivalence-testing"/>
    <w:p>
      <w:pPr>
        <w:pStyle w:val="berschrift1"/>
      </w:pPr>
      <w:r>
        <w:t xml:space="preserve">Robust Methods for Equivalence Testing</w:t>
      </w:r>
    </w:p>
    <w:p>
      <w:pPr>
        <w:pStyle w:val="FirstParagraph"/>
      </w:pPr>
      <w:r>
        <w:t xml:space="preserve">Why this may be useful</w:t>
      </w:r>
      <w:r>
        <w:t xml:space="preserve"> </w:t>
      </w:r>
      <w:r>
        <w:t xml:space="preserve">Describe these aren’t tests of medians but symmetry tests (myth busting)</w:t>
      </w:r>
      <w:r>
        <w:t xml:space="preserve"> </w:t>
      </w:r>
      <w:r>
        <w:t xml:space="preserve">Paired samples may want to be rank transformed</w:t>
      </w:r>
    </w:p>
    <w:p>
      <w:pPr>
        <w:pStyle w:val="Textkrper"/>
      </w:pPr>
      <w:r>
        <w:t xml:space="preserve">In this package there are currently 2 functions that provide robust alternatives to the</w:t>
      </w:r>
      <w:r>
        <w:t xml:space="preserve"> </w:t>
      </w:r>
      <w:r>
        <w:rPr>
          <w:rStyle w:val="VerbatimChar"/>
        </w:rPr>
        <w:t xml:space="preserve">t_TOST</w:t>
      </w:r>
      <w:r>
        <w:t xml:space="preserve"> </w:t>
      </w:r>
      <w:r>
        <w:t xml:space="preserve">function.</w:t>
      </w:r>
    </w:p>
    <w:bookmarkStart w:id="50" w:name="tests-of-symmetry"/>
    <w:p>
      <w:pPr>
        <w:pStyle w:val="berschrift2"/>
      </w:pPr>
      <w:r>
        <w:t xml:space="preserve">Tests of Symmetry</w:t>
      </w:r>
    </w:p>
    <w:p>
      <w:pPr>
        <w:pStyle w:val="FirstParagraph"/>
      </w:pPr>
      <w:r>
        <w:t xml:space="preserve">The Wilcoxon group of tests (includes Mann-Whitney U-test) provide a non-parametric test of differences between groups, or within samples, based on ranks. This provides a test of location shift, which is a fancy way of saying differences in the center of the distribution (i.e., in parametric tests the location is mean). With TOST, there are two separate tests of directional location shift to determine if the location shift is within (equivalence) or outside (minimal effect). The exact calculations can be explored via the documentation of the</w:t>
      </w:r>
      <w:r>
        <w:t xml:space="preserve"> </w:t>
      </w:r>
      <w:r>
        <w:rPr>
          <w:rStyle w:val="VerbatimChar"/>
        </w:rPr>
        <w:t xml:space="preserve">wilcox.test</w:t>
      </w:r>
      <w:r>
        <w:t xml:space="preserve"> </w:t>
      </w:r>
      <w:r>
        <w:t xml:space="preserve">function.</w:t>
      </w:r>
    </w:p>
    <w:p>
      <w:pPr>
        <w:pStyle w:val="Textkrper"/>
      </w:pPr>
      <w:r>
        <w:t xml:space="preserve">In the TOSTER package, we accomplish this with the</w:t>
      </w:r>
      <w:r>
        <w:t xml:space="preserve"> </w:t>
      </w:r>
      <w:r>
        <w:rPr>
          <w:rStyle w:val="VerbatimChar"/>
        </w:rPr>
        <w:t xml:space="preserve">wilcox_TOST</w:t>
      </w:r>
      <w:r>
        <w:t xml:space="preserve"> </w:t>
      </w:r>
      <w:r>
        <w:t xml:space="preserve">function. Overall, this function operates extremely similar to the</w:t>
      </w:r>
      <w:r>
        <w:t xml:space="preserve"> </w:t>
      </w:r>
      <w:r>
        <w:rPr>
          <w:rStyle w:val="VerbatimChar"/>
        </w:rPr>
        <w:t xml:space="preserve">t_TOST</w:t>
      </w:r>
      <w:r>
        <w:t xml:space="preserve"> </w:t>
      </w:r>
      <w:r>
        <w:t xml:space="preserve">function. However, the standardized mean difference (SMD) is</w:t>
      </w:r>
      <w:r>
        <w:t xml:space="preserve"> </w:t>
      </w:r>
      <w:r>
        <w:rPr>
          <w:iCs/>
          <w:i/>
        </w:rPr>
        <w:t xml:space="preserve">not</w:t>
      </w:r>
      <w:r>
        <w:t xml:space="preserve"> </w:t>
      </w:r>
      <w:r>
        <w:t xml:space="preserve">calculated. Instead the rank-biserial correlation is calculated for</w:t>
      </w:r>
      <w:r>
        <w:t xml:space="preserve"> </w:t>
      </w:r>
      <w:r>
        <w:rPr>
          <w:iCs/>
          <w:i/>
        </w:rPr>
        <w:t xml:space="preserve">all</w:t>
      </w:r>
      <w:r>
        <w:t xml:space="preserve"> </w:t>
      </w:r>
      <w:r>
        <w:t xml:space="preserve">types of comparisons (e.g., two sample, one sample, and paired samples). Also, there is no plotting capability at this time for the output of this function.</w:t>
      </w:r>
    </w:p>
    <w:p>
      <w:pPr>
        <w:pStyle w:val="Textkrper"/>
      </w:pPr>
      <w:r>
        <w:t xml:space="preserve">As an example, we can use the sleep data to make a non-parametric comparison of equivalence.</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(TOSTER)</w:t>
      </w:r>
      <w:r>
        <w:br/>
      </w:r>
      <w:r>
        <w:br/>
      </w: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The equivalence test was non-significant W = 20.000, p = 8.94e-01</w:t>
      </w:r>
      <w:r>
        <w:br/>
      </w:r>
      <w:r>
        <w:rPr>
          <w:rStyle w:val="VerbatimChar"/>
        </w:rPr>
        <w:t xml:space="preserve">## The null hypothesis test was non-significant W = 25.500, p = 6.93e-02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Test Statistic p.value</w:t>
      </w:r>
      <w:r>
        <w:br/>
      </w:r>
      <w:r>
        <w:rPr>
          <w:rStyle w:val="VerbatimChar"/>
        </w:rPr>
        <w:t xml:space="preserve">## NHST                 25.5   0.069</w:t>
      </w:r>
      <w:r>
        <w:br/>
      </w:r>
      <w:r>
        <w:rPr>
          <w:rStyle w:val="VerbatimChar"/>
        </w:rPr>
        <w:t xml:space="preserve">## TOST Lower           34.0   0.894</w:t>
      </w:r>
      <w:r>
        <w:br/>
      </w:r>
      <w:r>
        <w:rPr>
          <w:rStyle w:val="VerbatimChar"/>
        </w:rPr>
        <w:t xml:space="preserve">## TOST Upper           20.0   0.013</w:t>
      </w:r>
      <w:r>
        <w:br/>
      </w:r>
      <w:r>
        <w:rPr>
          <w:rStyle w:val="VerbatimChar"/>
        </w:rPr>
        <w:t xml:space="preserve">## </w:t>
      </w:r>
      <w:r>
        <w:br/>
      </w:r>
      <w:r>
        <w:rPr>
          <w:rStyle w:val="VerbatimChar"/>
        </w:rPr>
        <w:t xml:space="preserve">## Effect Sizes </w:t>
      </w:r>
      <w:r>
        <w:br/>
      </w:r>
      <w:r>
        <w:rPr>
          <w:rStyle w:val="VerbatimChar"/>
        </w:rPr>
        <w:t xml:space="preserve">##                           Estimate               C.I. Conf. Level</w:t>
      </w:r>
      <w:r>
        <w:br/>
      </w:r>
      <w:r>
        <w:rPr>
          <w:rStyle w:val="VerbatimChar"/>
        </w:rPr>
        <w:t xml:space="preserve">## Median of Differences       -1.346       [-3.4, -0.1]         0.9</w:t>
      </w:r>
      <w:r>
        <w:br/>
      </w:r>
      <w:r>
        <w:rPr>
          <w:rStyle w:val="VerbatimChar"/>
        </w:rPr>
        <w:t xml:space="preserve">## Rank-Biserial Correlation   -0.490 [-0.7493, -0.1005]         0.9</w:t>
      </w:r>
    </w:p>
    <w:bookmarkEnd w:id="50"/>
    <w:bookmarkStart w:id="53" w:name="boostrap-tost"/>
    <w:p>
      <w:pPr>
        <w:pStyle w:val="berschrift2"/>
      </w:pPr>
      <w:r>
        <w:t xml:space="preserve">Boostrap TOST</w:t>
      </w:r>
    </w:p>
    <w:p>
      <w:pPr>
        <w:pStyle w:val="FirstParagraph"/>
      </w:pPr>
      <w:r>
        <w:t xml:space="preserve">The boostrap refers to resampling with replacement and can be used statistical estimation and inference. Bootsrapping techniques are very useful because they are considered somewhat robust to the violations of assumptions for a simple t-test. Therefore we added a bootstrap option,</w:t>
      </w:r>
      <w:r>
        <w:t xml:space="preserve"> </w:t>
      </w:r>
      <w:r>
        <w:rPr>
          <w:rStyle w:val="VerbatimChar"/>
        </w:rPr>
        <w:t xml:space="preserve">boot_t_TOST</w:t>
      </w:r>
      <w:r>
        <w:t xml:space="preserve"> </w:t>
      </w:r>
      <w:r>
        <w:t xml:space="preserve">to the package to provide another robust alternative to the</w:t>
      </w:r>
      <w:r>
        <w:t xml:space="preserve"> </w:t>
      </w:r>
      <w:r>
        <w:rPr>
          <w:rStyle w:val="VerbatimChar"/>
        </w:rPr>
        <w:t xml:space="preserve">t_TOST</w:t>
      </w:r>
      <w:r>
        <w:t xml:space="preserve"> </w:t>
      </w:r>
      <w:r>
        <w:t xml:space="preserve">function.</w:t>
      </w:r>
    </w:p>
    <w:p>
      <w:pPr>
        <w:pStyle w:val="Textkrper"/>
      </w:pPr>
      <w:r>
        <w:t xml:space="preserve">In this function we provide a percentile bootstrap solution outlined by</w:t>
      </w:r>
      <w:r>
        <w:t xml:space="preserve"> </w:t>
      </w:r>
      <w:r>
        <w:t xml:space="preserve">Efron and Tibshirani (1993)</w:t>
      </w:r>
      <w:r>
        <w:t xml:space="preserve"> </w:t>
      </w:r>
      <w:r>
        <w:t xml:space="preserve">(see chapter 16, page 220). 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&amp; Tibshirani, 1993)</w:t>
      </w:r>
      <w:r>
        <w:t xml:space="preserve">. 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at this time.</w:t>
      </w:r>
    </w:p>
    <w:bookmarkStart w:id="51" w:name="two-sample-algorithm"/>
    <w:p>
      <w:pPr>
        <w:pStyle w:val="berschrift3"/>
      </w:pPr>
      <w:r>
        <w:t xml:space="preserve">Two Sample Algorithm.</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 The paired sample case in this bootstrap procedure is equivalent to the one sample solution because the test is based on the difference scores.</w:t>
      </w:r>
    </w:p>
    <w:bookmarkEnd w:id="51"/>
    <w:bookmarkStart w:id="52" w:name="example-of-bootrapping"/>
    <w:p>
      <w:pPr>
        <w:pStyle w:val="berschrift3"/>
      </w:pPr>
      <w:r>
        <w:t xml:space="preserve">Example of Bootrapping.</w:t>
      </w:r>
    </w:p>
    <w:p>
      <w:pPr>
        <w:pStyle w:val="FirstParagraph"/>
      </w:pPr>
      <w:r>
        <w:t xml:space="preserve">Again, we can use the sleep data to see the bootstrapped results. Notice that the plots show how the resampling via boostrapping indicates the instability of Hedges’ d(z).</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Bootstrapped Paired t-test</w:t>
      </w:r>
      <w:r>
        <w:br/>
      </w:r>
      <w:r>
        <w:rPr>
          <w:rStyle w:val="VerbatimChar"/>
        </w:rPr>
        <w:t xml:space="preserve">## </w:t>
      </w:r>
      <w:r>
        <w:br/>
      </w:r>
      <w:r>
        <w:rPr>
          <w:rStyle w:val="VerbatimChar"/>
        </w:rPr>
        <w:t xml:space="preserve">## The equivalence test was non-significant, t(9) = -2.777, p = 1e+00</w:t>
      </w:r>
      <w:r>
        <w:br/>
      </w:r>
      <w:r>
        <w:rPr>
          <w:rStyle w:val="VerbatimChar"/>
        </w:rPr>
        <w:t xml:space="preserve">## The null hypothesis test was significant, t(9) = -4.062, p = 0e+00</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&lt; 0.001</w:t>
      </w:r>
      <w:r>
        <w:br/>
      </w:r>
      <w:r>
        <w:rPr>
          <w:rStyle w:val="VerbatimChar"/>
        </w:rPr>
        <w:t xml:space="preserve">## TOST Lower -2.777  9       1</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0.3754    [-2.263, -1.04]         0.9</w:t>
      </w:r>
      <w:r>
        <w:br/>
      </w:r>
      <w:r>
        <w:rPr>
          <w:rStyle w:val="VerbatimChar"/>
        </w:rPr>
        <w:t xml:space="preserve">## Hedges's g(z)   -1.174 0.6498 [-2.7503, -0.9161]         0.9</w:t>
      </w:r>
      <w:r>
        <w:br/>
      </w:r>
      <w:r>
        <w:rPr>
          <w:rStyle w:val="VerbatimChar"/>
        </w:rPr>
        <w:t xml:space="preserve">## Note: percentile bootstrap method utilized.</w:t>
      </w:r>
    </w:p>
    <w:bookmarkEnd w:id="52"/>
    <w:bookmarkEnd w:id="53"/>
    <w:bookmarkEnd w:id="54"/>
    <w:bookmarkStart w:id="58" w:name="equivalence-testing-with-anovas"/>
    <w:p>
      <w:pPr>
        <w:pStyle w:val="berschrift1"/>
      </w:pPr>
      <w:r>
        <w:t xml:space="preserve">Equivalence Testing with ANOVAs</w:t>
      </w:r>
    </w:p>
    <w:p>
      <w:pPr>
        <w:pStyle w:val="FirstParagraph"/>
      </w:pPr>
      <w:r>
        <w:t xml:space="preserve">For an open access tutorial paper explaining how to set equivalence bounds, and how to perform and report equivalence for ANOVA models see</w:t>
      </w:r>
      <w:r>
        <w:t xml:space="preserve"> </w:t>
      </w:r>
      <w:r>
        <w:t xml:space="preserve">Campbell and Lakens (2021)</w:t>
      </w:r>
      <w:r>
        <w:t xml:space="preserve">. These functions are meant to be omnibus tests, and additional testing may be necessary. For example, comparison of the estimated marginal means, in addition to or as an alternative of with may be prudent.</w:t>
      </w:r>
    </w:p>
    <w:bookmarkStart w:id="56" w:name="f-test-calculations"/>
    <w:p>
      <w:pPr>
        <w:pStyle w:val="berschrift2"/>
      </w:pPr>
      <w:r>
        <w:t xml:space="preserve">F-test Calculations</w:t>
      </w:r>
    </w:p>
    <w:p>
      <w:pPr>
        <w:pStyle w:val="FirstParagraph"/>
      </w:pPr>
      <w:r>
        <w:t xml:space="preserve">Statistical equivalence testing (or</w:t>
      </w:r>
      <w:r>
        <w:t xml:space="preserve"> </w:t>
      </w:r>
      <w:r>
        <w:t xml:space="preserve">“</w:t>
      </w:r>
      <w:r>
        <w:t xml:space="preserve">omnibus non-inferiority testing</w:t>
      </w:r>
      <w:r>
        <w:t xml:space="preserve">”</w:t>
      </w:r>
      <w:r>
        <w:t xml:space="preserve"> </w:t>
      </w:r>
      <w:r>
        <w:t xml:space="preserve">as</w:t>
      </w:r>
      <w:r>
        <w:t xml:space="preserve"> </w:t>
      </w:r>
      <w:r>
        <w:t xml:space="preserve">Campbell and Lakens (2021)</w:t>
      </w:r>
      <w:r>
        <w:t xml:space="preserve">) 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 As</w:t>
      </w:r>
      <w:r>
        <w:t xml:space="preserve"> </w:t>
      </w:r>
      <w:r>
        <w:t xml:space="preserve">Campbell and Lakens (2021)</w:t>
      </w:r>
      <w:r>
        <w:t xml:space="preserve"> </w:t>
      </w:r>
      <w:r>
        <w:t xml:space="preserve">state, these type of questions answer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55" w:name="hypothesis-tests"/>
    <w:p>
      <w:pPr>
        <w:pStyle w:val="berschrift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w:t>
      </w:r>
      <w:r>
        <w:t xml:space="preserve"> </w:t>
      </w:r>
      <w:r>
        <w:rPr>
          <w:rStyle w:val="VerbatimChar"/>
        </w:rPr>
        <w:t xml:space="preserve">TOSTER</w:t>
      </w:r>
      <w:r>
        <w:t xml:space="preserve"> </w:t>
      </w:r>
      <w:r>
        <w:t xml:space="preserve">we go a tad farther and calculate a generalization of the non-centrality parameter that allows the equivalence test for</w:t>
      </w:r>
      <w:r>
        <w:t xml:space="preserve"> </w:t>
      </w:r>
      <w:r>
        <w:rPr>
          <w:iCs/>
          <w:i/>
        </w:rPr>
        <w:t xml:space="preserve">F</w:t>
      </w:r>
      <w:r>
        <w:t xml:space="preserve">-tests to be applied to variety of designs.</w:t>
      </w:r>
    </w:p>
    <w:p>
      <w:pPr>
        <w:pStyle w:val="Textkrper"/>
      </w:pPr>
      <w:r>
        <w:t xml:space="preserve">Campbell and Lakens (2021)</w:t>
      </w:r>
      <w:r>
        <w:t xml:space="preserve"> </w:t>
      </w:r>
      <w:r>
        <w:t xml:space="preserve">calculate the</w:t>
      </w:r>
      <w:r>
        <w:t xml:space="preserve"> </w:t>
      </w:r>
      <w:r>
        <w:rPr>
          <w:iCs/>
          <w:i/>
        </w:rPr>
        <w:t xml:space="preserve">p</w:t>
      </w:r>
      <w:r>
        <w:t xml:space="preserve">-value as:</w:t>
      </w:r>
    </w:p>
    <w:p>
      <w:pPr>
        <w:pStyle w:val="Textkrper"/>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However, this approach could not be applied to factorial ANOVA and the paper only outlines how to apply this approach to a one-way ANOVA and an extension to Welch’s one-way ANOVA.</w:t>
      </w:r>
    </w:p>
    <w:p>
      <w:pPr>
        <w:pStyle w:val="Textkrper"/>
      </w:pPr>
      <w:r>
        <w:t xml:space="preserve">The non-centrality parameter (ncp =</w:t>
      </w:r>
      <w:r>
        <w:t xml:space="preserve"> </w:t>
      </w:r>
      <m:oMath>
        <m:r>
          <m:t>λ</m:t>
        </m:r>
      </m:oMath>
      <w:r>
        <w:t xml:space="preserve">) can be calculated with the equivalence bound and the degrees of freedom:</w:t>
      </w:r>
    </w:p>
    <w:p>
      <w:pPr>
        <w:pStyle w:val="Textkrper"/>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Textkrper"/>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55"/>
    <w:bookmarkEnd w:id="56"/>
    <w:bookmarkStart w:id="57" w:name="example-of-equivalence-anova-test"/>
    <w:p>
      <w:pPr>
        <w:pStyle w:val="berschrift2"/>
      </w:pPr>
      <w:r>
        <w:t xml:space="preserve">Example of Equivalence ANOVA Test</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we can demonstrate how this omnibus equivalence testing can be applied with</w:t>
      </w:r>
      <w:r>
        <w:t xml:space="preserve"> </w:t>
      </w:r>
      <w:r>
        <w:rPr>
          <w:rStyle w:val="VerbatimChar"/>
        </w:rPr>
        <w:t xml:space="preserve">TOSTER</w:t>
      </w:r>
      <w:r>
        <w:t xml:space="preserve">.</w:t>
      </w:r>
    </w:p>
    <w:p>
      <w:pPr>
        <w:pStyle w:val="Textkrper"/>
      </w:pPr>
      <w:r>
        <w:t xml:space="preserve">From the initial analysis we an see a clear</w:t>
      </w:r>
      <w:r>
        <w:t xml:space="preserve"> </w:t>
      </w:r>
      <w:r>
        <w:t xml:space="preserve">“</w:t>
      </w:r>
      <w:r>
        <w:t xml:space="preserve">significant</w:t>
      </w:r>
      <w:r>
        <w:t xml:space="preserve">”</w:t>
      </w:r>
      <w:r>
        <w:t xml:space="preserve"> </w:t>
      </w:r>
      <w:r>
        <w:t xml:space="preserve">effect (the p-value listed is zero but it just very small) of the factor spray. However, we</w:t>
      </w:r>
      <w:r>
        <w:t xml:space="preserve"> </w:t>
      </w:r>
      <w:r>
        <w:rPr>
          <w:iCs/>
          <w:i/>
        </w:rPr>
        <w:t xml:space="preserve">may</w:t>
      </w:r>
      <w:r>
        <w:t xml:space="preserve"> </w:t>
      </w:r>
      <w:r>
        <w:t xml:space="preserve">be interested in testing if the effect is practically equivalent. 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library</w:t>
      </w:r>
      <w:r>
        <w:rPr>
          <w:rStyle w:val="NormalTok"/>
        </w:rPr>
        <w:t xml:space="preserve">(TOSTER)</w:t>
      </w:r>
      <w:r>
        <w:br/>
      </w:r>
      <w:r>
        <w:rPr>
          <w:rStyle w:val="CommentTok"/>
        </w:rPr>
        <w:t xml:space="preserve"># Get Data</w:t>
      </w:r>
      <w:r>
        <w:br/>
      </w: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CommentTok"/>
        </w:rPr>
        <w:t xml:space="preserve"># Build ANOVA</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w:t>
      </w:r>
      <w:r>
        <w:br/>
      </w:r>
      <w:r>
        <w:rPr>
          <w:rStyle w:val="NormalTok"/>
        </w:rPr>
        <w:t xml:space="preserve">              </w:t>
      </w:r>
      <w:r>
        <w:rPr>
          <w:rStyle w:val="AttributeTok"/>
        </w:rPr>
        <w:t xml:space="preserve">data =</w:t>
      </w:r>
      <w:r>
        <w:rPr>
          <w:rStyle w:val="NormalTok"/>
        </w:rPr>
        <w:t xml:space="preserve"> InsectSprays)</w:t>
      </w:r>
      <w:r>
        <w:br/>
      </w:r>
      <w:r>
        <w:br/>
      </w:r>
      <w:r>
        <w:rPr>
          <w:rStyle w:val="CommentTok"/>
        </w:rPr>
        <w:t xml:space="preserve"># Display overall results</w:t>
      </w:r>
      <w:r>
        <w:br/>
      </w:r>
      <w:r>
        <w:rPr>
          <w:rStyle w:val="NormalTok"/>
        </w:rPr>
        <w:t xml:space="preserve">knitr</w:t>
      </w:r>
      <w:r>
        <w:rPr>
          <w:rStyle w:val="SpecialCharTok"/>
        </w:rPr>
        <w:t xml:space="preserve">::</w:t>
      </w:r>
      <w:r>
        <w:rPr>
          <w:rStyle w:val="FunctionTok"/>
        </w:rPr>
        <w:t xml:space="preserve">kable</w:t>
      </w:r>
      <w:r>
        <w:rPr>
          <w:rStyle w:val="NormalTok"/>
        </w:rPr>
        <w:t xml:space="preserve">(broom</w:t>
      </w:r>
      <w:r>
        <w:rPr>
          <w:rStyle w:val="SpecialCharTok"/>
        </w:rPr>
        <w:t xml:space="preserve">::</w:t>
      </w:r>
      <w:r>
        <w:rPr>
          <w:rStyle w:val="FunctionTok"/>
        </w:rPr>
        <w:t xml:space="preserve">tidy</w:t>
      </w:r>
      <w:r>
        <w:rPr>
          <w:rStyle w:val="NormalTok"/>
        </w:rPr>
        <w:t xml:space="preserve">(aovtest),</w:t>
      </w:r>
      <w:r>
        <w:br/>
      </w:r>
      <w:r>
        <w:rPr>
          <w:rStyle w:val="NormalTok"/>
        </w:rPr>
        <w:t xml:space="preserve">            </w:t>
      </w:r>
      <w:r>
        <w:rPr>
          <w:rStyle w:val="AttributeTok"/>
        </w:rPr>
        <w:t xml:space="preserve">caption =</w:t>
      </w:r>
      <w:r>
        <w:rPr>
          <w:rStyle w:val="NormalTok"/>
        </w:rPr>
        <w:t xml:space="preserve"> </w:t>
      </w:r>
      <w:r>
        <w:rPr>
          <w:rStyle w:val="StringTok"/>
        </w:rPr>
        <w:t xml:space="preserve">"Traditional ANOVA Test"</w:t>
      </w:r>
      <w:r>
        <w:rPr>
          <w:rStyle w:val="NormalTok"/>
        </w:rPr>
        <w:t xml:space="preserve">)</w:t>
      </w:r>
    </w:p>
    <w:p>
      <w:pPr>
        <w:pStyle w:val="TableCaption"/>
      </w:pPr>
      <w:r>
        <w:t xml:space="preserve">Table 1: Traditional ANOVA Test</w:t>
      </w:r>
    </w:p>
    <w:tbl>
      <w:tblPr>
        <w:tblStyle w:val="Table"/>
        <w:tblW w:type="auto" w:w="0"/>
        <w:tblLook w:firstRow="1" w:lastRow="0" w:firstColumn="0" w:lastColumn="0" w:noHBand="0" w:noVBand="0" w:val="0020"/>
        <w:tblCaption w:val="Table 1: Traditional ANOVA Test"/>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spray</w:t>
            </w:r>
          </w:p>
        </w:tc>
        <w:tc>
          <w:tcPr/>
          <w:p>
            <w:pPr>
              <w:pStyle w:val="Compact"/>
              <w:jc w:val="right"/>
            </w:pPr>
            <w:r>
              <w:t xml:space="preserve">5</w:t>
            </w:r>
          </w:p>
        </w:tc>
        <w:tc>
          <w:tcPr/>
          <w:p>
            <w:pPr>
              <w:pStyle w:val="Compact"/>
              <w:jc w:val="right"/>
            </w:pPr>
            <w:r>
              <w:t xml:space="preserve">2668.833</w:t>
            </w:r>
          </w:p>
        </w:tc>
        <w:tc>
          <w:tcPr/>
          <w:p>
            <w:pPr>
              <w:pStyle w:val="Compact"/>
              <w:jc w:val="right"/>
            </w:pPr>
            <w:r>
              <w:t xml:space="preserve">533.76667</w:t>
            </w:r>
          </w:p>
        </w:tc>
        <w:tc>
          <w:tcPr/>
          <w:p>
            <w:pPr>
              <w:pStyle w:val="Compact"/>
              <w:jc w:val="right"/>
            </w:pPr>
            <w:r>
              <w:t xml:space="preserve">34.70228</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66</w:t>
            </w:r>
          </w:p>
        </w:tc>
        <w:tc>
          <w:tcPr/>
          <w:p>
            <w:pPr>
              <w:pStyle w:val="Compact"/>
              <w:jc w:val="right"/>
            </w:pPr>
            <w:r>
              <w:t xml:space="preserve">1015.167</w:t>
            </w:r>
          </w:p>
        </w:tc>
        <w:tc>
          <w:tcPr/>
          <w:p>
            <w:pPr>
              <w:pStyle w:val="Compact"/>
              <w:jc w:val="right"/>
            </w:pPr>
            <w:r>
              <w:t xml:space="preserve">15.38131</w:t>
            </w:r>
          </w:p>
        </w:tc>
        <w:tc>
          <w:tcPr/>
          <w:p>
            <w:pPr>
              <w:pStyle w:val="Compact"/>
              <w:jc w:val="right"/>
            </w:pPr>
            <w:r>
              <w:t xml:space="preserve">NA</w:t>
            </w:r>
          </w:p>
        </w:tc>
        <w:tc>
          <w:tcPr/>
          <w:p>
            <w:pPr>
              <w:pStyle w:val="Compact"/>
              <w:jc w:val="right"/>
            </w:pPr>
            <w:r>
              <w:t xml:space="preserve">NA</w:t>
            </w:r>
          </w:p>
        </w:tc>
      </w:tr>
    </w:tbl>
    <w:p>
      <w:pPr>
        <w:pStyle w:val="Textkrper"/>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 This function returns an object of the S3 class</w:t>
      </w:r>
      <w:r>
        <w:t xml:space="preserve"> </w:t>
      </w:r>
      <w:r>
        <w:rPr>
          <w:rStyle w:val="VerbatimChar"/>
        </w:rPr>
        <w:t xml:space="preserve">htest</w:t>
      </w:r>
      <w:r>
        <w:t xml:space="preserve"> </w:t>
      </w:r>
      <w:r>
        <w:t xml:space="preserve">and the output will look very familiar to the the t-test. 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w:t>
      </w:r>
      <w:r>
        <w:br/>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w:t>
      </w:r>
      <w:r>
        <w:br/>
      </w:r>
      <w:r>
        <w:rPr>
          <w:rStyle w:val="NormalTok"/>
        </w:rPr>
        <w:t xml:space="preserve">          </w:t>
      </w:r>
      <w:r>
        <w:rPr>
          <w:rStyle w:val="AttributeTok"/>
        </w:rPr>
        <w:t xml:space="preserve">eqbound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w:t>
      </w:r>
      <w:r>
        <w:br/>
      </w:r>
      <w:r>
        <w:rPr>
          <w:rStyle w:val="VerbatimChar"/>
        </w:rPr>
        <w:t xml:space="preserve">##  Equivalence Test from F-test</w:t>
      </w:r>
      <w:r>
        <w:br/>
      </w:r>
      <w:r>
        <w:rPr>
          <w:rStyle w:val="VerbatimChar"/>
        </w:rPr>
        <w:t xml:space="preserve">## </w:t>
      </w:r>
      <w:r>
        <w:br/>
      </w:r>
      <w:r>
        <w:rPr>
          <w:rStyle w:val="VerbatimChar"/>
        </w:rPr>
        <w:t xml:space="preserve">## data:  Summary Statistics</w:t>
      </w:r>
      <w:r>
        <w:br/>
      </w:r>
      <w:r>
        <w:rPr>
          <w:rStyle w:val="VerbatimChar"/>
        </w:rPr>
        <w:t xml:space="preserve">## F = 34.702, df1 = 5, df2 = 66, p-value = 1</w:t>
      </w:r>
      <w:r>
        <w:br/>
      </w:r>
      <w:r>
        <w:rPr>
          <w:rStyle w:val="VerbatimChar"/>
        </w:rPr>
        <w:t xml:space="preserve">## 95 percent confidence interval:</w:t>
      </w:r>
      <w:r>
        <w:br/>
      </w:r>
      <w:r>
        <w:rPr>
          <w:rStyle w:val="VerbatimChar"/>
        </w:rPr>
        <w:t xml:space="preserve">##  0.5806263 0.7804439</w:t>
      </w:r>
      <w:r>
        <w:br/>
      </w:r>
      <w:r>
        <w:rPr>
          <w:rStyle w:val="VerbatimChar"/>
        </w:rPr>
        <w:t xml:space="preserve">## sample estimates:</w:t>
      </w:r>
      <w:r>
        <w:br/>
      </w:r>
      <w:r>
        <w:rPr>
          <w:rStyle w:val="VerbatimChar"/>
        </w:rPr>
        <w:t xml:space="preserve">## [1]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 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pPr>
        <w:pStyle w:val="Textkrper"/>
      </w:pPr>
      <w:r>
        <w:t xml:space="preserve">The</w:t>
      </w:r>
      <w:r>
        <w:t xml:space="preserve"> </w:t>
      </w:r>
      <w:r>
        <w:rPr>
          <w:rStyle w:val="VerbatimChar"/>
        </w:rPr>
        <w:t xml:space="preserve">equ_ftest</w:t>
      </w:r>
      <w:r>
        <w:t xml:space="preserve"> </w:t>
      </w:r>
      <w:r>
        <w:t xml:space="preserve">is very useful because all you need is very basic summary statistics. However, if you are doing all your analyses in R then you can use the</w:t>
      </w:r>
      <w:r>
        <w:t xml:space="preserve"> </w:t>
      </w:r>
      <w:r>
        <w:rPr>
          <w:rStyle w:val="VerbatimChar"/>
        </w:rPr>
        <w:t xml:space="preserve">equ_anova</w:t>
      </w:r>
      <w:r>
        <w:t xml:space="preserve"> </w:t>
      </w:r>
      <w:r>
        <w:t xml:space="preserve">function. 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SourceCode"/>
      </w:pPr>
      <w:r>
        <w:rPr>
          <w:rStyle w:val="FunctionTok"/>
        </w:rPr>
        <w:t xml:space="preserve">equ_anova</w:t>
      </w:r>
      <w:r>
        <w:rPr>
          <w:rStyle w:val="NormalTok"/>
        </w:rPr>
        <w:t xml:space="preserve">(aovtest,</w:t>
      </w:r>
      <w:r>
        <w:br/>
      </w:r>
      <w:r>
        <w:rPr>
          <w:rStyle w:val="NormalTok"/>
        </w:rPr>
        <w:t xml:space="preserve">          </w:t>
      </w:r>
      <w:r>
        <w:rPr>
          <w:rStyle w:val="AttributeTok"/>
        </w:rPr>
        <w:t xml:space="preserve">eqbound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 1 spray         5  66 34.70228 3.182584e-17 0.724439    0.35 0.9999965</w:t>
      </w:r>
    </w:p>
    <w:bookmarkEnd w:id="57"/>
    <w:bookmarkEnd w:id="58"/>
    <w:bookmarkStart w:id="59" w:name="visualizing-equivalence"/>
    <w:p>
      <w:pPr>
        <w:pStyle w:val="berschrift1"/>
      </w:pPr>
      <w:r>
        <w:t xml:space="preserve">Visualizing Equivalence</w:t>
      </w:r>
    </w:p>
    <w:p>
      <w:pPr>
        <w:pStyle w:val="FirstParagraph"/>
      </w:pPr>
      <w:r>
        <w:t xml:space="preserve">Add plots from the package</w:t>
      </w:r>
    </w:p>
    <w:bookmarkEnd w:id="59"/>
    <w:bookmarkStart w:id="60" w:name="acknowledgements"/>
    <w:p>
      <w:pPr>
        <w:pStyle w:val="berschrift1"/>
      </w:pPr>
      <w:r>
        <w:t xml:space="preserve">Acknowledgement(s)</w:t>
      </w:r>
    </w:p>
    <w:p>
      <w:pPr>
        <w:pStyle w:val="FirstParagraph"/>
      </w:pPr>
      <w:r>
        <w:t xml:space="preserve">An unnumbered section, e.g. </w:t>
      </w:r>
      <w:r>
        <w:rPr>
          <w:rStyle w:val="VerbatimChar"/>
        </w:rPr>
        <w:t xml:space="preserve">\section*{Acknowledgements}</w:t>
      </w:r>
      <w:r>
        <w:t xml:space="preserve">, may be used for thanks, etc. if required and included</w:t>
      </w:r>
      <w:r>
        <w:t xml:space="preserve"> </w:t>
      </w:r>
      <w:r>
        <w:rPr>
          <w:iCs/>
          <w:i/>
        </w:rPr>
        <w:t xml:space="preserve">in the non-anonymous version</w:t>
      </w:r>
      <w:r>
        <w:t xml:space="preserve"> </w:t>
      </w:r>
      <w:r>
        <w:t xml:space="preserve">before any Notes or References.</w:t>
      </w:r>
    </w:p>
    <w:bookmarkEnd w:id="60"/>
    <w:bookmarkStart w:id="61" w:name="disclosure-statement"/>
    <w:p>
      <w:pPr>
        <w:pStyle w:val="berschrift1"/>
      </w:pPr>
      <w:r>
        <w:t xml:space="preserve">Disclosure statement</w:t>
      </w:r>
    </w:p>
    <w:p>
      <w:pPr>
        <w:pStyle w:val="FirstParagraph"/>
      </w:pPr>
      <w:r>
        <w:t xml:space="preserve">The author is the author of the</w:t>
      </w:r>
      <w:r>
        <w:t xml:space="preserve"> </w:t>
      </w:r>
      <w:r>
        <w:rPr>
          <w:rStyle w:val="VerbatimChar"/>
        </w:rPr>
        <w:t xml:space="preserve">TOSTER</w:t>
      </w:r>
      <w:r>
        <w:t xml:space="preserve"> </w:t>
      </w:r>
      <w:r>
        <w:t xml:space="preserve">package.</w:t>
      </w:r>
    </w:p>
    <w:bookmarkEnd w:id="61"/>
    <w:bookmarkStart w:id="62" w:name="funding"/>
    <w:p>
      <w:pPr>
        <w:pStyle w:val="berschrift1"/>
      </w:pPr>
      <w:r>
        <w:t xml:space="preserve">Funding</w:t>
      </w:r>
    </w:p>
    <w:p>
      <w:pPr>
        <w:pStyle w:val="FirstParagraph"/>
      </w:pPr>
      <w:r>
        <w:t xml:space="preserve">No funding was provided for this work.</w:t>
      </w:r>
    </w:p>
    <w:bookmarkEnd w:id="62"/>
    <w:bookmarkStart w:id="63" w:name="notes-on-contributors"/>
    <w:p>
      <w:pPr>
        <w:pStyle w:val="berschrift1"/>
      </w:pPr>
      <w:r>
        <w:t xml:space="preserve">Notes on contributor(s)</w:t>
      </w:r>
    </w:p>
    <w:p>
      <w:pPr>
        <w:pStyle w:val="FirstParagraph"/>
      </w:pPr>
      <w:r>
        <w:t xml:space="preserve">Daniel Lakens provided a review of many of the materials that have been incorporated</w:t>
      </w:r>
      <w:r>
        <w:t xml:space="preserve"> </w:t>
      </w:r>
      <w:r>
        <w:t xml:space="preserve">into the update of</w:t>
      </w:r>
      <w:r>
        <w:t xml:space="preserve"> </w:t>
      </w:r>
      <w:r>
        <w:rPr>
          <w:rStyle w:val="VerbatimChar"/>
        </w:rPr>
        <w:t xml:space="preserve">TOSTER</w:t>
      </w:r>
      <w:r>
        <w:t xml:space="preserve">, and was the original author of this package.</w:t>
      </w:r>
    </w:p>
    <w:bookmarkEnd w:id="63"/>
    <w:bookmarkStart w:id="64" w:name="nomenclaturenotation"/>
    <w:p>
      <w:pPr>
        <w:pStyle w:val="berschrift1"/>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SMD: Standardized mean difference (e.g., Cohen’s d)</w:t>
      </w:r>
    </w:p>
    <w:p>
      <w:pPr>
        <w:numPr>
          <w:ilvl w:val="0"/>
          <w:numId w:val="1004"/>
        </w:numPr>
        <w:pStyle w:val="Compact"/>
      </w:pPr>
      <w:r>
        <w:t xml:space="preserve">TOST: Two-one sided tests of equivalence</w:t>
      </w:r>
    </w:p>
    <w:bookmarkEnd w:id="64"/>
    <w:bookmarkStart w:id="65" w:name="notes"/>
    <w:p>
      <w:pPr>
        <w:pStyle w:val="berschrift1"/>
      </w:pPr>
      <w:r>
        <w:t xml:space="preserve">Notes</w:t>
      </w:r>
    </w:p>
    <w:p>
      <w:pPr>
        <w:pStyle w:val="FirstParagraph"/>
      </w:pPr>
      <w:r>
        <w:t xml:space="preserve">The R package is also (partially) implemented in jamovi as the TOSTER module.</w:t>
      </w:r>
    </w:p>
    <w:bookmarkEnd w:id="65"/>
    <w:bookmarkStart w:id="76" w:name="references"/>
    <w:p>
      <w:pPr>
        <w:pStyle w:val="berschrift1"/>
      </w:pPr>
      <w:r>
        <w:t xml:space="preserve">References</w:t>
      </w:r>
    </w:p>
    <w:bookmarkStart w:id="75" w:name="refs"/>
    <w:bookmarkStart w:id="67" w:name="ref-blandaltman95"/>
    <w:p>
      <w:pPr>
        <w:pStyle w:val="Literaturverzeichnis"/>
      </w:pPr>
      <w:r>
        <w:t xml:space="preserve">Altman, D. G., &amp; Bland, J. M. (1995). Statistics notes: Absence of evidence is not evidence of absence.</w:t>
      </w:r>
      <w:r>
        <w:t xml:space="preserve"> </w:t>
      </w:r>
      <w:r>
        <w:rPr>
          <w:iCs/>
          <w:i/>
        </w:rPr>
        <w:t xml:space="preserve">BMJ</w:t>
      </w:r>
      <w:r>
        <w:t xml:space="preserve">,</w:t>
      </w:r>
      <w:r>
        <w:t xml:space="preserve"> </w:t>
      </w:r>
      <w:r>
        <w:rPr>
          <w:iCs/>
          <w:i/>
        </w:rPr>
        <w:t xml:space="preserve">311</w:t>
      </w:r>
      <w:r>
        <w:t xml:space="preserve">(7003), 485.</w:t>
      </w:r>
      <w:r>
        <w:t xml:space="preserve"> </w:t>
      </w:r>
      <w:hyperlink r:id="rId66">
        <w:r>
          <w:rPr>
            <w:rStyle w:val="Hyperlink"/>
          </w:rPr>
          <w:t xml:space="preserve">https://doi.org/10.1136/bmj.311.7003.485</w:t>
        </w:r>
      </w:hyperlink>
    </w:p>
    <w:bookmarkEnd w:id="67"/>
    <w:bookmarkStart w:id="69" w:name="ref-Campbell_2021"/>
    <w:p>
      <w:pPr>
        <w:pStyle w:val="Literaturverzeichnis"/>
      </w:pPr>
      <w:r>
        <w:t xml:space="preserve">Campbell, H., &amp; Lakens, D. (2021). Can we disregard the whole model? Omnibus non-inferiority testing for R2 in multi-variable linear regression and in ANOVA.</w:t>
      </w:r>
      <w:r>
        <w:t xml:space="preserve"> </w:t>
      </w:r>
      <w:r>
        <w:rPr>
          <w:iCs/>
          <w:i/>
        </w:rPr>
        <w:t xml:space="preserve">British Journal of Mathematical and Statistical Psychology</w:t>
      </w:r>
      <w:r>
        <w:t xml:space="preserve">,</w:t>
      </w:r>
      <w:r>
        <w:t xml:space="preserve"> </w:t>
      </w:r>
      <w:r>
        <w:rPr>
          <w:iCs/>
          <w:i/>
        </w:rPr>
        <w:t xml:space="preserve">74</w:t>
      </w:r>
      <w:r>
        <w:t xml:space="preserve">(1), e12201.</w:t>
      </w:r>
      <w:r>
        <w:t xml:space="preserve"> </w:t>
      </w:r>
      <w:hyperlink r:id="rId68">
        <w:r>
          <w:rPr>
            <w:rStyle w:val="Hyperlink"/>
          </w:rPr>
          <w:t xml:space="preserve">https://doi.org/10.1111/bmsp.12201</w:t>
        </w:r>
      </w:hyperlink>
    </w:p>
    <w:bookmarkEnd w:id="69"/>
    <w:bookmarkStart w:id="70" w:name="ref-efron93"/>
    <w:p>
      <w:pPr>
        <w:pStyle w:val="Literaturverzeichnis"/>
      </w:pPr>
      <w:r>
        <w:t xml:space="preserve">Efron, B., &amp; Tibshirani, R. J. (1993).</w:t>
      </w:r>
      <w:r>
        <w:t xml:space="preserve"> </w:t>
      </w:r>
      <w:r>
        <w:rPr>
          <w:iCs/>
          <w:i/>
        </w:rPr>
        <w:t xml:space="preserve">An introduction to the bootstrap</w:t>
      </w:r>
      <w:r>
        <w:t xml:space="preserve">. Boca Raton, Florida, USA: Chapman &amp; Hall/CRC.</w:t>
      </w:r>
    </w:p>
    <w:bookmarkEnd w:id="70"/>
    <w:bookmarkStart w:id="72" w:name="ref-lakens_ori"/>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71">
        <w:r>
          <w:rPr>
            <w:rStyle w:val="Hyperlink"/>
          </w:rPr>
          <w:t xml:space="preserve">https://doi.org/10.1177/1948550617697177</w:t>
        </w:r>
      </w:hyperlink>
    </w:p>
    <w:bookmarkEnd w:id="72"/>
    <w:bookmarkStart w:id="74" w:name="ref-schuirmann1987"/>
    <w:p>
      <w:pPr>
        <w:pStyle w:val="Literaturverzeichnis"/>
      </w:pPr>
      <w:r>
        <w:t xml:space="preserve">Schuirmann, D. J. (1987). A comparison of the two one-sided tests procedure and the power approach for assessing the equivalence of average bioavailability.</w:t>
      </w:r>
      <w:r>
        <w:t xml:space="preserve"> </w:t>
      </w:r>
      <w:r>
        <w:rPr>
          <w:iCs/>
          <w:i/>
        </w:rPr>
        <w:t xml:space="preserve">Journal of Pharmacokinetics and Biopharmaceutics</w:t>
      </w:r>
      <w:r>
        <w:t xml:space="preserve">,</w:t>
      </w:r>
      <w:r>
        <w:t xml:space="preserve"> </w:t>
      </w:r>
      <w:r>
        <w:rPr>
          <w:iCs/>
          <w:i/>
        </w:rPr>
        <w:t xml:space="preserve">15</w:t>
      </w:r>
      <w:r>
        <w:t xml:space="preserve">(6), 657–680.</w:t>
      </w:r>
      <w:r>
        <w:t xml:space="preserve"> </w:t>
      </w:r>
      <w:hyperlink r:id="rId73">
        <w:r>
          <w:rPr>
            <w:rStyle w:val="Hyperlink"/>
          </w:rPr>
          <w:t xml:space="preserve">https://doi.org/10.1007/BF01068419</w:t>
        </w:r>
      </w:hyperlink>
    </w:p>
    <w:bookmarkEnd w:id="74"/>
    <w:bookmarkEnd w:id="75"/>
    <w:bookmarkEnd w:id="7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UPDATED TOSTER R PACKAGE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UPDATED TOSTER R PACKAGE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5" Target="https://cran.r-project.org/package=concurve" TargetMode="External" /><Relationship Type="http://schemas.openxmlformats.org/officeDocument/2006/relationships/hyperlink" Id="rId73" Target="https://doi.org/10.1007/BF01068419" TargetMode="External" /><Relationship Type="http://schemas.openxmlformats.org/officeDocument/2006/relationships/hyperlink" Id="rId68" Target="https://doi.org/10.1111/bmsp.12201" TargetMode="External" /><Relationship Type="http://schemas.openxmlformats.org/officeDocument/2006/relationships/hyperlink" Id="rId66" Target="https://doi.org/10.1136/bmj.311.7003.485" TargetMode="External" /><Relationship Type="http://schemas.openxmlformats.org/officeDocument/2006/relationships/hyperlink" Id="rId71" Target="https://doi.org/10.1177/1948550617697177" TargetMode="External" /></Relationships>
</file>

<file path=word/_rels/footnotes.xml.rels><?xml version="1.0" encoding="UTF-8"?><Relationships xmlns="http://schemas.openxmlformats.org/package/2006/relationships"><Relationship Type="http://schemas.openxmlformats.org/officeDocument/2006/relationships/hyperlink" Id="rId25" Target="https://cran.r-project.org/package=concurve" TargetMode="External" /><Relationship Type="http://schemas.openxmlformats.org/officeDocument/2006/relationships/hyperlink" Id="rId73" Target="https://doi.org/10.1007/BF01068419" TargetMode="External" /><Relationship Type="http://schemas.openxmlformats.org/officeDocument/2006/relationships/hyperlink" Id="rId68" Target="https://doi.org/10.1111/bmsp.12201" TargetMode="External" /><Relationship Type="http://schemas.openxmlformats.org/officeDocument/2006/relationships/hyperlink" Id="rId66" Target="https://doi.org/10.1136/bmj.311.7003.485" TargetMode="External" /><Relationship Type="http://schemas.openxmlformats.org/officeDocument/2006/relationships/hyperlink" Id="rId71" Target="https://doi.org/10.1177/19485506176971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
  <cp:keywords/>
  <dcterms:created xsi:type="dcterms:W3CDTF">2022-11-13T16:45:43Z</dcterms:created>
  <dcterms:modified xsi:type="dcterms:W3CDTF">2022-11-13T16:45:43Z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interactcadsample.bib</vt:lpwstr>
  </property>
  <property fmtid="{D5CDD505-2E9C-101B-9397-08002B2CF9AE}" pid="4" name="csl">
    <vt:lpwstr>/Library/Frameworks/R.framework/Versions/4.2/Resources/library/papaja/rmd/apa6.csl</vt:lpwstr>
  </property>
  <property fmtid="{D5CDD505-2E9C-101B-9397-08002B2CF9AE}" pid="5" name="header-includes">
    <vt:lpwstr/>
  </property>
  <property fmtid="{D5CDD505-2E9C-101B-9397-08002B2CF9AE}" pid="6" name="output">
    <vt:lpwstr/>
  </property>
  <property fmtid="{D5CDD505-2E9C-101B-9397-08002B2CF9AE}" pid="7" name="shorttitle">
    <vt:lpwstr>Updated TOSTER R Package</vt:lpwstr>
  </property>
  <property fmtid="{D5CDD505-2E9C-101B-9397-08002B2CF9AE}" pid="8" name="type">
    <vt:lpwstr>PREPRINT</vt:lpwstr>
  </property>
</Properties>
</file>