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301"/>
        <w:tblW w:w="9553" w:type="dxa"/>
        <w:tblLayout w:type="fixed"/>
        <w:tblLook w:val="01E0" w:firstRow="1" w:lastRow="1" w:firstColumn="1" w:lastColumn="1" w:noHBand="0" w:noVBand="0"/>
      </w:tblPr>
      <w:tblGrid>
        <w:gridCol w:w="1319"/>
        <w:gridCol w:w="8234"/>
      </w:tblGrid>
      <w:tr w:rsidR="00E948FF" w:rsidTr="00185800">
        <w:trPr>
          <w:cantSplit/>
          <w:trHeight w:val="2"/>
        </w:trPr>
        <w:tc>
          <w:tcPr>
            <w:tcW w:w="1319" w:type="dxa"/>
            <w:vMerge w:val="restart"/>
          </w:tcPr>
          <w:p w:rsidR="00E948FF" w:rsidRDefault="00E948FF" w:rsidP="00185800">
            <w:pPr>
              <w:autoSpaceDE w:val="0"/>
              <w:autoSpaceDN w:val="0"/>
              <w:adjustRightInd w:val="0"/>
              <w:jc w:val="center"/>
              <w:rPr>
                <w:rFonts w:ascii="DejaVuSans-Bold" w:hAnsi="DejaVuSans-Bold" w:cs="DejaVuSans-Bold"/>
                <w:b/>
                <w:bCs/>
                <w:color w:val="000000"/>
              </w:rPr>
            </w:pPr>
            <w:r>
              <w:rPr>
                <w:noProof/>
              </w:rPr>
              <w:drawing>
                <wp:anchor distT="0" distB="0" distL="114300" distR="114300" simplePos="0" relativeHeight="251657216"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 name="Picture 2"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34" w:type="dxa"/>
          </w:tcPr>
          <w:p w:rsidR="00E948FF" w:rsidRPr="0053701D" w:rsidRDefault="00E948FF" w:rsidP="00185800">
            <w:pPr>
              <w:autoSpaceDE w:val="0"/>
              <w:autoSpaceDN w:val="0"/>
              <w:adjustRightInd w:val="0"/>
              <w:spacing w:before="120"/>
              <w:jc w:val="center"/>
              <w:rPr>
                <w:rFonts w:ascii="DejaVuSans-Bold" w:hAnsi="DejaVuSans-Bold" w:cs="DejaVuSans-Bold"/>
                <w:b/>
                <w:bCs/>
                <w:sz w:val="28"/>
                <w:szCs w:val="28"/>
              </w:rPr>
            </w:pPr>
            <w:r w:rsidRPr="0053701D">
              <w:rPr>
                <w:rFonts w:ascii="DejaVuSans-Bold" w:hAnsi="DejaVuSans-Bold" w:cs="DejaVuSans-Bold"/>
                <w:b/>
                <w:bCs/>
                <w:sz w:val="28"/>
                <w:szCs w:val="28"/>
              </w:rPr>
              <w:t>DEPARTMENT OF COMPUTER SCIENCE &amp; ENGINEERING</w:t>
            </w:r>
          </w:p>
          <w:p w:rsidR="00E948FF" w:rsidRDefault="00E948FF" w:rsidP="00185800">
            <w:pPr>
              <w:autoSpaceDE w:val="0"/>
              <w:autoSpaceDN w:val="0"/>
              <w:adjustRightInd w:val="0"/>
              <w:spacing w:before="120"/>
              <w:jc w:val="center"/>
              <w:rPr>
                <w:rFonts w:ascii="DejaVuSans-Bold" w:hAnsi="DejaVuSans-Bold" w:cs="DejaVuSans-Bold"/>
                <w:b/>
                <w:bCs/>
                <w:sz w:val="32"/>
                <w:szCs w:val="32"/>
              </w:rPr>
            </w:pPr>
            <w:r>
              <w:rPr>
                <w:rFonts w:ascii="DejaVuSans-Bold" w:hAnsi="DejaVuSans-Bold" w:cs="DejaVuSans-Bold"/>
                <w:b/>
                <w:bCs/>
                <w:sz w:val="32"/>
                <w:szCs w:val="32"/>
              </w:rPr>
              <w:t xml:space="preserve">NATIONAL INSTITUTE OF TECHNOLOGY PATNA </w:t>
            </w:r>
          </w:p>
          <w:p w:rsidR="00E948FF" w:rsidRDefault="00E948FF" w:rsidP="00185800">
            <w:pPr>
              <w:autoSpaceDE w:val="0"/>
              <w:autoSpaceDN w:val="0"/>
              <w:adjustRightInd w:val="0"/>
              <w:jc w:val="center"/>
              <w:rPr>
                <w:rFonts w:ascii="DejaVuSans-Bold" w:hAnsi="DejaVuSans-Bold" w:cs="DejaVuSans-Bold"/>
                <w:color w:val="000000"/>
                <w:sz w:val="18"/>
                <w:szCs w:val="18"/>
              </w:rPr>
            </w:pPr>
            <w:r>
              <w:rPr>
                <w:rFonts w:ascii="DejaVuSans-Bold" w:hAnsi="DejaVuSans-Bold" w:cs="DejaVuSans-Bold"/>
                <w:sz w:val="18"/>
                <w:szCs w:val="18"/>
              </w:rPr>
              <w:t>Ashok Raj Path, PATNA 800 005 (Bihar), India</w:t>
            </w:r>
          </w:p>
        </w:tc>
      </w:tr>
      <w:tr w:rsidR="00E948FF" w:rsidTr="00185800">
        <w:trPr>
          <w:cantSplit/>
          <w:trHeight w:val="2"/>
        </w:trPr>
        <w:tc>
          <w:tcPr>
            <w:tcW w:w="1319" w:type="dxa"/>
            <w:vMerge/>
            <w:vAlign w:val="center"/>
          </w:tcPr>
          <w:p w:rsidR="00E948FF" w:rsidRDefault="00E948FF" w:rsidP="00185800">
            <w:pPr>
              <w:rPr>
                <w:rFonts w:ascii="DejaVuSans-Bold" w:hAnsi="DejaVuSans-Bold" w:cs="DejaVuSans-Bold"/>
                <w:b/>
                <w:bCs/>
                <w:color w:val="000000"/>
              </w:rPr>
            </w:pPr>
          </w:p>
        </w:tc>
        <w:tc>
          <w:tcPr>
            <w:tcW w:w="8234" w:type="dxa"/>
          </w:tcPr>
          <w:p w:rsidR="00E948FF" w:rsidRDefault="00E948FF" w:rsidP="00185800">
            <w:pPr>
              <w:spacing w:before="60"/>
              <w:rPr>
                <w:rFonts w:ascii="Arial Narrow" w:hAnsi="Arial Narrow"/>
                <w:bCs/>
                <w:sz w:val="16"/>
                <w:szCs w:val="16"/>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-1007110</wp:posOffset>
                      </wp:positionH>
                      <wp:positionV relativeFrom="paragraph">
                        <wp:posOffset>236219</wp:posOffset>
                      </wp:positionV>
                      <wp:extent cx="6219825" cy="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C08F9"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" strokeweight="4.5pt">
                      <v:stroke linestyle="thickThin"/>
                    </v:line>
                  </w:pict>
                </mc:Fallback>
              </mc:AlternateContent>
            </w:r>
            <w:r>
              <w:rPr>
                <w:rFonts w:ascii="Arial Narrow" w:hAnsi="Arial Narrow"/>
                <w:bCs/>
                <w:sz w:val="16"/>
                <w:szCs w:val="16"/>
              </w:rPr>
              <w:t xml:space="preserve">     Phone No.: 0612 – 2372715, 2370419, 2370843, 2371929, 2371930, 2371715 Fax – 0612- 2670631 Website: </w:t>
            </w:r>
            <w:hyperlink r:id="rId9" w:history="1">
              <w:r>
                <w:rPr>
                  <w:rStyle w:val="Hyperlink"/>
                  <w:rFonts w:ascii="Arial Narrow" w:eastAsiaTheme="majorEastAsia" w:hAnsi="Arial Narrow"/>
                  <w:sz w:val="16"/>
                  <w:szCs w:val="16"/>
                </w:rPr>
                <w:t>www.nitp.ac.in</w:t>
              </w:r>
            </w:hyperlink>
          </w:p>
          <w:p w:rsidR="00E948FF" w:rsidRDefault="00E948FF" w:rsidP="00185800">
            <w:pPr>
              <w:jc w:val="center"/>
              <w:rPr>
                <w:rFonts w:ascii="Arial Narrow" w:hAnsi="Arial Narrow"/>
                <w:b/>
              </w:rPr>
            </w:pPr>
            <w:r>
              <w:rPr>
                <w:rFonts w:ascii="Arial Narrow" w:hAnsi="Arial Narrow"/>
                <w:b/>
              </w:rPr>
              <w:t xml:space="preserve"> </w:t>
            </w:r>
          </w:p>
        </w:tc>
      </w:tr>
    </w:tbl>
    <w:p w:rsidR="00E948FF" w:rsidRDefault="00E948FF" w:rsidP="00E948FF">
      <w:pPr>
        <w:rPr>
          <w:rFonts w:ascii="Arial" w:hAnsi="Arial" w:cs="Arial"/>
          <w:b/>
          <w:i/>
          <w:spacing w:val="-3"/>
          <w:sz w:val="28"/>
          <w:szCs w:val="28"/>
        </w:rPr>
      </w:pPr>
    </w:p>
    <w:p w:rsidR="00E948FF" w:rsidRDefault="00E948FF" w:rsidP="00E948FF">
      <w:pPr>
        <w:rPr>
          <w:rFonts w:ascii="Arial" w:hAnsi="Arial" w:cs="Arial"/>
          <w:b/>
          <w:i/>
          <w:spacing w:val="-3"/>
          <w:sz w:val="28"/>
          <w:szCs w:val="28"/>
        </w:rPr>
      </w:pPr>
    </w:p>
    <w:p w:rsidR="00106FE0" w:rsidRDefault="00106FE0" w:rsidP="00E948FF"/>
    <w:p w:rsidR="00E948FF" w:rsidRDefault="00E948FF" w:rsidP="00E948FF"/>
    <w:p w:rsidR="00E948FF" w:rsidRDefault="00E948FF" w:rsidP="00E948FF"/>
    <w:p w:rsidR="00E948FF" w:rsidRPr="00713EE9" w:rsidRDefault="00E948FF" w:rsidP="00E948FF">
      <w:pPr>
        <w:rPr>
          <w:sz w:val="28"/>
          <w:szCs w:val="28"/>
        </w:rPr>
      </w:pPr>
    </w:p>
    <w:p w:rsidR="00713EE9" w:rsidRPr="00A76155" w:rsidRDefault="007401F5" w:rsidP="00713EE9">
      <w:pPr>
        <w:spacing w:line="276" w:lineRule="auto"/>
        <w:rPr>
          <w:rFonts w:ascii="Arial" w:hAnsi="Arial" w:cs="Arial"/>
          <w:b/>
          <w:i/>
          <w:sz w:val="28"/>
          <w:szCs w:val="28"/>
        </w:rPr>
      </w:pPr>
      <w:r w:rsidRPr="007401F5">
        <w:rPr>
          <w:rFonts w:ascii="Arial" w:eastAsia="Calibri Light" w:hAnsi="Arial" w:cs="Arial"/>
          <w:b/>
          <w:i/>
          <w:spacing w:val="-3"/>
          <w:sz w:val="28"/>
          <w:szCs w:val="28"/>
        </w:rPr>
        <w:t>CS64</w:t>
      </w:r>
      <w:r w:rsidR="00F77041">
        <w:rPr>
          <w:rFonts w:ascii="Arial" w:eastAsia="Calibri Light" w:hAnsi="Arial" w:cs="Arial"/>
          <w:b/>
          <w:i/>
          <w:spacing w:val="-3"/>
          <w:sz w:val="28"/>
          <w:szCs w:val="28"/>
        </w:rPr>
        <w:t>02</w:t>
      </w:r>
      <w:r w:rsidR="00713EE9">
        <w:rPr>
          <w:rFonts w:ascii="Arial" w:eastAsia="Calibri Light" w:hAnsi="Arial" w:cs="Arial"/>
          <w:b/>
          <w:i/>
          <w:spacing w:val="-3"/>
          <w:sz w:val="28"/>
          <w:szCs w:val="28"/>
        </w:rPr>
        <w:tab/>
      </w:r>
      <w:r w:rsidRPr="007401F5">
        <w:rPr>
          <w:rFonts w:ascii="Arial" w:eastAsia="Calibri Light" w:hAnsi="Arial" w:cs="Arial"/>
          <w:b/>
          <w:i/>
          <w:spacing w:val="-1"/>
          <w:sz w:val="28"/>
          <w:szCs w:val="28"/>
        </w:rPr>
        <w:t>Software Engineering</w:t>
      </w:r>
    </w:p>
    <w:p w:rsidR="00713EE9" w:rsidRPr="00A76155" w:rsidRDefault="00713EE9" w:rsidP="00713EE9">
      <w:pPr>
        <w:spacing w:line="276" w:lineRule="auto"/>
        <w:rPr>
          <w:rFonts w:ascii="Arial" w:hAnsi="Arial" w:cs="Arial"/>
          <w:sz w:val="24"/>
          <w:szCs w:val="24"/>
        </w:rPr>
      </w:pPr>
    </w:p>
    <w:p w:rsidR="00713EE9" w:rsidRPr="00B66FD9" w:rsidRDefault="00713EE9" w:rsidP="00B66FD9">
      <w:pPr>
        <w:spacing w:line="276" w:lineRule="auto"/>
        <w:rPr>
          <w:rFonts w:eastAsia="Calibri"/>
          <w:b/>
          <w:sz w:val="24"/>
          <w:szCs w:val="24"/>
        </w:rPr>
      </w:pPr>
      <w:r w:rsidRPr="00B66FD9">
        <w:rPr>
          <w:rFonts w:eastAsia="Calibri"/>
          <w:b/>
          <w:sz w:val="24"/>
          <w:szCs w:val="24"/>
        </w:rPr>
        <w:t>L-</w:t>
      </w:r>
      <w:r w:rsidRPr="00B66FD9">
        <w:rPr>
          <w:rFonts w:eastAsia="Calibri"/>
          <w:b/>
          <w:spacing w:val="1"/>
          <w:sz w:val="24"/>
          <w:szCs w:val="24"/>
        </w:rPr>
        <w:t>T</w:t>
      </w:r>
      <w:r w:rsidRPr="00B66FD9">
        <w:rPr>
          <w:rFonts w:eastAsia="Calibri"/>
          <w:b/>
          <w:sz w:val="24"/>
          <w:szCs w:val="24"/>
        </w:rPr>
        <w:t>-P-</w:t>
      </w:r>
      <w:r w:rsidRPr="00B66FD9">
        <w:rPr>
          <w:rFonts w:eastAsia="Calibri"/>
          <w:b/>
          <w:spacing w:val="-2"/>
          <w:sz w:val="24"/>
          <w:szCs w:val="24"/>
        </w:rPr>
        <w:t>C</w:t>
      </w:r>
      <w:r w:rsidRPr="00B66FD9">
        <w:rPr>
          <w:rFonts w:eastAsia="Calibri"/>
          <w:b/>
          <w:spacing w:val="1"/>
          <w:sz w:val="24"/>
          <w:szCs w:val="24"/>
        </w:rPr>
        <w:t>r</w:t>
      </w:r>
      <w:r w:rsidRPr="00B66FD9">
        <w:rPr>
          <w:rFonts w:eastAsia="Calibri"/>
          <w:b/>
          <w:sz w:val="24"/>
          <w:szCs w:val="24"/>
        </w:rPr>
        <w:t>:</w:t>
      </w:r>
      <w:r w:rsidRPr="00B66FD9">
        <w:rPr>
          <w:rFonts w:eastAsia="Calibri"/>
          <w:b/>
          <w:spacing w:val="-1"/>
          <w:sz w:val="24"/>
          <w:szCs w:val="24"/>
        </w:rPr>
        <w:t xml:space="preserve"> </w:t>
      </w:r>
      <w:r w:rsidR="007401F5" w:rsidRPr="007401F5">
        <w:rPr>
          <w:rFonts w:eastAsia="Calibri"/>
          <w:b/>
          <w:spacing w:val="1"/>
          <w:sz w:val="24"/>
          <w:szCs w:val="24"/>
        </w:rPr>
        <w:t>3–</w:t>
      </w:r>
      <w:r w:rsidR="000E7A76">
        <w:rPr>
          <w:rFonts w:eastAsia="Calibri"/>
          <w:b/>
          <w:spacing w:val="1"/>
          <w:sz w:val="24"/>
          <w:szCs w:val="24"/>
        </w:rPr>
        <w:t>0</w:t>
      </w:r>
      <w:r w:rsidR="007401F5" w:rsidRPr="007401F5">
        <w:rPr>
          <w:rFonts w:eastAsia="Calibri"/>
          <w:b/>
          <w:spacing w:val="1"/>
          <w:sz w:val="24"/>
          <w:szCs w:val="24"/>
        </w:rPr>
        <w:t>–0-</w:t>
      </w:r>
      <w:r w:rsidR="002E149E">
        <w:rPr>
          <w:rFonts w:eastAsia="Calibri"/>
          <w:b/>
          <w:spacing w:val="1"/>
          <w:sz w:val="24"/>
          <w:szCs w:val="24"/>
        </w:rPr>
        <w:t>3</w:t>
      </w:r>
      <w:bookmarkStart w:id="0" w:name="_GoBack"/>
      <w:bookmarkEnd w:id="0"/>
    </w:p>
    <w:p w:rsidR="00713EE9" w:rsidRPr="00B66FD9" w:rsidRDefault="00713EE9" w:rsidP="00B66FD9">
      <w:pPr>
        <w:spacing w:line="276" w:lineRule="auto"/>
        <w:rPr>
          <w:rFonts w:eastAsia="Calibri"/>
          <w:b/>
          <w:sz w:val="24"/>
          <w:szCs w:val="24"/>
        </w:rPr>
      </w:pPr>
    </w:p>
    <w:p w:rsidR="00713EE9" w:rsidRPr="00B66FD9" w:rsidRDefault="00713EE9" w:rsidP="00B66FD9">
      <w:pPr>
        <w:spacing w:line="276" w:lineRule="auto"/>
        <w:jc w:val="both"/>
        <w:rPr>
          <w:rFonts w:eastAsia="Calibri"/>
          <w:sz w:val="24"/>
          <w:szCs w:val="24"/>
        </w:rPr>
      </w:pPr>
      <w:r w:rsidRPr="00B66FD9">
        <w:rPr>
          <w:rFonts w:eastAsia="Calibri"/>
          <w:b/>
          <w:sz w:val="24"/>
          <w:szCs w:val="24"/>
        </w:rPr>
        <w:t xml:space="preserve">Pre-requisites: </w:t>
      </w:r>
      <w:r w:rsidR="007401F5" w:rsidRPr="00B86FDC">
        <w:rPr>
          <w:sz w:val="24"/>
          <w:szCs w:val="24"/>
        </w:rPr>
        <w:t>Basic knowledge of programming concepts.</w:t>
      </w:r>
    </w:p>
    <w:p w:rsidR="00713EE9" w:rsidRPr="00B66FD9" w:rsidRDefault="00713EE9" w:rsidP="00B66FD9">
      <w:pPr>
        <w:spacing w:line="276" w:lineRule="auto"/>
        <w:jc w:val="both"/>
        <w:rPr>
          <w:rFonts w:eastAsia="Calibri"/>
          <w:sz w:val="24"/>
          <w:szCs w:val="24"/>
        </w:rPr>
      </w:pPr>
    </w:p>
    <w:p w:rsidR="00713EE9" w:rsidRPr="00B66FD9" w:rsidRDefault="00713EE9" w:rsidP="00B66FD9">
      <w:pPr>
        <w:autoSpaceDE w:val="0"/>
        <w:spacing w:line="276" w:lineRule="auto"/>
        <w:rPr>
          <w:rFonts w:eastAsia="Verdana"/>
          <w:b/>
          <w:sz w:val="24"/>
          <w:szCs w:val="24"/>
        </w:rPr>
      </w:pPr>
      <w:r w:rsidRPr="00B66FD9">
        <w:rPr>
          <w:rFonts w:eastAsia="Verdana"/>
          <w:b/>
          <w:sz w:val="24"/>
          <w:szCs w:val="24"/>
        </w:rPr>
        <w:t>Course/Overviews:</w:t>
      </w:r>
    </w:p>
    <w:p w:rsidR="00713EE9" w:rsidRDefault="007401F5" w:rsidP="007401F5">
      <w:pPr>
        <w:spacing w:line="276" w:lineRule="auto"/>
        <w:jc w:val="both"/>
        <w:rPr>
          <w:rFonts w:eastAsia="Calibri"/>
          <w:color w:val="000000"/>
          <w:sz w:val="24"/>
          <w:szCs w:val="24"/>
        </w:rPr>
      </w:pPr>
      <w:r w:rsidRPr="007401F5">
        <w:rPr>
          <w:rFonts w:eastAsia="Calibri"/>
          <w:color w:val="000000"/>
          <w:sz w:val="24"/>
          <w:szCs w:val="24"/>
        </w:rPr>
        <w:t>The main purpose of this course is to impart knowledge on the principles of software engineering, software design, professional ethics, make aware of the organisation and team structures, Software Quality metrics and Management</w:t>
      </w:r>
    </w:p>
    <w:p w:rsidR="007401F5" w:rsidRPr="007401F5" w:rsidRDefault="007401F5" w:rsidP="007401F5">
      <w:pPr>
        <w:spacing w:line="276" w:lineRule="auto"/>
        <w:jc w:val="both"/>
        <w:rPr>
          <w:rFonts w:eastAsia="Calibri"/>
          <w:sz w:val="24"/>
          <w:szCs w:val="24"/>
        </w:rPr>
      </w:pPr>
    </w:p>
    <w:p w:rsidR="00713EE9" w:rsidRPr="00B66FD9" w:rsidRDefault="00713EE9" w:rsidP="00B66FD9">
      <w:pPr>
        <w:spacing w:line="276" w:lineRule="auto"/>
        <w:jc w:val="both"/>
        <w:rPr>
          <w:rFonts w:eastAsia="Calibri"/>
          <w:b/>
          <w:sz w:val="24"/>
          <w:szCs w:val="24"/>
        </w:rPr>
      </w:pPr>
      <w:r w:rsidRPr="00B66FD9">
        <w:rPr>
          <w:rFonts w:eastAsia="Calibri"/>
          <w:b/>
          <w:sz w:val="24"/>
          <w:szCs w:val="24"/>
        </w:rPr>
        <w:t>Course Outcomes:</w:t>
      </w:r>
    </w:p>
    <w:p w:rsidR="00713EE9" w:rsidRPr="00B66FD9" w:rsidRDefault="00713EE9" w:rsidP="00B66FD9">
      <w:pPr>
        <w:spacing w:line="276" w:lineRule="auto"/>
        <w:jc w:val="both"/>
        <w:rPr>
          <w:rFonts w:eastAsia="Calibri"/>
          <w:sz w:val="24"/>
          <w:szCs w:val="24"/>
        </w:rPr>
      </w:pPr>
      <w:r w:rsidRPr="00B66FD9">
        <w:rPr>
          <w:rFonts w:eastAsia="Calibri"/>
          <w:sz w:val="24"/>
          <w:szCs w:val="24"/>
        </w:rPr>
        <w:t>At the end of the course, a student should:</w:t>
      </w:r>
    </w:p>
    <w:p w:rsidR="00713EE9" w:rsidRPr="00B66FD9" w:rsidRDefault="00713EE9" w:rsidP="00B66FD9">
      <w:pPr>
        <w:spacing w:line="276" w:lineRule="auto"/>
        <w:jc w:val="both"/>
        <w:rPr>
          <w:rFonts w:eastAsia="Calibri"/>
          <w:sz w:val="24"/>
          <w:szCs w:val="24"/>
        </w:rPr>
      </w:pPr>
    </w:p>
    <w:p w:rsidR="007401F5" w:rsidRPr="007401F5" w:rsidRDefault="007401F5" w:rsidP="007401F5">
      <w:pPr>
        <w:spacing w:line="276" w:lineRule="auto"/>
        <w:rPr>
          <w:b/>
          <w:color w:val="000000"/>
          <w:sz w:val="24"/>
          <w:szCs w:val="24"/>
          <w:lang w:val="en-IN"/>
        </w:rPr>
      </w:pPr>
    </w:p>
    <w:tbl>
      <w:tblPr>
        <w:tblStyle w:val="TableGrid"/>
        <w:tblW w:w="10615" w:type="dxa"/>
        <w:tblLook w:val="04A0" w:firstRow="1" w:lastRow="0" w:firstColumn="1" w:lastColumn="0" w:noHBand="0" w:noVBand="1"/>
      </w:tblPr>
      <w:tblGrid>
        <w:gridCol w:w="1271"/>
        <w:gridCol w:w="6620"/>
        <w:gridCol w:w="2724"/>
      </w:tblGrid>
      <w:tr w:rsidR="007401F5" w:rsidRPr="007401F5" w:rsidTr="007401F5">
        <w:trPr>
          <w:trHeight w:val="300"/>
        </w:trPr>
        <w:tc>
          <w:tcPr>
            <w:tcW w:w="1271" w:type="dxa"/>
          </w:tcPr>
          <w:p w:rsidR="007401F5" w:rsidRPr="007401F5" w:rsidRDefault="007401F5" w:rsidP="007401F5">
            <w:pPr>
              <w:spacing w:line="276" w:lineRule="auto"/>
              <w:rPr>
                <w:b/>
                <w:color w:val="000000"/>
                <w:sz w:val="24"/>
                <w:szCs w:val="24"/>
                <w:lang w:val="en-IN"/>
              </w:rPr>
            </w:pPr>
            <w:r>
              <w:rPr>
                <w:b/>
                <w:color w:val="000000"/>
                <w:sz w:val="24"/>
                <w:szCs w:val="24"/>
                <w:lang w:val="en-IN"/>
              </w:rPr>
              <w:t>Sl.</w:t>
            </w:r>
            <w:r w:rsidRPr="007401F5">
              <w:rPr>
                <w:b/>
                <w:color w:val="000000"/>
                <w:sz w:val="24"/>
                <w:szCs w:val="24"/>
                <w:lang w:val="en-IN"/>
              </w:rPr>
              <w:t xml:space="preserve"> No:</w:t>
            </w:r>
          </w:p>
        </w:tc>
        <w:tc>
          <w:tcPr>
            <w:tcW w:w="6620" w:type="dxa"/>
            <w:noWrap/>
            <w:hideMark/>
          </w:tcPr>
          <w:p w:rsidR="007401F5" w:rsidRPr="007401F5" w:rsidRDefault="007401F5" w:rsidP="007401F5">
            <w:pPr>
              <w:spacing w:line="276" w:lineRule="auto"/>
              <w:rPr>
                <w:b/>
                <w:color w:val="000000"/>
                <w:sz w:val="24"/>
                <w:szCs w:val="24"/>
                <w:lang w:val="en-IN"/>
              </w:rPr>
            </w:pPr>
            <w:r w:rsidRPr="007401F5">
              <w:rPr>
                <w:b/>
                <w:color w:val="000000"/>
                <w:sz w:val="24"/>
                <w:szCs w:val="24"/>
                <w:lang w:val="en-IN"/>
              </w:rPr>
              <w:t xml:space="preserve">Outcomes </w:t>
            </w:r>
          </w:p>
        </w:tc>
        <w:tc>
          <w:tcPr>
            <w:tcW w:w="2724" w:type="dxa"/>
            <w:noWrap/>
            <w:hideMark/>
          </w:tcPr>
          <w:p w:rsidR="007401F5" w:rsidRPr="007401F5" w:rsidRDefault="007401F5" w:rsidP="007401F5">
            <w:pPr>
              <w:spacing w:line="276" w:lineRule="auto"/>
              <w:rPr>
                <w:b/>
                <w:color w:val="000000"/>
                <w:sz w:val="24"/>
                <w:szCs w:val="24"/>
                <w:lang w:val="en-IN"/>
              </w:rPr>
            </w:pPr>
            <w:r w:rsidRPr="007401F5">
              <w:rPr>
                <w:b/>
                <w:color w:val="000000"/>
                <w:sz w:val="24"/>
                <w:szCs w:val="24"/>
                <w:lang w:val="en-IN"/>
              </w:rPr>
              <w:t xml:space="preserve">Program Outcomes </w:t>
            </w:r>
          </w:p>
        </w:tc>
      </w:tr>
      <w:tr w:rsidR="007401F5" w:rsidRPr="007401F5" w:rsidTr="007401F5">
        <w:trPr>
          <w:trHeight w:val="300"/>
        </w:trPr>
        <w:tc>
          <w:tcPr>
            <w:tcW w:w="1271" w:type="dxa"/>
          </w:tcPr>
          <w:p w:rsidR="007401F5" w:rsidRPr="007401F5" w:rsidRDefault="007401F5" w:rsidP="007401F5">
            <w:pPr>
              <w:numPr>
                <w:ilvl w:val="0"/>
                <w:numId w:val="15"/>
              </w:numPr>
              <w:spacing w:line="276" w:lineRule="auto"/>
              <w:rPr>
                <w:color w:val="000000"/>
                <w:sz w:val="24"/>
                <w:szCs w:val="24"/>
                <w:lang w:val="en-IN"/>
              </w:rPr>
            </w:pPr>
          </w:p>
        </w:tc>
        <w:tc>
          <w:tcPr>
            <w:tcW w:w="6620" w:type="dxa"/>
            <w:noWrap/>
            <w:hideMark/>
          </w:tcPr>
          <w:p w:rsidR="007401F5" w:rsidRPr="007401F5" w:rsidRDefault="007401F5" w:rsidP="007401F5">
            <w:pPr>
              <w:spacing w:line="276" w:lineRule="auto"/>
              <w:rPr>
                <w:color w:val="000000"/>
                <w:sz w:val="24"/>
                <w:szCs w:val="24"/>
                <w:lang w:val="en-IN"/>
              </w:rPr>
            </w:pPr>
            <w:r w:rsidRPr="007401F5">
              <w:rPr>
                <w:color w:val="000000"/>
                <w:sz w:val="24"/>
                <w:szCs w:val="24"/>
                <w:lang w:val="en-IN"/>
              </w:rPr>
              <w:t xml:space="preserve">Students demonstrate the ability to develop a high quality software system while working in a project group. </w:t>
            </w:r>
          </w:p>
        </w:tc>
        <w:tc>
          <w:tcPr>
            <w:tcW w:w="2724" w:type="dxa"/>
            <w:noWrap/>
          </w:tcPr>
          <w:p w:rsidR="007401F5" w:rsidRPr="007401F5" w:rsidRDefault="007401F5" w:rsidP="007401F5">
            <w:pPr>
              <w:spacing w:line="276" w:lineRule="auto"/>
              <w:rPr>
                <w:color w:val="000000"/>
                <w:sz w:val="24"/>
                <w:szCs w:val="24"/>
                <w:lang w:val="en-IN"/>
              </w:rPr>
            </w:pPr>
            <w:r w:rsidRPr="007401F5">
              <w:rPr>
                <w:color w:val="000000"/>
                <w:sz w:val="24"/>
                <w:szCs w:val="24"/>
                <w:lang w:val="en-IN"/>
              </w:rPr>
              <w:t>PO-4</w:t>
            </w:r>
          </w:p>
        </w:tc>
      </w:tr>
      <w:tr w:rsidR="007401F5" w:rsidRPr="007401F5" w:rsidTr="007401F5">
        <w:trPr>
          <w:trHeight w:val="300"/>
        </w:trPr>
        <w:tc>
          <w:tcPr>
            <w:tcW w:w="1271" w:type="dxa"/>
          </w:tcPr>
          <w:p w:rsidR="007401F5" w:rsidRPr="007401F5" w:rsidRDefault="007401F5" w:rsidP="007401F5">
            <w:pPr>
              <w:numPr>
                <w:ilvl w:val="0"/>
                <w:numId w:val="15"/>
              </w:numPr>
              <w:spacing w:line="276" w:lineRule="auto"/>
              <w:rPr>
                <w:color w:val="000000"/>
                <w:sz w:val="24"/>
                <w:szCs w:val="24"/>
                <w:lang w:val="en-IN"/>
              </w:rPr>
            </w:pPr>
          </w:p>
        </w:tc>
        <w:tc>
          <w:tcPr>
            <w:tcW w:w="6620" w:type="dxa"/>
            <w:noWrap/>
            <w:hideMark/>
          </w:tcPr>
          <w:p w:rsidR="007401F5" w:rsidRPr="007401F5" w:rsidRDefault="007401F5" w:rsidP="007401F5">
            <w:pPr>
              <w:spacing w:line="276" w:lineRule="auto"/>
              <w:rPr>
                <w:color w:val="000000"/>
                <w:sz w:val="24"/>
                <w:szCs w:val="24"/>
                <w:lang w:val="en-IN"/>
              </w:rPr>
            </w:pPr>
            <w:r w:rsidRPr="007401F5">
              <w:rPr>
                <w:color w:val="000000"/>
                <w:sz w:val="24"/>
                <w:szCs w:val="24"/>
                <w:lang w:val="en-IN"/>
              </w:rPr>
              <w:t xml:space="preserve">Students have the ability to identify software development needs and challenges that require various engineering solutions, and formulate such solutions. </w:t>
            </w:r>
          </w:p>
        </w:tc>
        <w:tc>
          <w:tcPr>
            <w:tcW w:w="2724" w:type="dxa"/>
            <w:noWrap/>
          </w:tcPr>
          <w:p w:rsidR="007401F5" w:rsidRPr="007401F5" w:rsidRDefault="007401F5" w:rsidP="007401F5">
            <w:pPr>
              <w:spacing w:line="276" w:lineRule="auto"/>
              <w:rPr>
                <w:color w:val="000000"/>
                <w:sz w:val="24"/>
                <w:szCs w:val="24"/>
                <w:lang w:val="en-IN"/>
              </w:rPr>
            </w:pPr>
            <w:r w:rsidRPr="007401F5">
              <w:rPr>
                <w:color w:val="000000"/>
                <w:sz w:val="24"/>
                <w:szCs w:val="24"/>
                <w:lang w:val="en-IN"/>
              </w:rPr>
              <w:t>PO-7</w:t>
            </w:r>
          </w:p>
        </w:tc>
      </w:tr>
      <w:tr w:rsidR="007401F5" w:rsidRPr="007401F5" w:rsidTr="007401F5">
        <w:trPr>
          <w:trHeight w:val="300"/>
        </w:trPr>
        <w:tc>
          <w:tcPr>
            <w:tcW w:w="1271" w:type="dxa"/>
          </w:tcPr>
          <w:p w:rsidR="007401F5" w:rsidRPr="007401F5" w:rsidRDefault="007401F5" w:rsidP="007401F5">
            <w:pPr>
              <w:numPr>
                <w:ilvl w:val="0"/>
                <w:numId w:val="15"/>
              </w:numPr>
              <w:spacing w:line="276" w:lineRule="auto"/>
              <w:rPr>
                <w:color w:val="000000"/>
                <w:sz w:val="24"/>
                <w:szCs w:val="24"/>
                <w:lang w:val="en-IN"/>
              </w:rPr>
            </w:pPr>
          </w:p>
        </w:tc>
        <w:tc>
          <w:tcPr>
            <w:tcW w:w="6620" w:type="dxa"/>
            <w:noWrap/>
            <w:hideMark/>
          </w:tcPr>
          <w:p w:rsidR="007401F5" w:rsidRPr="007401F5" w:rsidRDefault="007401F5" w:rsidP="007401F5">
            <w:pPr>
              <w:spacing w:line="276" w:lineRule="auto"/>
              <w:rPr>
                <w:color w:val="000000"/>
                <w:sz w:val="24"/>
                <w:szCs w:val="24"/>
                <w:lang w:val="en-IN"/>
              </w:rPr>
            </w:pPr>
            <w:r w:rsidRPr="007401F5">
              <w:rPr>
                <w:color w:val="000000"/>
                <w:sz w:val="24"/>
                <w:szCs w:val="24"/>
                <w:lang w:val="en-IN"/>
              </w:rPr>
              <w:t>Students have a thorough understanding of professional, ethical and social responsibilities</w:t>
            </w:r>
          </w:p>
        </w:tc>
        <w:tc>
          <w:tcPr>
            <w:tcW w:w="2724" w:type="dxa"/>
            <w:noWrap/>
          </w:tcPr>
          <w:p w:rsidR="007401F5" w:rsidRPr="007401F5" w:rsidRDefault="007401F5" w:rsidP="007401F5">
            <w:pPr>
              <w:spacing w:line="276" w:lineRule="auto"/>
              <w:rPr>
                <w:color w:val="000000"/>
                <w:sz w:val="24"/>
                <w:szCs w:val="24"/>
                <w:lang w:val="en-IN"/>
              </w:rPr>
            </w:pPr>
            <w:r w:rsidRPr="007401F5">
              <w:rPr>
                <w:color w:val="000000"/>
                <w:sz w:val="24"/>
                <w:szCs w:val="24"/>
                <w:lang w:val="en-IN"/>
              </w:rPr>
              <w:t>PO-8, PO-10</w:t>
            </w:r>
          </w:p>
        </w:tc>
      </w:tr>
      <w:tr w:rsidR="007401F5" w:rsidRPr="007401F5" w:rsidTr="007401F5">
        <w:trPr>
          <w:trHeight w:val="300"/>
        </w:trPr>
        <w:tc>
          <w:tcPr>
            <w:tcW w:w="1271" w:type="dxa"/>
          </w:tcPr>
          <w:p w:rsidR="007401F5" w:rsidRPr="007401F5" w:rsidRDefault="007401F5" w:rsidP="007401F5">
            <w:pPr>
              <w:numPr>
                <w:ilvl w:val="0"/>
                <w:numId w:val="15"/>
              </w:numPr>
              <w:spacing w:line="276" w:lineRule="auto"/>
              <w:rPr>
                <w:color w:val="000000"/>
                <w:sz w:val="24"/>
                <w:szCs w:val="24"/>
                <w:lang w:val="en-IN"/>
              </w:rPr>
            </w:pPr>
          </w:p>
        </w:tc>
        <w:tc>
          <w:tcPr>
            <w:tcW w:w="6620" w:type="dxa"/>
            <w:noWrap/>
            <w:hideMark/>
          </w:tcPr>
          <w:p w:rsidR="007401F5" w:rsidRPr="007401F5" w:rsidRDefault="007401F5" w:rsidP="007401F5">
            <w:pPr>
              <w:spacing w:line="276" w:lineRule="auto"/>
              <w:rPr>
                <w:color w:val="000000"/>
                <w:sz w:val="24"/>
                <w:szCs w:val="24"/>
                <w:lang w:val="en-IN"/>
              </w:rPr>
            </w:pPr>
            <w:r w:rsidRPr="007401F5">
              <w:rPr>
                <w:color w:val="000000"/>
                <w:sz w:val="24"/>
                <w:szCs w:val="24"/>
                <w:lang w:val="en-IN"/>
              </w:rPr>
              <w:t xml:space="preserve">Students are able to analyze the impact of computing and engineering solutions on individuals, organizations, and society </w:t>
            </w:r>
          </w:p>
        </w:tc>
        <w:tc>
          <w:tcPr>
            <w:tcW w:w="2724" w:type="dxa"/>
            <w:noWrap/>
          </w:tcPr>
          <w:p w:rsidR="007401F5" w:rsidRPr="007401F5" w:rsidRDefault="007401F5" w:rsidP="007401F5">
            <w:pPr>
              <w:spacing w:line="276" w:lineRule="auto"/>
              <w:rPr>
                <w:color w:val="000000"/>
                <w:sz w:val="24"/>
                <w:szCs w:val="24"/>
                <w:lang w:val="en-IN"/>
              </w:rPr>
            </w:pPr>
            <w:r w:rsidRPr="007401F5">
              <w:rPr>
                <w:color w:val="000000"/>
                <w:sz w:val="24"/>
                <w:szCs w:val="24"/>
                <w:lang w:val="en-IN"/>
              </w:rPr>
              <w:t>PO-11</w:t>
            </w:r>
          </w:p>
        </w:tc>
      </w:tr>
      <w:tr w:rsidR="007401F5" w:rsidRPr="007401F5" w:rsidTr="007401F5">
        <w:trPr>
          <w:trHeight w:val="300"/>
        </w:trPr>
        <w:tc>
          <w:tcPr>
            <w:tcW w:w="1271" w:type="dxa"/>
          </w:tcPr>
          <w:p w:rsidR="007401F5" w:rsidRPr="007401F5" w:rsidRDefault="007401F5" w:rsidP="007401F5">
            <w:pPr>
              <w:numPr>
                <w:ilvl w:val="0"/>
                <w:numId w:val="15"/>
              </w:numPr>
              <w:spacing w:line="276" w:lineRule="auto"/>
              <w:rPr>
                <w:color w:val="000000"/>
                <w:sz w:val="24"/>
                <w:szCs w:val="24"/>
                <w:lang w:val="en-IN"/>
              </w:rPr>
            </w:pPr>
          </w:p>
        </w:tc>
        <w:tc>
          <w:tcPr>
            <w:tcW w:w="6620" w:type="dxa"/>
            <w:noWrap/>
            <w:hideMark/>
          </w:tcPr>
          <w:p w:rsidR="007401F5" w:rsidRPr="007401F5" w:rsidRDefault="007401F5" w:rsidP="007401F5">
            <w:pPr>
              <w:spacing w:line="276" w:lineRule="auto"/>
              <w:rPr>
                <w:color w:val="000000"/>
                <w:sz w:val="24"/>
                <w:szCs w:val="24"/>
                <w:lang w:val="en-IN"/>
              </w:rPr>
            </w:pPr>
            <w:r w:rsidRPr="007401F5">
              <w:rPr>
                <w:color w:val="000000"/>
                <w:sz w:val="24"/>
                <w:szCs w:val="24"/>
                <w:lang w:val="en-IN"/>
              </w:rPr>
              <w:t xml:space="preserve">Students are capable to develop their software projects using modern engineering techniques and tools. </w:t>
            </w:r>
          </w:p>
        </w:tc>
        <w:tc>
          <w:tcPr>
            <w:tcW w:w="2724" w:type="dxa"/>
            <w:noWrap/>
          </w:tcPr>
          <w:p w:rsidR="007401F5" w:rsidRPr="007401F5" w:rsidRDefault="007401F5" w:rsidP="007401F5">
            <w:pPr>
              <w:spacing w:line="276" w:lineRule="auto"/>
              <w:rPr>
                <w:color w:val="000000"/>
                <w:sz w:val="24"/>
                <w:szCs w:val="24"/>
                <w:lang w:val="en-IN"/>
              </w:rPr>
            </w:pPr>
            <w:r w:rsidRPr="007401F5">
              <w:rPr>
                <w:color w:val="000000"/>
                <w:sz w:val="24"/>
                <w:szCs w:val="24"/>
                <w:lang w:val="en-IN"/>
              </w:rPr>
              <w:t>PO-12</w:t>
            </w:r>
          </w:p>
        </w:tc>
      </w:tr>
      <w:tr w:rsidR="007401F5" w:rsidRPr="007401F5" w:rsidTr="007401F5">
        <w:trPr>
          <w:trHeight w:val="300"/>
        </w:trPr>
        <w:tc>
          <w:tcPr>
            <w:tcW w:w="1271" w:type="dxa"/>
          </w:tcPr>
          <w:p w:rsidR="007401F5" w:rsidRPr="007401F5" w:rsidRDefault="007401F5" w:rsidP="007401F5">
            <w:pPr>
              <w:numPr>
                <w:ilvl w:val="0"/>
                <w:numId w:val="15"/>
              </w:numPr>
              <w:spacing w:line="276" w:lineRule="auto"/>
              <w:rPr>
                <w:color w:val="000000"/>
                <w:sz w:val="24"/>
                <w:szCs w:val="24"/>
                <w:lang w:val="en-IN"/>
              </w:rPr>
            </w:pPr>
          </w:p>
        </w:tc>
        <w:tc>
          <w:tcPr>
            <w:tcW w:w="6620" w:type="dxa"/>
            <w:noWrap/>
            <w:hideMark/>
          </w:tcPr>
          <w:p w:rsidR="007401F5" w:rsidRPr="007401F5" w:rsidRDefault="007401F5" w:rsidP="007401F5">
            <w:pPr>
              <w:spacing w:line="276" w:lineRule="auto"/>
              <w:rPr>
                <w:color w:val="000000"/>
                <w:sz w:val="24"/>
                <w:szCs w:val="24"/>
                <w:lang w:val="en-IN"/>
              </w:rPr>
            </w:pPr>
            <w:r w:rsidRPr="007401F5">
              <w:rPr>
                <w:color w:val="000000"/>
                <w:sz w:val="24"/>
                <w:szCs w:val="24"/>
                <w:lang w:val="en-IN"/>
              </w:rPr>
              <w:t xml:space="preserve">Students demonstrate the ability to apply a range of design and development principles in the construction of a software system. </w:t>
            </w:r>
          </w:p>
        </w:tc>
        <w:tc>
          <w:tcPr>
            <w:tcW w:w="2724" w:type="dxa"/>
            <w:noWrap/>
          </w:tcPr>
          <w:p w:rsidR="007401F5" w:rsidRPr="007401F5" w:rsidRDefault="007401F5" w:rsidP="007401F5">
            <w:pPr>
              <w:spacing w:line="276" w:lineRule="auto"/>
              <w:rPr>
                <w:color w:val="000000"/>
                <w:sz w:val="24"/>
                <w:szCs w:val="24"/>
                <w:lang w:val="en-IN"/>
              </w:rPr>
            </w:pPr>
            <w:r w:rsidRPr="007401F5">
              <w:rPr>
                <w:color w:val="000000"/>
                <w:sz w:val="24"/>
                <w:szCs w:val="24"/>
                <w:lang w:val="en-IN"/>
              </w:rPr>
              <w:t>PO-04</w:t>
            </w:r>
          </w:p>
        </w:tc>
      </w:tr>
    </w:tbl>
    <w:p w:rsidR="007401F5" w:rsidRPr="007401F5" w:rsidRDefault="007401F5" w:rsidP="007401F5">
      <w:pPr>
        <w:spacing w:line="276" w:lineRule="auto"/>
        <w:rPr>
          <w:b/>
          <w:color w:val="000000"/>
          <w:sz w:val="24"/>
          <w:szCs w:val="24"/>
          <w:lang w:val="en-IN"/>
        </w:rPr>
      </w:pPr>
    </w:p>
    <w:p w:rsidR="00713EE9" w:rsidRPr="00B66FD9" w:rsidRDefault="00713EE9" w:rsidP="00B66FD9">
      <w:pPr>
        <w:spacing w:line="276" w:lineRule="auto"/>
        <w:rPr>
          <w:b/>
          <w:color w:val="000000"/>
          <w:sz w:val="24"/>
          <w:szCs w:val="24"/>
        </w:rPr>
      </w:pP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UNIT I</w:t>
      </w:r>
      <w:r>
        <w:rPr>
          <w:rFonts w:eastAsia="Calibri"/>
          <w:b/>
          <w:color w:val="000000"/>
          <w:sz w:val="24"/>
          <w:szCs w:val="24"/>
        </w:rPr>
        <w:t>:</w:t>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sidRPr="00B86FDC">
        <w:rPr>
          <w:rFonts w:eastAsia="Calibri"/>
          <w:b/>
          <w:color w:val="000000"/>
          <w:sz w:val="24"/>
          <w:szCs w:val="24"/>
        </w:rPr>
        <w:t xml:space="preserve">Lectures: 10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Introduction: </w:t>
      </w:r>
      <w:r w:rsidRPr="00B86FDC">
        <w:rPr>
          <w:rFonts w:eastAsia="Calibri"/>
          <w:color w:val="000000"/>
          <w:sz w:val="24"/>
          <w:szCs w:val="24"/>
        </w:rPr>
        <w:t xml:space="preserve">S/W Engineering Discipline-Evolution and Impact, Program vs S/W Product, Emergence of S/W Engineering.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Software Life Cycle Models: </w:t>
      </w:r>
      <w:r w:rsidRPr="00B86FDC">
        <w:rPr>
          <w:rFonts w:eastAsia="Calibri"/>
          <w:color w:val="000000"/>
          <w:sz w:val="24"/>
          <w:szCs w:val="24"/>
        </w:rPr>
        <w:t xml:space="preserve">Waterfall, Prototyping, Evolutionary, Spiral models and their comparisons. </w:t>
      </w:r>
    </w:p>
    <w:p w:rsidR="007401F5" w:rsidRDefault="007401F5" w:rsidP="007401F5">
      <w:pPr>
        <w:ind w:left="270"/>
        <w:rPr>
          <w:rFonts w:eastAsia="Calibri"/>
          <w:color w:val="000000"/>
          <w:sz w:val="24"/>
          <w:szCs w:val="24"/>
        </w:rPr>
      </w:pPr>
      <w:r w:rsidRPr="00B86FDC">
        <w:rPr>
          <w:rFonts w:eastAsia="Calibri"/>
          <w:b/>
          <w:color w:val="000000"/>
          <w:sz w:val="24"/>
          <w:szCs w:val="24"/>
        </w:rPr>
        <w:t xml:space="preserve">Software Project Management: </w:t>
      </w:r>
      <w:r w:rsidRPr="00B86FDC">
        <w:rPr>
          <w:rFonts w:eastAsia="Calibri"/>
          <w:color w:val="000000"/>
          <w:sz w:val="24"/>
          <w:szCs w:val="24"/>
        </w:rPr>
        <w:t xml:space="preserve">Project Manager responsibilities, Project Planning, Project Size estimation Metrics, Project estimation Techniques, COCOMO, Staffing Level Estimation, Scheduling, Organization &amp; Team Structures, Staffing, Risk Management, S/W Configuration Management. </w:t>
      </w:r>
    </w:p>
    <w:p w:rsidR="007401F5" w:rsidRPr="00B86FDC" w:rsidRDefault="007401F5" w:rsidP="007401F5">
      <w:pPr>
        <w:ind w:left="270"/>
        <w:rPr>
          <w:rFonts w:eastAsia="Calibri"/>
          <w:color w:val="000000"/>
          <w:sz w:val="24"/>
          <w:szCs w:val="24"/>
        </w:rPr>
      </w:pPr>
    </w:p>
    <w:p w:rsidR="007401F5" w:rsidRPr="00B86FDC" w:rsidRDefault="007401F5" w:rsidP="007401F5">
      <w:pPr>
        <w:ind w:left="270"/>
        <w:rPr>
          <w:rFonts w:eastAsia="Calibri"/>
          <w:color w:val="000000"/>
          <w:sz w:val="24"/>
          <w:szCs w:val="24"/>
        </w:rPr>
      </w:pPr>
      <w:r>
        <w:rPr>
          <w:rFonts w:eastAsia="Calibri"/>
          <w:b/>
          <w:color w:val="000000"/>
          <w:sz w:val="24"/>
          <w:szCs w:val="24"/>
        </w:rPr>
        <w:t xml:space="preserve">UNIT II: </w:t>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sidRPr="00B86FDC">
        <w:rPr>
          <w:rFonts w:eastAsia="Calibri"/>
          <w:b/>
          <w:color w:val="000000"/>
          <w:sz w:val="24"/>
          <w:szCs w:val="24"/>
        </w:rPr>
        <w:t xml:space="preserve">Lectures: 11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Requirements Analysis and Specification: </w:t>
      </w:r>
      <w:r w:rsidRPr="00B86FDC">
        <w:rPr>
          <w:rFonts w:eastAsia="Calibri"/>
          <w:color w:val="000000"/>
          <w:sz w:val="24"/>
          <w:szCs w:val="24"/>
        </w:rPr>
        <w:t xml:space="preserve">Requirement Gathering and Analysis, SRS, Formal System Development Techniques, Axiomatic and Algebraic Specification.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Software Design: </w:t>
      </w:r>
      <w:r w:rsidRPr="00B86FDC">
        <w:rPr>
          <w:rFonts w:eastAsia="Calibri"/>
          <w:color w:val="000000"/>
          <w:sz w:val="24"/>
          <w:szCs w:val="24"/>
        </w:rPr>
        <w:t xml:space="preserve">Overview, Cohesion and Coupling, S/W Design Approaches, Object-Oriented vs. Function-Oriented Design. </w:t>
      </w:r>
    </w:p>
    <w:p w:rsidR="007401F5" w:rsidRDefault="007401F5" w:rsidP="007401F5">
      <w:pPr>
        <w:ind w:left="270"/>
        <w:rPr>
          <w:rFonts w:eastAsia="Calibri"/>
          <w:color w:val="000000"/>
          <w:sz w:val="24"/>
          <w:szCs w:val="24"/>
        </w:rPr>
      </w:pPr>
      <w:r w:rsidRPr="00B86FDC">
        <w:rPr>
          <w:rFonts w:eastAsia="Calibri"/>
          <w:b/>
          <w:color w:val="000000"/>
          <w:sz w:val="24"/>
          <w:szCs w:val="24"/>
        </w:rPr>
        <w:lastRenderedPageBreak/>
        <w:t xml:space="preserve">Function-Oriented S/W Design: </w:t>
      </w:r>
      <w:r w:rsidRPr="00B86FDC">
        <w:rPr>
          <w:rFonts w:eastAsia="Calibri"/>
          <w:color w:val="000000"/>
          <w:sz w:val="24"/>
          <w:szCs w:val="24"/>
        </w:rPr>
        <w:t xml:space="preserve">SA/SD Methodology, Structured Analysis, DFDs, Structured Design, Detailed Design, Design Preview. </w:t>
      </w:r>
    </w:p>
    <w:p w:rsidR="007401F5" w:rsidRPr="00B86FDC" w:rsidRDefault="007401F5" w:rsidP="007401F5">
      <w:pPr>
        <w:ind w:left="270"/>
        <w:rPr>
          <w:rFonts w:eastAsia="Calibri"/>
          <w:color w:val="000000"/>
          <w:sz w:val="24"/>
          <w:szCs w:val="24"/>
        </w:rPr>
      </w:pPr>
    </w:p>
    <w:p w:rsidR="007401F5" w:rsidRPr="00B86FDC" w:rsidRDefault="007401F5" w:rsidP="007401F5">
      <w:pPr>
        <w:ind w:left="270"/>
        <w:rPr>
          <w:rFonts w:eastAsia="Calibri"/>
          <w:color w:val="000000"/>
          <w:sz w:val="24"/>
          <w:szCs w:val="24"/>
        </w:rPr>
      </w:pPr>
      <w:r>
        <w:rPr>
          <w:rFonts w:eastAsia="Calibri"/>
          <w:b/>
          <w:color w:val="000000"/>
          <w:sz w:val="24"/>
          <w:szCs w:val="24"/>
        </w:rPr>
        <w:t>UNIT III:</w:t>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sidRPr="00B86FDC">
        <w:rPr>
          <w:rFonts w:eastAsia="Calibri"/>
          <w:b/>
          <w:color w:val="000000"/>
          <w:sz w:val="24"/>
          <w:szCs w:val="24"/>
        </w:rPr>
        <w:t xml:space="preserve">Lecture: 11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Object Modelling Using UML: </w:t>
      </w:r>
      <w:r w:rsidRPr="00B86FDC">
        <w:rPr>
          <w:rFonts w:eastAsia="Calibri"/>
          <w:color w:val="000000"/>
          <w:sz w:val="24"/>
          <w:szCs w:val="24"/>
        </w:rPr>
        <w:t xml:space="preserve">Overview, UML, UML Diagrams, Use Case Model, Class Diagrams etc.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Object-Oriented Software Development: </w:t>
      </w:r>
      <w:r w:rsidRPr="00B86FDC">
        <w:rPr>
          <w:rFonts w:eastAsia="Calibri"/>
          <w:color w:val="000000"/>
          <w:sz w:val="24"/>
          <w:szCs w:val="24"/>
        </w:rPr>
        <w:t xml:space="preserve">Design Patterns, Object-Oriented analysis and Design Process, OOD Goodness Criteria. </w:t>
      </w:r>
    </w:p>
    <w:p w:rsidR="007401F5" w:rsidRDefault="007401F5" w:rsidP="007401F5">
      <w:pPr>
        <w:ind w:left="270"/>
        <w:rPr>
          <w:rFonts w:eastAsia="Calibri"/>
          <w:color w:val="000000"/>
          <w:sz w:val="24"/>
          <w:szCs w:val="24"/>
        </w:rPr>
      </w:pPr>
      <w:r w:rsidRPr="00B86FDC">
        <w:rPr>
          <w:rFonts w:eastAsia="Calibri"/>
          <w:b/>
          <w:color w:val="000000"/>
          <w:sz w:val="24"/>
          <w:szCs w:val="24"/>
        </w:rPr>
        <w:t xml:space="preserve">User Interface Design: </w:t>
      </w:r>
      <w:r w:rsidRPr="00B86FDC">
        <w:rPr>
          <w:rFonts w:eastAsia="Calibri"/>
          <w:color w:val="000000"/>
          <w:sz w:val="24"/>
          <w:szCs w:val="24"/>
        </w:rPr>
        <w:t xml:space="preserve">Characteristics, Basic Concepts, Types, Components Based GUI Development, User Interface Design Methodology. </w:t>
      </w:r>
    </w:p>
    <w:p w:rsidR="007401F5" w:rsidRPr="00B86FDC" w:rsidRDefault="007401F5" w:rsidP="007401F5">
      <w:pPr>
        <w:ind w:left="270"/>
        <w:rPr>
          <w:rFonts w:eastAsia="Calibri"/>
          <w:color w:val="000000"/>
          <w:sz w:val="24"/>
          <w:szCs w:val="24"/>
        </w:rPr>
      </w:pPr>
    </w:p>
    <w:p w:rsidR="007401F5" w:rsidRPr="007401F5" w:rsidRDefault="007401F5" w:rsidP="007401F5">
      <w:pPr>
        <w:spacing w:after="200" w:line="276" w:lineRule="auto"/>
        <w:ind w:left="270"/>
        <w:rPr>
          <w:rFonts w:eastAsia="Calibri"/>
          <w:b/>
          <w:color w:val="000000"/>
          <w:sz w:val="24"/>
          <w:szCs w:val="24"/>
        </w:rPr>
      </w:pPr>
      <w:r>
        <w:rPr>
          <w:rFonts w:eastAsia="Calibri"/>
          <w:b/>
          <w:color w:val="000000"/>
          <w:sz w:val="24"/>
          <w:szCs w:val="24"/>
        </w:rPr>
        <w:t>UNIT IV:</w:t>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Pr>
          <w:rFonts w:eastAsia="Calibri"/>
          <w:b/>
          <w:color w:val="000000"/>
          <w:sz w:val="24"/>
          <w:szCs w:val="24"/>
        </w:rPr>
        <w:tab/>
      </w:r>
      <w:r w:rsidRPr="00B86FDC">
        <w:rPr>
          <w:rFonts w:eastAsia="Calibri"/>
          <w:b/>
          <w:color w:val="000000"/>
          <w:sz w:val="24"/>
          <w:szCs w:val="24"/>
        </w:rPr>
        <w:t xml:space="preserve">Lectures: 10 Coding and Testing: </w:t>
      </w:r>
      <w:r w:rsidRPr="00B86FDC">
        <w:rPr>
          <w:rFonts w:eastAsia="Calibri"/>
          <w:color w:val="000000"/>
          <w:sz w:val="24"/>
          <w:szCs w:val="24"/>
        </w:rPr>
        <w:t xml:space="preserve">Coding, Code Review, Testing, Unit Testing, Black Box Testing, White-Box Testing, Debugging, Program Analysis Tools, Integration Testing, System Testing, General Issues. </w:t>
      </w:r>
    </w:p>
    <w:p w:rsidR="007401F5" w:rsidRPr="00B86FDC" w:rsidRDefault="007401F5" w:rsidP="007401F5">
      <w:pPr>
        <w:ind w:left="270"/>
        <w:rPr>
          <w:rFonts w:eastAsia="Calibri"/>
          <w:color w:val="000000"/>
          <w:sz w:val="24"/>
          <w:szCs w:val="24"/>
        </w:rPr>
      </w:pPr>
      <w:r w:rsidRPr="00B86FDC">
        <w:rPr>
          <w:rFonts w:eastAsia="Calibri"/>
          <w:b/>
          <w:color w:val="000000"/>
          <w:sz w:val="24"/>
          <w:szCs w:val="24"/>
        </w:rPr>
        <w:t xml:space="preserve">Software Reliability and Quality Management: </w:t>
      </w:r>
      <w:r w:rsidRPr="00B86FDC">
        <w:rPr>
          <w:rFonts w:eastAsia="Calibri"/>
          <w:color w:val="000000"/>
          <w:sz w:val="24"/>
          <w:szCs w:val="24"/>
        </w:rPr>
        <w:t xml:space="preserve">S/W Reliability, Statistical Testing, S/W Quality, S/W Quality Management System, ISO 9000, SEI CMM, Personal Software Process, Six Sigma. </w:t>
      </w:r>
    </w:p>
    <w:p w:rsidR="007401F5" w:rsidRDefault="007401F5" w:rsidP="007401F5">
      <w:pPr>
        <w:spacing w:before="120" w:after="120" w:line="276" w:lineRule="auto"/>
        <w:ind w:left="270"/>
        <w:jc w:val="both"/>
        <w:rPr>
          <w:rFonts w:eastAsia="Calibri"/>
          <w:color w:val="000000"/>
          <w:sz w:val="24"/>
          <w:szCs w:val="24"/>
        </w:rPr>
      </w:pPr>
      <w:r w:rsidRPr="00B86FDC">
        <w:rPr>
          <w:rFonts w:eastAsia="Calibri"/>
          <w:b/>
          <w:color w:val="000000"/>
          <w:sz w:val="24"/>
          <w:szCs w:val="24"/>
        </w:rPr>
        <w:t xml:space="preserve">Software Maintenance: </w:t>
      </w:r>
      <w:r w:rsidRPr="00B86FDC">
        <w:rPr>
          <w:rFonts w:eastAsia="Calibri"/>
          <w:color w:val="000000"/>
          <w:sz w:val="24"/>
          <w:szCs w:val="24"/>
        </w:rPr>
        <w:t>Characteristics, S/W Reverse Engineering, S/W Maintenance Process Models, Estimation of Maintenance Cost</w:t>
      </w:r>
    </w:p>
    <w:p w:rsidR="007401F5" w:rsidRDefault="007401F5" w:rsidP="007401F5">
      <w:pPr>
        <w:spacing w:before="120" w:after="120" w:line="276" w:lineRule="auto"/>
        <w:jc w:val="both"/>
        <w:rPr>
          <w:rFonts w:eastAsia="Calibri"/>
          <w:color w:val="000000"/>
          <w:sz w:val="24"/>
          <w:szCs w:val="24"/>
        </w:rPr>
      </w:pPr>
    </w:p>
    <w:p w:rsidR="00713EE9" w:rsidRPr="00B66FD9" w:rsidRDefault="00713EE9" w:rsidP="007401F5">
      <w:pPr>
        <w:spacing w:before="120" w:after="120" w:line="276" w:lineRule="auto"/>
        <w:jc w:val="both"/>
        <w:rPr>
          <w:b/>
          <w:bCs/>
          <w:color w:val="282F31"/>
          <w:sz w:val="24"/>
          <w:szCs w:val="24"/>
        </w:rPr>
      </w:pPr>
      <w:r w:rsidRPr="00B66FD9">
        <w:rPr>
          <w:b/>
          <w:bCs/>
          <w:color w:val="282F31"/>
          <w:sz w:val="24"/>
          <w:szCs w:val="24"/>
        </w:rPr>
        <w:t xml:space="preserve">Text / Reference Books: </w:t>
      </w:r>
    </w:p>
    <w:p w:rsidR="007401F5" w:rsidRPr="007401F5" w:rsidRDefault="007401F5" w:rsidP="007401F5">
      <w:pPr>
        <w:pStyle w:val="ListParagraph"/>
        <w:numPr>
          <w:ilvl w:val="0"/>
          <w:numId w:val="19"/>
        </w:numPr>
        <w:spacing w:after="18"/>
        <w:rPr>
          <w:rFonts w:eastAsia="Calibri"/>
          <w:color w:val="000000"/>
          <w:sz w:val="24"/>
          <w:szCs w:val="24"/>
        </w:rPr>
      </w:pPr>
      <w:r w:rsidRPr="007401F5">
        <w:rPr>
          <w:rFonts w:eastAsia="Calibri"/>
          <w:color w:val="000000"/>
          <w:sz w:val="24"/>
          <w:szCs w:val="24"/>
        </w:rPr>
        <w:t xml:space="preserve">Fundamentals of Software Engineering by Rajib Mall, PHI </w:t>
      </w:r>
    </w:p>
    <w:p w:rsidR="007401F5" w:rsidRPr="007401F5" w:rsidRDefault="007401F5" w:rsidP="007401F5">
      <w:pPr>
        <w:pStyle w:val="ListParagraph"/>
        <w:numPr>
          <w:ilvl w:val="0"/>
          <w:numId w:val="19"/>
        </w:numPr>
        <w:spacing w:after="18"/>
        <w:rPr>
          <w:rFonts w:eastAsia="Calibri"/>
          <w:color w:val="000000"/>
          <w:sz w:val="24"/>
          <w:szCs w:val="24"/>
        </w:rPr>
      </w:pPr>
      <w:r w:rsidRPr="007401F5">
        <w:rPr>
          <w:rFonts w:eastAsia="Calibri"/>
          <w:color w:val="000000"/>
          <w:sz w:val="24"/>
          <w:szCs w:val="24"/>
        </w:rPr>
        <w:t xml:space="preserve">Software engineering by James F. Peters, Wiley </w:t>
      </w:r>
    </w:p>
    <w:p w:rsidR="007401F5" w:rsidRPr="007401F5" w:rsidRDefault="007401F5" w:rsidP="007401F5">
      <w:pPr>
        <w:pStyle w:val="ListParagraph"/>
        <w:numPr>
          <w:ilvl w:val="0"/>
          <w:numId w:val="19"/>
        </w:numPr>
        <w:spacing w:line="276" w:lineRule="auto"/>
        <w:jc w:val="both"/>
        <w:rPr>
          <w:rFonts w:eastAsia="Calibri"/>
          <w:color w:val="000000"/>
          <w:sz w:val="24"/>
          <w:szCs w:val="24"/>
        </w:rPr>
      </w:pPr>
      <w:r w:rsidRPr="007401F5">
        <w:rPr>
          <w:rFonts w:eastAsia="Calibri"/>
          <w:color w:val="000000"/>
          <w:sz w:val="24"/>
          <w:szCs w:val="24"/>
        </w:rPr>
        <w:t>Software engineering A Practitioner’s Approach by Pressman , MGH</w:t>
      </w:r>
    </w:p>
    <w:p w:rsidR="007401F5" w:rsidRPr="007401F5" w:rsidRDefault="007401F5" w:rsidP="007401F5">
      <w:pPr>
        <w:pStyle w:val="ListParagraph"/>
        <w:numPr>
          <w:ilvl w:val="0"/>
          <w:numId w:val="19"/>
        </w:numPr>
        <w:spacing w:after="18"/>
        <w:rPr>
          <w:rFonts w:eastAsia="Calibri"/>
          <w:color w:val="000000"/>
          <w:sz w:val="24"/>
          <w:szCs w:val="24"/>
        </w:rPr>
      </w:pPr>
      <w:r w:rsidRPr="007401F5">
        <w:rPr>
          <w:rFonts w:eastAsia="Calibri"/>
          <w:color w:val="000000"/>
          <w:sz w:val="24"/>
          <w:szCs w:val="24"/>
        </w:rPr>
        <w:t xml:space="preserve">Software Project Management From Concept to Deployment by Kieron Conway, dreamtech Press </w:t>
      </w:r>
    </w:p>
    <w:p w:rsidR="00713EE9" w:rsidRPr="007401F5" w:rsidRDefault="007401F5" w:rsidP="007401F5">
      <w:pPr>
        <w:pStyle w:val="ListParagraph"/>
        <w:numPr>
          <w:ilvl w:val="0"/>
          <w:numId w:val="19"/>
        </w:numPr>
        <w:spacing w:line="276" w:lineRule="auto"/>
        <w:jc w:val="both"/>
        <w:rPr>
          <w:color w:val="000000"/>
          <w:sz w:val="24"/>
          <w:szCs w:val="24"/>
        </w:rPr>
      </w:pPr>
      <w:r w:rsidRPr="007401F5">
        <w:rPr>
          <w:rFonts w:eastAsia="Calibri"/>
          <w:color w:val="000000"/>
          <w:sz w:val="24"/>
          <w:szCs w:val="24"/>
        </w:rPr>
        <w:t>Software engineering, by Sommerville, Pearson education.</w:t>
      </w:r>
      <w:r w:rsidR="00713EE9" w:rsidRPr="007401F5">
        <w:rPr>
          <w:color w:val="000000"/>
          <w:sz w:val="24"/>
          <w:szCs w:val="24"/>
        </w:rPr>
        <w:t xml:space="preserve"> </w:t>
      </w:r>
    </w:p>
    <w:p w:rsidR="00B958A4" w:rsidRPr="00B66FD9" w:rsidRDefault="00B958A4" w:rsidP="00B66FD9">
      <w:pPr>
        <w:widowControl w:val="0"/>
        <w:suppressAutoHyphens/>
        <w:spacing w:line="276" w:lineRule="auto"/>
        <w:rPr>
          <w:sz w:val="24"/>
          <w:szCs w:val="24"/>
        </w:rPr>
      </w:pPr>
    </w:p>
    <w:p w:rsidR="00CD390C" w:rsidRPr="00B66FD9" w:rsidRDefault="00CD390C" w:rsidP="00B66FD9">
      <w:pPr>
        <w:spacing w:line="276" w:lineRule="auto"/>
        <w:rPr>
          <w:b/>
          <w:sz w:val="24"/>
          <w:szCs w:val="24"/>
        </w:rPr>
      </w:pPr>
    </w:p>
    <w:sectPr w:rsidR="00CD390C" w:rsidRPr="00B66FD9" w:rsidSect="00E273B9">
      <w:pgSz w:w="11907" w:h="16839" w:code="9"/>
      <w:pgMar w:top="720" w:right="720"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D6B" w:rsidRDefault="00790D6B" w:rsidP="00E948FF">
      <w:r>
        <w:separator/>
      </w:r>
    </w:p>
  </w:endnote>
  <w:endnote w:type="continuationSeparator" w:id="0">
    <w:p w:rsidR="00790D6B" w:rsidRDefault="00790D6B" w:rsidP="00E9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Sans-Bol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D6B" w:rsidRDefault="00790D6B" w:rsidP="00E948FF">
      <w:r>
        <w:separator/>
      </w:r>
    </w:p>
  </w:footnote>
  <w:footnote w:type="continuationSeparator" w:id="0">
    <w:p w:rsidR="00790D6B" w:rsidRDefault="00790D6B" w:rsidP="00E94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693E"/>
    <w:multiLevelType w:val="hybridMultilevel"/>
    <w:tmpl w:val="895C0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D5B2F"/>
    <w:multiLevelType w:val="hybridMultilevel"/>
    <w:tmpl w:val="AE8CE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C44E7"/>
    <w:multiLevelType w:val="hybridMultilevel"/>
    <w:tmpl w:val="0D96B2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5077D"/>
    <w:multiLevelType w:val="hybridMultilevel"/>
    <w:tmpl w:val="A3C42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11088"/>
    <w:multiLevelType w:val="hybridMultilevel"/>
    <w:tmpl w:val="BA4EB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A7F2F"/>
    <w:multiLevelType w:val="hybridMultilevel"/>
    <w:tmpl w:val="C3C8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50794"/>
    <w:multiLevelType w:val="hybridMultilevel"/>
    <w:tmpl w:val="1CCE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87E7D"/>
    <w:multiLevelType w:val="hybridMultilevel"/>
    <w:tmpl w:val="F9AE1F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2C51393"/>
    <w:multiLevelType w:val="hybridMultilevel"/>
    <w:tmpl w:val="6706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92E5A"/>
    <w:multiLevelType w:val="hybridMultilevel"/>
    <w:tmpl w:val="E92493DE"/>
    <w:lvl w:ilvl="0" w:tplc="1B0A9686">
      <w:start w:val="1"/>
      <w:numFmt w:val="decimal"/>
      <w:lvlText w:val="%1."/>
      <w:lvlJc w:val="left"/>
      <w:pPr>
        <w:ind w:left="1080" w:hanging="360"/>
      </w:pPr>
      <w:rPr>
        <w:rFonts w:ascii="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582C59"/>
    <w:multiLevelType w:val="hybridMultilevel"/>
    <w:tmpl w:val="209ED3B4"/>
    <w:lvl w:ilvl="0" w:tplc="1B0A9686">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D37B1"/>
    <w:multiLevelType w:val="hybridMultilevel"/>
    <w:tmpl w:val="16B0A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A53C13"/>
    <w:multiLevelType w:val="hybridMultilevel"/>
    <w:tmpl w:val="04881A9E"/>
    <w:lvl w:ilvl="0" w:tplc="170A224C">
      <w:start w:val="1"/>
      <w:numFmt w:val="decimal"/>
      <w:lvlText w:val="(%1)"/>
      <w:lvlJc w:val="left"/>
      <w:pPr>
        <w:ind w:left="720" w:hanging="360"/>
      </w:pPr>
      <w:rPr>
        <w:rFonts w:eastAsia="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71000"/>
    <w:multiLevelType w:val="hybridMultilevel"/>
    <w:tmpl w:val="F0CC6CB2"/>
    <w:lvl w:ilvl="0" w:tplc="0409000F">
      <w:start w:val="1"/>
      <w:numFmt w:val="decimal"/>
      <w:lvlText w:val="%1."/>
      <w:lvlJc w:val="left"/>
      <w:pPr>
        <w:tabs>
          <w:tab w:val="num" w:pos="720"/>
        </w:tabs>
        <w:ind w:left="72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6BC412C7"/>
    <w:multiLevelType w:val="hybridMultilevel"/>
    <w:tmpl w:val="00F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D4E45"/>
    <w:multiLevelType w:val="hybridMultilevel"/>
    <w:tmpl w:val="C20614A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3E60EA2"/>
    <w:multiLevelType w:val="hybridMultilevel"/>
    <w:tmpl w:val="15C0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8"/>
  </w:num>
  <w:num w:numId="4">
    <w:abstractNumId w:val="12"/>
  </w:num>
  <w:num w:numId="5">
    <w:abstractNumId w:val="11"/>
  </w:num>
  <w:num w:numId="6">
    <w:abstractNumId w:val="0"/>
  </w:num>
  <w:num w:numId="7">
    <w:abstractNumId w:val="10"/>
  </w:num>
  <w:num w:numId="8">
    <w:abstractNumId w:val="15"/>
  </w:num>
  <w:num w:numId="9">
    <w:abstractNumId w:val="13"/>
  </w:num>
  <w:num w:numId="10">
    <w:abstractNumId w:val="8"/>
  </w:num>
  <w:num w:numId="11">
    <w:abstractNumId w:val="1"/>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7"/>
  </w:num>
  <w:num w:numId="15">
    <w:abstractNumId w:val="4"/>
  </w:num>
  <w:num w:numId="16">
    <w:abstractNumId w:val="9"/>
  </w:num>
  <w:num w:numId="17">
    <w:abstractNumId w:val="6"/>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FF"/>
    <w:rsid w:val="00053BA6"/>
    <w:rsid w:val="000E7A76"/>
    <w:rsid w:val="00106FE0"/>
    <w:rsid w:val="00144BE5"/>
    <w:rsid w:val="001F3BB8"/>
    <w:rsid w:val="002C1490"/>
    <w:rsid w:val="002D7B26"/>
    <w:rsid w:val="002E149E"/>
    <w:rsid w:val="002E4BBD"/>
    <w:rsid w:val="003A4886"/>
    <w:rsid w:val="00535CAB"/>
    <w:rsid w:val="005C7823"/>
    <w:rsid w:val="006E6034"/>
    <w:rsid w:val="00713EE9"/>
    <w:rsid w:val="007401F5"/>
    <w:rsid w:val="00790D6B"/>
    <w:rsid w:val="0080066F"/>
    <w:rsid w:val="00822B40"/>
    <w:rsid w:val="0084426B"/>
    <w:rsid w:val="00892AC7"/>
    <w:rsid w:val="009B14F8"/>
    <w:rsid w:val="00B66FD9"/>
    <w:rsid w:val="00B958A4"/>
    <w:rsid w:val="00BB3DB5"/>
    <w:rsid w:val="00BF5779"/>
    <w:rsid w:val="00C0639F"/>
    <w:rsid w:val="00C51830"/>
    <w:rsid w:val="00CD390C"/>
    <w:rsid w:val="00D05363"/>
    <w:rsid w:val="00D15433"/>
    <w:rsid w:val="00D409E2"/>
    <w:rsid w:val="00E63288"/>
    <w:rsid w:val="00E948FF"/>
    <w:rsid w:val="00EE0390"/>
    <w:rsid w:val="00F14C61"/>
    <w:rsid w:val="00F77041"/>
    <w:rsid w:val="00FE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64745-A9DF-49B9-BD6D-5FC9334F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8F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48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8FF"/>
    <w:pPr>
      <w:ind w:left="720"/>
      <w:contextualSpacing/>
    </w:pPr>
  </w:style>
  <w:style w:type="character" w:styleId="Hyperlink">
    <w:name w:val="Hyperlink"/>
    <w:rsid w:val="00E948FF"/>
    <w:rPr>
      <w:color w:val="0000FF"/>
      <w:u w:val="single"/>
    </w:rPr>
  </w:style>
  <w:style w:type="paragraph" w:customStyle="1" w:styleId="Default">
    <w:name w:val="Default"/>
    <w:rsid w:val="00E948FF"/>
    <w:pPr>
      <w:autoSpaceDE w:val="0"/>
      <w:autoSpaceDN w:val="0"/>
      <w:adjustRightInd w:val="0"/>
      <w:spacing w:after="0" w:line="240" w:lineRule="auto"/>
    </w:pPr>
    <w:rPr>
      <w:rFonts w:ascii="Cambria"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7369-88FD-4018-A667-30D62096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akshay</cp:lastModifiedBy>
  <cp:revision>35</cp:revision>
  <dcterms:created xsi:type="dcterms:W3CDTF">2019-02-15T04:23:00Z</dcterms:created>
  <dcterms:modified xsi:type="dcterms:W3CDTF">2019-02-16T13:35:00Z</dcterms:modified>
</cp:coreProperties>
</file>