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drawing>
          <wp:inline distT="0" distB="0" distL="0" distR="0">
            <wp:extent cx="5105400" cy="1432560"/>
            <wp:effectExtent l="0" t="0" r="0" b="0"/>
            <wp:docPr id="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5"/>
                    <pic:cNvPicPr>
                      <a:picLocks noChangeAspect="1" noChangeArrowheads="1"/>
                    </pic:cNvPicPr>
                  </pic:nvPicPr>
                  <pic:blipFill>
                    <a:blip r:embed="rId2"/>
                    <a:srcRect l="8820" t="17647" r="8223" b="20701"/>
                    <a:stretch>
                      <a:fillRect/>
                    </a:stretch>
                  </pic:blipFill>
                  <pic:spPr bwMode="auto">
                    <a:xfrm>
                      <a:off x="0" y="0"/>
                      <a:ext cx="5105400" cy="1432560"/>
                    </a:xfrm>
                    <a:prstGeom prst="rect">
                      <a:avLst/>
                    </a:prstGeom>
                    <a:noFill/>
                  </pic:spPr>
                </pic:pic>
              </a:graphicData>
            </a:graphic>
          </wp:inline>
        </w:drawing>
      </w:r>
    </w:p>
    <w:p>
      <w:pPr>
        <w:pStyle w:val="Normal"/>
        <w:rPr>
          <w:rFonts w:ascii="Times New Roman" w:hAnsi="Times New Roman" w:cs="Times New Roman"/>
          <w:b/>
          <w:i/>
          <w:iCs/>
          <w:color w:val="000000"/>
          <w:sz w:val="24"/>
          <w:szCs w:val="24"/>
        </w:rPr>
      </w:pPr>
      <w:r>
        <w:rPr>
          <w:rFonts w:cs="Times New Roman" w:ascii="Times New Roman" w:hAnsi="Times New Roman"/>
          <w:b/>
          <w:i/>
          <w:iCs/>
          <w:color w:val="000000"/>
          <w:sz w:val="24"/>
          <w:szCs w:val="24"/>
        </w:rPr>
      </w:r>
    </w:p>
    <w:p>
      <w:pPr>
        <w:pStyle w:val="Normal"/>
        <w:tabs>
          <w:tab w:val="clear" w:pos="720"/>
          <w:tab w:val="left" w:pos="1490" w:leader="none"/>
        </w:tabs>
        <w:rPr>
          <w:color w:val="000000"/>
        </w:rPr>
      </w:pPr>
      <w:r>
        <w:rPr>
          <w:rFonts w:cs="Times New Roman" w:ascii="Times New Roman" w:hAnsi="Times New Roman"/>
          <w:b/>
          <w:i/>
          <w:iCs/>
          <w:color w:val="000000"/>
          <w:sz w:val="24"/>
          <w:szCs w:val="24"/>
        </w:rPr>
        <w:t xml:space="preserve">                               </w:t>
      </w:r>
      <w:r>
        <w:rPr>
          <w:rFonts w:cs="Times New Roman" w:ascii="Times New Roman" w:hAnsi="Times New Roman"/>
          <w:b/>
          <w:bCs/>
          <w:i w:val="false"/>
          <w:iCs w:val="false"/>
          <w:color w:val="000000"/>
          <w:sz w:val="24"/>
          <w:szCs w:val="24"/>
        </w:rPr>
        <w:t>System Analysis and Modeling</w:t>
      </w:r>
      <w:r>
        <w:rPr>
          <w:rFonts w:cs="Times New Roman" w:ascii="Times New Roman" w:hAnsi="Times New Roman"/>
          <w:color w:val="000000"/>
          <w:sz w:val="24"/>
          <w:szCs w:val="24"/>
        </w:rPr>
        <w:t xml:space="preserve"> </w:t>
      </w:r>
      <w:r>
        <w:rPr>
          <w:rFonts w:cs="Times New Roman" w:ascii="Times New Roman" w:hAnsi="Times New Roman"/>
          <w:b/>
          <w:bCs/>
          <w:color w:val="000000"/>
          <w:sz w:val="24"/>
          <w:szCs w:val="24"/>
        </w:rPr>
        <w:t>(SWEG3109)</w:t>
      </w:r>
    </w:p>
    <w:p>
      <w:pPr>
        <w:pStyle w:val="Normal"/>
        <w:tabs>
          <w:tab w:val="clear" w:pos="720"/>
          <w:tab w:val="left" w:pos="2414" w:leader="none"/>
        </w:tabs>
        <w:rPr>
          <w:color w:val="000000"/>
        </w:rPr>
      </w:pPr>
      <w:r>
        <w:rPr>
          <w:rFonts w:cs="Times New Roman" w:ascii="Times New Roman" w:hAnsi="Times New Roman"/>
          <w:color w:val="000000"/>
          <w:sz w:val="24"/>
          <w:szCs w:val="24"/>
        </w:rPr>
        <w:tab/>
      </w:r>
      <w:r>
        <w:rPr>
          <w:rFonts w:cs="Times New Roman" w:ascii="Times New Roman" w:hAnsi="Times New Roman"/>
          <w:b/>
          <w:bCs/>
          <w:color w:val="000000"/>
          <w:sz w:val="24"/>
          <w:szCs w:val="24"/>
        </w:rPr>
        <w:t>Department of Software Engineering</w:t>
      </w:r>
    </w:p>
    <w:p>
      <w:pPr>
        <w:pStyle w:val="Normal"/>
        <w:tabs>
          <w:tab w:val="clear" w:pos="720"/>
          <w:tab w:val="left" w:pos="3138" w:leader="none"/>
        </w:tabs>
        <w:rPr>
          <w:color w:val="000000"/>
        </w:rPr>
      </w:pPr>
      <w:r>
        <w:rPr>
          <w:rFonts w:cs="Times New Roman" w:ascii="Times New Roman" w:hAnsi="Times New Roman"/>
          <w:b/>
          <w:i/>
          <w:color w:val="000000"/>
          <w:sz w:val="24"/>
          <w:szCs w:val="24"/>
        </w:rPr>
        <w:tab/>
      </w:r>
      <w:r>
        <w:rPr>
          <w:rFonts w:cs="Times New Roman" w:ascii="Times New Roman" w:hAnsi="Times New Roman"/>
          <w:b/>
          <w:i w:val="false"/>
          <w:iCs w:val="false"/>
          <w:color w:val="000000"/>
          <w:sz w:val="24"/>
          <w:szCs w:val="24"/>
        </w:rPr>
        <w:t>Section: C</w:t>
      </w:r>
    </w:p>
    <w:p>
      <w:pPr>
        <w:pStyle w:val="Normal"/>
        <w:tabs>
          <w:tab w:val="clear" w:pos="720"/>
          <w:tab w:val="left" w:pos="3138" w:leader="none"/>
        </w:tabs>
        <w:rPr>
          <w:color w:val="000000"/>
        </w:rPr>
      </w:pPr>
      <w:r>
        <w:rPr>
          <w:rFonts w:cs="Times New Roman" w:ascii="Times New Roman" w:hAnsi="Times New Roman"/>
          <w:color w:val="000000"/>
          <w:sz w:val="24"/>
          <w:szCs w:val="24"/>
        </w:rPr>
        <w:tab/>
      </w:r>
      <w:r>
        <w:rPr>
          <w:rFonts w:cs="Times New Roman" w:ascii="Times New Roman" w:hAnsi="Times New Roman"/>
          <w:b/>
          <w:bCs/>
          <w:color w:val="000000"/>
          <w:sz w:val="24"/>
          <w:szCs w:val="24"/>
        </w:rPr>
        <w:t>Group: 9</w:t>
      </w:r>
    </w:p>
    <w:p>
      <w:pPr>
        <w:pStyle w:val="Normal"/>
        <w:tabs>
          <w:tab w:val="clear" w:pos="720"/>
          <w:tab w:val="left" w:pos="2048" w:leader="none"/>
        </w:tabs>
        <w:rPr>
          <w:color w:val="000000"/>
        </w:rPr>
      </w:pPr>
      <w:r>
        <w:rPr>
          <w:rFonts w:cs="Times New Roman" w:ascii="Times New Roman" w:hAnsi="Times New Roman"/>
          <w:color w:val="000000"/>
          <w:sz w:val="24"/>
          <w:szCs w:val="24"/>
        </w:rPr>
        <w:t xml:space="preserve">                               </w:t>
      </w:r>
    </w:p>
    <w:p>
      <w:pPr>
        <w:pStyle w:val="Normal"/>
        <w:tabs>
          <w:tab w:val="clear" w:pos="720"/>
          <w:tab w:val="left" w:pos="2048" w:leader="none"/>
        </w:tabs>
        <w:rPr>
          <w:color w:val="000000"/>
        </w:rPr>
      </w:pPr>
      <w:r>
        <w:rPr>
          <w:rFonts w:cs="Times New Roman" w:ascii="Times New Roman" w:hAnsi="Times New Roman"/>
          <w:color w:val="000000"/>
          <w:sz w:val="24"/>
          <w:szCs w:val="24"/>
        </w:rPr>
        <w:t xml:space="preserve">         </w:t>
      </w:r>
    </w:p>
    <w:p>
      <w:pPr>
        <w:pStyle w:val="Normal"/>
        <w:rPr>
          <w:color w:val="000000"/>
        </w:rPr>
      </w:pPr>
      <w:r>
        <w:rPr>
          <w:rFonts w:cs="Times New Roman" w:ascii="Times New Roman" w:hAnsi="Times New Roman"/>
          <w:b/>
          <w:bCs/>
          <w:i w:val="false"/>
          <w:iCs w:val="false"/>
          <w:color w:val="000000"/>
          <w:sz w:val="24"/>
          <w:szCs w:val="24"/>
        </w:rPr>
        <w:t>Group members:</w:t>
      </w:r>
    </w:p>
    <w:tbl>
      <w:tblPr>
        <w:tblStyle w:val="LightShading"/>
        <w:tblW w:w="9242" w:type="dxa"/>
        <w:jc w:val="start"/>
        <w:tblInd w:w="0" w:type="dxa"/>
        <w:tblLayout w:type="fixed"/>
        <w:tblCellMar>
          <w:top w:w="0" w:type="dxa"/>
          <w:start w:w="108" w:type="dxa"/>
          <w:bottom w:w="0" w:type="dxa"/>
          <w:end w:w="108" w:type="dxa"/>
        </w:tblCellMar>
        <w:tblLook w:val="04a0"/>
      </w:tblPr>
      <w:tblGrid>
        <w:gridCol w:w="9242"/>
      </w:tblGrid>
      <w:tr>
        <w:trPr>
          <w:cnfStyle w:val="100000000000"/>
        </w:trPr>
        <w:tc>
          <w:tcPr>
            <w:cnfStyle w:val="101000000000"/>
            <w:tcW w:w="9242" w:type="dxa"/>
            <w:tcBorders/>
          </w:tcPr>
          <w:p>
            <w:pPr>
              <w:pStyle w:val="Normal"/>
              <w:widowControl/>
              <w:spacing w:lineRule="auto" w:line="240" w:before="0" w:after="0"/>
              <w:jc w:val="start"/>
              <w:rPr>
                <w:color w:val="000000"/>
              </w:rPr>
            </w:pPr>
            <w:r>
              <w:rPr>
                <w:rFonts w:eastAsia="Calibri" w:cs="Times New Roman" w:ascii="Times New Roman" w:hAnsi="Times New Roman"/>
                <w:b/>
                <w:bCs/>
                <w:color w:val="000000"/>
                <w:kern w:val="0"/>
                <w:sz w:val="24"/>
                <w:szCs w:val="24"/>
              </w:rPr>
              <w:t>Lakin Awel             ETS0876/17</w:t>
            </w:r>
          </w:p>
        </w:tc>
      </w:tr>
      <w:tr>
        <w:trPr>
          <w:cnfStyle w:val="000000100000"/>
        </w:trPr>
        <w:tc>
          <w:tcPr>
            <w:cnfStyle w:val="001000100000"/>
            <w:tcW w:w="9242" w:type="dxa"/>
            <w:tcBorders/>
            <w:shd w:color="auto" w:fill="C0C0C0" w:themeFill="text1" w:themeFillTint="3f" w:val="clear"/>
          </w:tcPr>
          <w:p>
            <w:pPr>
              <w:pStyle w:val="Normal"/>
              <w:widowControl/>
              <w:spacing w:lineRule="auto" w:line="240" w:before="0" w:after="0"/>
              <w:jc w:val="start"/>
              <w:rPr>
                <w:color w:val="000000"/>
              </w:rPr>
            </w:pPr>
            <w:r>
              <w:rPr>
                <w:rFonts w:eastAsia="Calibri" w:cs="Times New Roman" w:ascii="Times New Roman" w:hAnsi="Times New Roman"/>
                <w:b/>
                <w:bCs/>
                <w:color w:val="000000"/>
                <w:kern w:val="0"/>
                <w:sz w:val="24"/>
                <w:szCs w:val="24"/>
              </w:rPr>
              <w:t>Leulseged Degu            ETS0896/17</w:t>
            </w:r>
          </w:p>
        </w:tc>
      </w:tr>
      <w:tr>
        <w:trPr/>
        <w:tc>
          <w:tcPr>
            <w:cnfStyle w:val="001000010000"/>
            <w:tcW w:w="9242" w:type="dxa"/>
            <w:tcBorders/>
          </w:tcPr>
          <w:p>
            <w:pPr>
              <w:pStyle w:val="Normal"/>
              <w:widowControl/>
              <w:spacing w:lineRule="auto" w:line="240" w:before="0" w:after="0"/>
              <w:jc w:val="start"/>
              <w:rPr>
                <w:color w:val="000000"/>
              </w:rPr>
            </w:pPr>
            <w:r>
              <w:rPr>
                <w:rFonts w:eastAsia="Calibri" w:cs="Times New Roman" w:ascii="Times New Roman" w:hAnsi="Times New Roman"/>
                <w:b/>
                <w:bCs/>
                <w:color w:val="000000"/>
                <w:kern w:val="0"/>
                <w:sz w:val="24"/>
                <w:szCs w:val="24"/>
              </w:rPr>
              <w:t>Nathan Getachew   ETS1134/17</w:t>
            </w:r>
          </w:p>
        </w:tc>
      </w:tr>
      <w:tr>
        <w:trPr>
          <w:cnfStyle w:val="000000100000"/>
        </w:trPr>
        <w:tc>
          <w:tcPr>
            <w:cnfStyle w:val="001000100000"/>
            <w:tcW w:w="9242" w:type="dxa"/>
            <w:tcBorders/>
            <w:shd w:color="auto" w:fill="C0C0C0" w:themeFill="text1" w:themeFillTint="3f" w:val="clear"/>
          </w:tcPr>
          <w:p>
            <w:pPr>
              <w:pStyle w:val="Normal"/>
              <w:widowControl/>
              <w:spacing w:lineRule="auto" w:line="240" w:before="0" w:after="0"/>
              <w:jc w:val="start"/>
              <w:rPr>
                <w:color w:val="000000"/>
              </w:rPr>
            </w:pPr>
            <w:r>
              <w:rPr>
                <w:rFonts w:eastAsia="Calibri" w:cs="Times New Roman" w:ascii="Times New Roman" w:hAnsi="Times New Roman"/>
                <w:b/>
                <w:bCs/>
                <w:color w:val="000000"/>
                <w:kern w:val="0"/>
                <w:sz w:val="24"/>
                <w:szCs w:val="24"/>
              </w:rPr>
              <w:t>Rediet Tesfaye              ETS1243/17</w:t>
            </w:r>
          </w:p>
        </w:tc>
      </w:tr>
      <w:tr>
        <w:trPr/>
        <w:tc>
          <w:tcPr>
            <w:cnfStyle w:val="001000010000"/>
            <w:tcW w:w="9242" w:type="dxa"/>
            <w:tcBorders/>
          </w:tcPr>
          <w:p>
            <w:pPr>
              <w:pStyle w:val="Normal"/>
              <w:widowControl/>
              <w:spacing w:lineRule="auto" w:line="240" w:before="0" w:after="0"/>
              <w:jc w:val="start"/>
              <w:rPr>
                <w:color w:val="000000"/>
              </w:rPr>
            </w:pPr>
            <w:r>
              <w:rPr>
                <w:rFonts w:eastAsia="Calibri" w:cs="Times New Roman" w:ascii="Times New Roman" w:hAnsi="Times New Roman"/>
                <w:b/>
                <w:bCs/>
                <w:color w:val="000000"/>
                <w:kern w:val="0"/>
                <w:sz w:val="24"/>
                <w:szCs w:val="24"/>
              </w:rPr>
              <w:t>Rediet Worku         ETS1244/17</w:t>
            </w:r>
          </w:p>
        </w:tc>
      </w:tr>
      <w:tr>
        <w:trPr>
          <w:trHeight w:val="305" w:hRule="atLeast"/>
          <w:cnfStyle w:val="000000100000"/>
        </w:trPr>
        <w:tc>
          <w:tcPr>
            <w:cnfStyle w:val="001000100000"/>
            <w:tcW w:w="9242" w:type="dxa"/>
            <w:tcBorders/>
            <w:shd w:color="auto" w:fill="C0C0C0" w:themeFill="text1" w:themeFillTint="3f" w:val="clear"/>
          </w:tcPr>
          <w:p>
            <w:pPr>
              <w:pStyle w:val="Normal"/>
              <w:widowControl/>
              <w:spacing w:lineRule="auto" w:line="240" w:before="0" w:after="0"/>
              <w:jc w:val="start"/>
              <w:rPr>
                <w:color w:val="000000"/>
              </w:rPr>
            </w:pPr>
            <w:r>
              <w:rPr>
                <w:rFonts w:eastAsia="Calibri" w:cs="Times New Roman" w:ascii="Times New Roman" w:hAnsi="Times New Roman"/>
                <w:b/>
                <w:bCs/>
                <w:color w:val="000000"/>
                <w:kern w:val="0"/>
                <w:sz w:val="24"/>
                <w:szCs w:val="24"/>
              </w:rPr>
              <w:t>Rekik Ketema               ETS1246/17</w:t>
            </w:r>
          </w:p>
        </w:tc>
      </w:tr>
    </w:tbl>
    <w:p>
      <w:pPr>
        <w:pStyle w:val="Normal"/>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rPr>
          <w:rFonts w:ascii="Times New Roman" w:hAnsi="Times New Roman" w:cs="Times New Roman"/>
          <w:b/>
          <w:i/>
          <w:color w:val="000000"/>
          <w:sz w:val="24"/>
          <w:szCs w:val="24"/>
        </w:rPr>
      </w:pPr>
      <w:r>
        <w:rPr>
          <w:rFonts w:cs="Times New Roman" w:ascii="Times New Roman" w:hAnsi="Times New Roman"/>
          <w:b/>
          <w:i/>
          <w:color w:val="000000"/>
          <w:sz w:val="24"/>
          <w:szCs w:val="24"/>
        </w:rPr>
      </w:r>
    </w:p>
    <w:p>
      <w:pPr>
        <w:pStyle w:val="Normal"/>
        <w:rPr>
          <w:rFonts w:ascii="Times New Roman" w:hAnsi="Times New Roman" w:cs="Times New Roman"/>
          <w:b/>
          <w:i/>
          <w:color w:val="000000"/>
          <w:sz w:val="24"/>
          <w:szCs w:val="24"/>
        </w:rPr>
      </w:pPr>
      <w:r>
        <w:rPr>
          <w:rFonts w:cs="Times New Roman" w:ascii="Times New Roman" w:hAnsi="Times New Roman"/>
          <w:b/>
          <w:i/>
          <w:color w:val="000000"/>
          <w:sz w:val="24"/>
          <w:szCs w:val="24"/>
        </w:rPr>
      </w:r>
    </w:p>
    <w:p>
      <w:pPr>
        <w:pStyle w:val="Normal"/>
        <w:rPr>
          <w:rFonts w:ascii="Times New Roman" w:hAnsi="Times New Roman" w:cs="Times New Roman"/>
          <w:b/>
          <w:i/>
          <w:color w:val="000000"/>
          <w:sz w:val="24"/>
          <w:szCs w:val="24"/>
        </w:rPr>
      </w:pPr>
      <w:r>
        <w:rPr>
          <w:rFonts w:cs="Times New Roman" w:ascii="Times New Roman" w:hAnsi="Times New Roman"/>
          <w:b/>
          <w:i/>
          <w:color w:val="000000"/>
          <w:sz w:val="24"/>
          <w:szCs w:val="24"/>
        </w:rPr>
      </w:r>
    </w:p>
    <w:p>
      <w:pPr>
        <w:pStyle w:val="Normal"/>
        <w:rPr>
          <w:rFonts w:ascii="Times New Roman" w:hAnsi="Times New Roman" w:cs="Times New Roman"/>
          <w:b/>
          <w:i/>
          <w:color w:val="000000"/>
          <w:sz w:val="24"/>
          <w:szCs w:val="24"/>
        </w:rPr>
      </w:pPr>
      <w:r>
        <w:rPr>
          <w:rFonts w:cs="Times New Roman" w:ascii="Times New Roman" w:hAnsi="Times New Roman"/>
          <w:b/>
          <w:i/>
          <w:color w:val="000000"/>
          <w:sz w:val="24"/>
          <w:szCs w:val="24"/>
        </w:rPr>
      </w:r>
    </w:p>
    <w:p>
      <w:pPr>
        <w:pStyle w:val="Normal"/>
        <w:tabs>
          <w:tab w:val="clear" w:pos="720"/>
          <w:tab w:val="left" w:pos="6026" w:leader="none"/>
        </w:tabs>
        <w:rPr>
          <w:b w:val="false"/>
          <w:bCs w:val="false"/>
          <w:i w:val="false"/>
          <w:iCs w:val="false"/>
        </w:rPr>
      </w:pPr>
      <w:r>
        <w:rPr>
          <w:rFonts w:cs="Times New Roman" w:ascii="Times New Roman" w:hAnsi="Times New Roman"/>
          <w:b/>
          <w:i/>
          <w:color w:val="000000"/>
          <w:sz w:val="24"/>
          <w:szCs w:val="24"/>
        </w:rPr>
        <w:t xml:space="preserve">                                                             </w:t>
      </w:r>
      <w:r>
        <w:rPr>
          <w:rFonts w:cs="Times New Roman" w:ascii="Times New Roman" w:hAnsi="Times New Roman"/>
          <w:b w:val="false"/>
          <w:bCs w:val="false"/>
          <w:i/>
          <w:color w:val="000000"/>
          <w:sz w:val="24"/>
          <w:szCs w:val="24"/>
        </w:rPr>
        <w:t xml:space="preserve">                                    </w:t>
      </w:r>
      <w:r>
        <w:rPr>
          <w:rFonts w:cs="Times New Roman" w:ascii="Times New Roman" w:hAnsi="Times New Roman"/>
          <w:b w:val="false"/>
          <w:bCs w:val="false"/>
          <w:i w:val="false"/>
          <w:iCs w:val="false"/>
          <w:color w:val="000000"/>
          <w:sz w:val="24"/>
          <w:szCs w:val="24"/>
        </w:rPr>
        <w:t xml:space="preserve"> </w:t>
      </w:r>
    </w:p>
    <w:p>
      <w:pPr>
        <w:pStyle w:val="Normal"/>
        <w:tabs>
          <w:tab w:val="clear" w:pos="720"/>
          <w:tab w:val="left" w:pos="3138" w:leader="none"/>
          <w:tab w:val="left" w:pos="6026" w:leader="none"/>
        </w:tabs>
        <w:rPr>
          <w:b w:val="false"/>
          <w:bCs w:val="false"/>
          <w:color w:val="000000"/>
        </w:rPr>
      </w:pPr>
      <w:r>
        <w:rPr>
          <w:rFonts w:cs="Times New Roman" w:ascii="Times New Roman" w:hAnsi="Times New Roman"/>
          <w:b w:val="false"/>
          <w:bCs w:val="false"/>
          <w:i/>
          <w:color w:val="000000"/>
          <w:sz w:val="24"/>
          <w:szCs w:val="24"/>
        </w:rPr>
        <w:tab/>
      </w:r>
      <w:r>
        <w:rPr>
          <w:rFonts w:cs="Times New Roman" w:ascii="Times New Roman" w:hAnsi="Times New Roman"/>
          <w:b w:val="false"/>
          <w:bCs w:val="false"/>
          <w:i w:val="false"/>
          <w:iCs w:val="false"/>
          <w:color w:val="000000"/>
          <w:sz w:val="24"/>
          <w:szCs w:val="24"/>
        </w:rPr>
        <w:t xml:space="preserve">                                                 Submitted to: Mr Honelet</w:t>
      </w:r>
    </w:p>
    <w:p>
      <w:pPr>
        <w:pStyle w:val="Normal"/>
        <w:tabs>
          <w:tab w:val="clear" w:pos="720"/>
          <w:tab w:val="left" w:pos="3138" w:leader="none"/>
          <w:tab w:val="left" w:pos="6026" w:leader="none"/>
        </w:tabs>
        <w:rPr>
          <w:b w:val="false"/>
          <w:bCs w:val="false"/>
          <w:color w:val="000000"/>
        </w:rPr>
      </w:pPr>
      <w:r>
        <w:rPr>
          <w:b w:val="false"/>
          <w:bCs w:val="false"/>
          <w:color w:val="000000"/>
        </w:rPr>
        <w:t xml:space="preserve">  </w:t>
      </w:r>
      <w:r>
        <w:rPr>
          <w:b w:val="false"/>
          <w:bCs w:val="false"/>
          <w:color w:val="000000"/>
        </w:rPr>
        <w:tab/>
        <w:t xml:space="preserve">                                                    </w:t>
      </w:r>
    </w:p>
    <w:p>
      <w:pPr>
        <w:pStyle w:val="Normal"/>
        <w:tabs>
          <w:tab w:val="clear" w:pos="720"/>
          <w:tab w:val="left" w:pos="3138" w:leader="none"/>
          <w:tab w:val="left" w:pos="6026" w:leader="none"/>
        </w:tabs>
        <w:rPr>
          <w:rFonts w:ascii="Times New Roman" w:hAnsi="Times New Roman" w:cs="Times New Roman"/>
          <w:b w:val="false"/>
          <w:bCs w:val="false"/>
          <w:i w:val="false"/>
          <w:iCs w:val="false"/>
          <w:color w:val="000000"/>
          <w:sz w:val="24"/>
          <w:szCs w:val="24"/>
        </w:rPr>
      </w:pPr>
      <w:r>
        <w:rPr>
          <w:rFonts w:cs="Times New Roman" w:ascii="Times New Roman" w:hAnsi="Times New Roman"/>
          <w:b w:val="false"/>
          <w:bCs w:val="false"/>
          <w:i w:val="false"/>
          <w:iCs w:val="false"/>
          <w:color w:val="000000"/>
          <w:sz w:val="24"/>
          <w:szCs w:val="24"/>
        </w:rPr>
        <w:t xml:space="preserve">                                                                                              </w:t>
      </w:r>
      <w:r>
        <w:rPr>
          <w:rFonts w:cs="Times New Roman" w:ascii="Times New Roman" w:hAnsi="Times New Roman"/>
          <w:b w:val="false"/>
          <w:bCs w:val="false"/>
          <w:i w:val="false"/>
          <w:iCs w:val="false"/>
          <w:color w:val="000000"/>
          <w:sz w:val="24"/>
          <w:szCs w:val="24"/>
        </w:rPr>
        <w:t>Submission date: Oct 18/2025</w:t>
      </w:r>
      <w:r>
        <w:br w:type="page"/>
      </w:r>
    </w:p>
    <w:p>
      <w:pPr>
        <w:pStyle w:val="Title"/>
        <w:spacing w:before="0" w:after="300"/>
        <w:jc w:val="center"/>
        <w:rPr>
          <w:color w:val="000000"/>
        </w:rPr>
      </w:pPr>
      <w:r>
        <w:rPr>
          <w:color w:val="000000"/>
        </w:rPr>
        <w:t xml:space="preserve">Online </w:t>
      </w:r>
      <w:r>
        <w:rPr>
          <w:color w:val="000000"/>
        </w:rPr>
        <w:t xml:space="preserve">AASTU </w:t>
      </w:r>
      <w:r>
        <w:rPr>
          <w:color w:val="000000"/>
        </w:rPr>
        <w:t xml:space="preserve">ClearanceFlow System </w:t>
      </w:r>
    </w:p>
    <w:p>
      <w:pPr>
        <w:pStyle w:val="Heading1"/>
        <w:rPr>
          <w:color w:val="000000"/>
        </w:rPr>
      </w:pPr>
      <w:r>
        <w:rPr>
          <w:color w:val="000000"/>
        </w:rPr>
        <w:t>Introduction</w:t>
      </w:r>
    </w:p>
    <w:p>
      <w:pPr>
        <w:pStyle w:val="normal1"/>
        <w:rPr>
          <w:color w:val="000000"/>
        </w:rPr>
      </w:pPr>
      <w:r>
        <w:rPr>
          <w:color w:val="000000"/>
        </w:rPr>
        <w:t>This report provides a comprehensive system analysis of the proposed Online ClearanceFlow System. It synthesizes the core components, their architectural structure, interaction lifecycles, and underlying dependencies. Additionally, it details the specific functions, integration strategies, system objectives, inputs, processing techniques, outputs, environment, and defined system boundaries.</w:t>
      </w:r>
    </w:p>
    <w:p>
      <w:pPr>
        <w:pStyle w:val="Heading1"/>
        <w:rPr>
          <w:color w:val="000000"/>
        </w:rPr>
      </w:pPr>
      <w:r>
        <w:rPr>
          <w:color w:val="000000"/>
        </w:rPr>
        <w:t>1. System Components</w:t>
      </w:r>
    </w:p>
    <w:p>
      <w:pPr>
        <w:pStyle w:val="normal1"/>
        <w:rPr>
          <w:color w:val="000000"/>
        </w:rPr>
      </w:pPr>
      <w:r>
        <w:rPr>
          <w:color w:val="000000"/>
        </w:rPr>
        <w:t>The system is decomposed into three fundamental functional categories to process inputs into verified outputs:</w:t>
      </w:r>
    </w:p>
    <w:p>
      <w:pPr>
        <w:pStyle w:val="Heading2"/>
        <w:rPr>
          <w:color w:val="000000"/>
        </w:rPr>
      </w:pPr>
      <w:r>
        <w:rPr>
          <w:color w:val="000000"/>
        </w:rPr>
        <w:t>Boundary / User Interface Components</w:t>
      </w:r>
    </w:p>
    <w:p>
      <w:pPr>
        <w:pStyle w:val="normal1"/>
        <w:rPr>
          <w:color w:val="000000"/>
        </w:rPr>
      </w:pPr>
      <w:r>
        <w:rPr>
          <w:color w:val="000000"/>
        </w:rPr>
        <w:t xml:space="preserve">• </w:t>
      </w:r>
      <w:r>
        <w:rPr>
          <w:color w:val="000000"/>
        </w:rPr>
        <w:t>Student Portal Subsystem: Front-end interface for student authentication, profile input, request submission, and real-time tracking.</w:t>
        <w:br/>
        <w:t>• Departmental Approval Dashboards: Seven customized functional interfaces for clearing authorities (Academic, Library, Dormitory, Dining, Student Affairs, Discipline, and Cost Sharing).</w:t>
        <w:br/>
        <w:t>• Registrar Master Admin Portal: Gateway for master oversight, configuration, override capabilities, and final execution.</w:t>
      </w:r>
    </w:p>
    <w:p>
      <w:pPr>
        <w:pStyle w:val="Heading2"/>
        <w:rPr>
          <w:color w:val="000000"/>
        </w:rPr>
      </w:pPr>
      <w:r>
        <w:rPr>
          <w:color w:val="000000"/>
        </w:rPr>
        <w:t>Control / Core Processing Components</w:t>
      </w:r>
    </w:p>
    <w:p>
      <w:pPr>
        <w:pStyle w:val="normal1"/>
        <w:rPr>
          <w:color w:val="000000"/>
        </w:rPr>
      </w:pPr>
      <w:r>
        <w:rPr>
          <w:color w:val="000000"/>
        </w:rPr>
        <w:t xml:space="preserve">• </w:t>
      </w:r>
      <w:r>
        <w:rPr>
          <w:color w:val="000000"/>
        </w:rPr>
        <w:t>Authentication and Authorization Module: Security component for validating credentials and managing roles.</w:t>
        <w:br/>
        <w:t>• Workflow Logic &amp; Routing Engine: Central logic processor mapping structural dependencies, handling parallel routing, and executing conditional gates.</w:t>
        <w:br/>
        <w:t>• Notification and Messaging Component: Automated system generating events and push updates.</w:t>
        <w:br/>
        <w:t>• Document Generation Engine: Background service compiling approval records into a secure digital PDF.</w:t>
      </w:r>
    </w:p>
    <w:p>
      <w:pPr>
        <w:pStyle w:val="Heading2"/>
        <w:rPr>
          <w:color w:val="000000"/>
        </w:rPr>
      </w:pPr>
      <w:r>
        <w:rPr>
          <w:color w:val="000000"/>
        </w:rPr>
        <w:t>Entity / Data Storage Components (Central Database)</w:t>
      </w:r>
    </w:p>
    <w:p>
      <w:pPr>
        <w:pStyle w:val="normal1"/>
        <w:rPr>
          <w:color w:val="000000"/>
        </w:rPr>
      </w:pPr>
      <w:r>
        <w:rPr>
          <w:color w:val="000000"/>
        </w:rPr>
        <w:t xml:space="preserve">• </w:t>
      </w:r>
      <w:r>
        <w:rPr>
          <w:color w:val="000000"/>
        </w:rPr>
        <w:t>Student Registry Table: Profiles, IDs, Departments.</w:t>
        <w:br/>
        <w:t>• Clearance Transaction Ledger: Tracking of approvals/holds per department.</w:t>
        <w:br/>
        <w:t>• Institutional Hold Matrix: Fines, unreturned items, pending cases.</w:t>
        <w:br/>
        <w:t>• System Audit Logs: Timestamped history of actions and signatures.</w:t>
      </w:r>
    </w:p>
    <w:p>
      <w:pPr>
        <w:pStyle w:val="Heading1"/>
        <w:rPr>
          <w:color w:val="000000"/>
        </w:rPr>
      </w:pPr>
      <w:r>
        <w:rPr>
          <w:color w:val="000000"/>
        </w:rPr>
        <w:t>2. System Architecture Structure</w:t>
      </w:r>
    </w:p>
    <w:p>
      <w:pPr>
        <w:pStyle w:val="normal1"/>
        <w:rPr>
          <w:color w:val="000000"/>
        </w:rPr>
      </w:pPr>
      <w:r>
        <w:rPr>
          <w:color w:val="000000"/>
        </w:rPr>
        <w:t>The system utilizes a 3-layer architecture to ensure clear separation of concerns:</w:t>
      </w:r>
    </w:p>
    <w:p>
      <w:pPr>
        <w:pStyle w:val="normal1"/>
        <w:rPr>
          <w:color w:val="000000"/>
        </w:rPr>
      </w:pPr>
      <w:r>
        <w:rPr>
          <w:color w:val="000000"/>
        </w:rPr>
        <w:t>1. User Interface Layer (Top Layer): Where human interaction occurs (Student Portal, Departmental Dashboards, Registrar Portal).</w:t>
        <w:br/>
        <w:t>2. Core Processing Layer (Middle Layer): The 'brain' mediating requests. Contains the Auth Module, Workflow Engine, Notification Component, and Document Generation Engine. UIs do not interact with the database directly.</w:t>
        <w:br/>
        <w:t>3. Data Layer (Bottom Layer): Central database containing the Student Registry, Clearance Ledger, Hold Matrix, and Audit Logs.</w:t>
      </w:r>
    </w:p>
    <w:p>
      <w:pPr>
        <w:pStyle w:val="Heading1"/>
        <w:rPr>
          <w:color w:val="000000"/>
        </w:rPr>
      </w:pPr>
      <w:r>
        <w:rPr>
          <w:color w:val="000000"/>
        </w:rPr>
        <w:t>3. Component Interactions &amp; Operational Lifecycle</w:t>
      </w:r>
    </w:p>
    <w:p>
      <w:pPr>
        <w:pStyle w:val="normal1"/>
        <w:rPr>
          <w:color w:val="000000"/>
        </w:rPr>
      </w:pPr>
      <w:r>
        <w:rPr>
          <w:color w:val="000000"/>
        </w:rPr>
        <w:t>Interactions follow the BCE (Boundary-Control-Entity) pattern. Boundary interfaces communicate exclusively with Entity tables via Control engines. The lifecycle consists of five phases:</w:t>
      </w:r>
    </w:p>
    <w:p>
      <w:pPr>
        <w:pStyle w:val="normal1"/>
        <w:rPr>
          <w:color w:val="000000"/>
        </w:rPr>
      </w:pPr>
      <w:r>
        <w:rPr>
          <w:color w:val="000000"/>
        </w:rPr>
        <w:t xml:space="preserve">• </w:t>
      </w:r>
      <w:r>
        <w:rPr>
          <w:color w:val="000000"/>
        </w:rPr>
        <w:t>Phase 1: Authentication &amp; Request Initiation (Student submits via UI; Auth module verifies; Engine creates pending ledger).</w:t>
        <w:br/>
        <w:t>• Phase 2: Parallel Routing &amp; Pre-Screening (Engine broadcasts requests to the 7 departmental dashboards and screens the Hold Matrix).</w:t>
        <w:br/>
        <w:t>• Phase 3: Departmental Review (Departments independently evaluate. Path A: Approve, UI syncs. Path B: Hold placed in Matrix, student alerted).</w:t>
        <w:br/>
        <w:t>• Phase 4: Conditional Gate Evaluation (Engine monitors until all 7 are approved, then unlocks Registrar portal for final sign-off).</w:t>
        <w:br/>
        <w:t>• Phase 5: Document Generation (Ledger set to fully cleared triggers Document Engine to create triplicate PDF).</w:t>
      </w:r>
    </w:p>
    <w:p>
      <w:pPr>
        <w:pStyle w:val="Heading1"/>
        <w:rPr>
          <w:color w:val="000000"/>
        </w:rPr>
      </w:pPr>
      <w:r>
        <w:rPr>
          <w:color w:val="000000"/>
        </w:rPr>
        <w:t>4. System Dependencies</w:t>
      </w:r>
    </w:p>
    <w:p>
      <w:pPr>
        <w:pStyle w:val="normal1"/>
        <w:rPr>
          <w:color w:val="000000"/>
        </w:rPr>
      </w:pPr>
      <w:r>
        <w:rPr>
          <w:color w:val="000000"/>
        </w:rPr>
        <w:t>The overall dependency flow operates as: User Interfaces -&gt; Auth Module -&gt; Workflow Engine -&gt; Data Storage -&gt; Workflow Engine -&gt; Notifications/UIs.</w:t>
      </w:r>
    </w:p>
    <w:p>
      <w:pPr>
        <w:pStyle w:val="normal1"/>
        <w:rPr>
          <w:color w:val="000000"/>
        </w:rPr>
      </w:pPr>
      <w:r>
        <w:rPr>
          <w:color w:val="000000"/>
        </w:rPr>
        <w:t xml:space="preserve">• </w:t>
      </w:r>
      <w:r>
        <w:rPr>
          <w:color w:val="000000"/>
        </w:rPr>
        <w:t>Boundary Dependencies: UI portals depend on the Auth Module for access, the Workflow Engine to submit/retrieve data, and the Notification Component for alerts.</w:t>
        <w:br/>
        <w:t>• Control Dependencies: The Workflow Engine depends on the Data Layer for profile and state data, while the Document Engine depends on the Workflow Engine's final signal and Data Layer logs.</w:t>
        <w:br/>
        <w:t>• Entity Dependencies: The Data Layer relies on authorized system actions via the Control components to maintain integrity.</w:t>
      </w:r>
    </w:p>
    <w:p>
      <w:pPr>
        <w:pStyle w:val="Heading1"/>
        <w:rPr>
          <w:color w:val="000000"/>
        </w:rPr>
      </w:pPr>
      <w:r>
        <w:rPr>
          <w:color w:val="000000"/>
        </w:rPr>
        <w:t>5. Component Functions &amp; Integration Workflow</w:t>
      </w:r>
    </w:p>
    <w:p>
      <w:pPr>
        <w:pStyle w:val="normal1"/>
        <w:rPr>
          <w:color w:val="000000"/>
        </w:rPr>
      </w:pPr>
      <w:r>
        <w:rPr>
          <w:color w:val="000000"/>
        </w:rPr>
        <w:t>Integration is coordinated by the central database and workflow engine. The flow begins with student login (Auth Module), followed by request submission (Student Portal). The Workflow Engine distributes this to specific Departmental Dashboards (e.g., Library checking books, Finance checking costs). Each department checks requirements and logs decisions in the Database. The Notification Engine alerts users of status changes. Finally, upon Registrar verification, the Document Engine pulls database records to generate the PDF.</w:t>
      </w:r>
    </w:p>
    <w:p>
      <w:pPr>
        <w:pStyle w:val="Heading1"/>
        <w:rPr>
          <w:color w:val="000000"/>
        </w:rPr>
      </w:pPr>
      <w:r>
        <w:rPr>
          <w:color w:val="000000"/>
        </w:rPr>
        <w:t>6. System Objectives</w:t>
      </w:r>
    </w:p>
    <w:p>
      <w:pPr>
        <w:pStyle w:val="normal1"/>
        <w:rPr>
          <w:color w:val="000000"/>
        </w:rPr>
      </w:pPr>
      <w:r>
        <w:rPr>
          <w:color w:val="000000"/>
        </w:rPr>
        <w:t>The primary objective is to make the university clearance process easier, more transparent, and highly secure by replacing paper forms with a centralized digital platform. Specific goals include:</w:t>
      </w:r>
    </w:p>
    <w:p>
      <w:pPr>
        <w:pStyle w:val="normal1"/>
        <w:rPr>
          <w:color w:val="000000"/>
        </w:rPr>
      </w:pPr>
      <w:r>
        <w:rPr>
          <w:color w:val="000000"/>
        </w:rPr>
        <w:t xml:space="preserve">• </w:t>
      </w:r>
      <w:r>
        <w:rPr>
          <w:color w:val="000000"/>
        </w:rPr>
        <w:t>Automating workflow and parallelizing request routing.</w:t>
        <w:br/>
        <w:t>• Cutting processing time and reducing physical office visits.</w:t>
        <w:br/>
        <w:t>• Improving transparency via real-time student tracking.</w:t>
        <w:br/>
        <w:t>• Enhancing accuracy and security of student records through role-based access and audit logs.</w:t>
        <w:br/>
        <w:t>• Supporting the Registrar's Office in final verification and automated document generation</w:t>
      </w:r>
    </w:p>
    <w:p>
      <w:pPr>
        <w:pStyle w:val="Heading1"/>
        <w:rPr>
          <w:color w:val="000000"/>
        </w:rPr>
      </w:pPr>
      <w:r>
        <w:rPr>
          <w:color w:val="000000"/>
        </w:rPr>
        <w:t>7. Inputs, Processing, Outputs, Environment, and Boundary</w:t>
      </w:r>
    </w:p>
    <w:p>
      <w:pPr>
        <w:pStyle w:val="Heading2"/>
        <w:rPr>
          <w:color w:val="000000"/>
        </w:rPr>
      </w:pPr>
      <w:r>
        <w:rPr>
          <w:color w:val="000000"/>
        </w:rPr>
        <w:t>Inputs</w:t>
      </w:r>
    </w:p>
    <w:p>
      <w:pPr>
        <w:pStyle w:val="normal1"/>
        <w:rPr>
          <w:color w:val="000000"/>
        </w:rPr>
      </w:pPr>
      <w:r>
        <w:rPr>
          <w:color w:val="000000"/>
        </w:rPr>
        <w:t>Student data (Name, ID, department, clearance reason), office verification results (approvals/holds), and user login credentials/roles.</w:t>
      </w:r>
    </w:p>
    <w:p>
      <w:pPr>
        <w:pStyle w:val="Heading2"/>
        <w:rPr>
          <w:color w:val="000000"/>
        </w:rPr>
      </w:pPr>
      <w:r>
        <w:rPr>
          <w:color w:val="000000"/>
        </w:rPr>
        <w:t>Processing Techniques</w:t>
      </w:r>
    </w:p>
    <w:p>
      <w:pPr>
        <w:pStyle w:val="normal1"/>
        <w:rPr>
          <w:color w:val="000000"/>
        </w:rPr>
      </w:pPr>
      <w:r>
        <w:rPr>
          <w:color w:val="000000"/>
        </w:rPr>
        <w:t>Input validation, credential authentication, workflow routing, state updates, notification dispatch, and document rendering based on conditional logic.</w:t>
      </w:r>
    </w:p>
    <w:p>
      <w:pPr>
        <w:pStyle w:val="Heading2"/>
        <w:rPr>
          <w:color w:val="000000"/>
        </w:rPr>
      </w:pPr>
      <w:r>
        <w:rPr>
          <w:color w:val="000000"/>
        </w:rPr>
        <w:t>Outputs</w:t>
      </w:r>
    </w:p>
    <w:p>
      <w:pPr>
        <w:pStyle w:val="normal1"/>
        <w:rPr>
          <w:color w:val="000000"/>
        </w:rPr>
      </w:pPr>
      <w:r>
        <w:rPr>
          <w:color w:val="000000"/>
        </w:rPr>
        <w:t>Clearance dashboards, notifications, office decision logs, audit reports, and the final printable/downloadable clearance document.</w:t>
      </w:r>
    </w:p>
    <w:p>
      <w:pPr>
        <w:pStyle w:val="Heading2"/>
        <w:rPr>
          <w:color w:val="000000"/>
        </w:rPr>
      </w:pPr>
      <w:r>
        <w:rPr>
          <w:color w:val="000000"/>
        </w:rPr>
        <w:t>System Environment</w:t>
      </w:r>
    </w:p>
    <w:p>
      <w:pPr>
        <w:pStyle w:val="normal1"/>
        <w:rPr>
          <w:color w:val="000000"/>
        </w:rPr>
      </w:pPr>
      <w:r>
        <w:rPr>
          <w:color w:val="000000"/>
        </w:rPr>
        <w:t xml:space="preserve">• </w:t>
      </w:r>
      <w:r>
        <w:rPr>
          <w:color w:val="000000"/>
        </w:rPr>
        <w:t>Human: Students, Department Staff (Library, Dorm, Dining, etc.), Registrar, Admins.</w:t>
        <w:br/>
        <w:t>• Technical: Computers, mobile devices, web browsers, servers, databases, university network.</w:t>
        <w:br/>
        <w:t>• Institutional: Addis Ababa Science and Technology University (AASTU) rules and policies.</w:t>
      </w:r>
    </w:p>
    <w:p>
      <w:pPr>
        <w:pStyle w:val="Heading2"/>
        <w:rPr>
          <w:color w:val="000000"/>
        </w:rPr>
      </w:pPr>
      <w:r>
        <w:rPr>
          <w:color w:val="000000"/>
        </w:rPr>
        <w:t>System Boundary</w:t>
      </w:r>
    </w:p>
    <w:p>
      <w:pPr>
        <w:pStyle w:val="normal1"/>
        <w:widowControl/>
        <w:bidi w:val="0"/>
        <w:spacing w:lineRule="auto" w:line="276" w:before="0" w:after="200"/>
        <w:jc w:val="start"/>
        <w:rPr>
          <w:color w:val="000000"/>
        </w:rPr>
      </w:pPr>
      <w:r>
        <w:rPr>
          <w:color w:val="000000"/>
        </w:rPr>
        <w:t xml:space="preserve">• </w:t>
      </w:r>
      <w:r>
        <w:rPr>
          <w:color w:val="000000"/>
        </w:rPr>
        <w:t>Inside the Boundary: User login, application routing, state tracking, digital approvals, notifications, audit logging, and document generation.</w:t>
        <w:br/>
        <w:t>• Outside the Boundary: Physical return of books/property, disciplinary investigations, making physical payments, academic evaluations, and policy creation. The system records the results of these external real-world actions.</w:t>
      </w:r>
    </w:p>
    <w:sectPr>
      <w:type w:val="nextPage"/>
      <w:pgSz w:w="12240" w:h="15840"/>
      <w:pgMar w:left="1800" w:right="180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65"/>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200"/>
      <w:jc w:val="start"/>
    </w:pPr>
    <w:rPr>
      <w:rFonts w:ascii="Cambria" w:hAnsi="Cambria" w:eastAsia="Cambria" w:cs="Cambria"/>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480" w:after="0"/>
    </w:pPr>
    <w:rPr>
      <w:rFonts w:ascii="Calibri" w:hAnsi="Calibri" w:eastAsia="Calibri" w:cs="Calibri"/>
      <w:b/>
      <w:bCs/>
      <w:color w:val="366091"/>
      <w:sz w:val="28"/>
      <w:szCs w:val="28"/>
    </w:rPr>
  </w:style>
  <w:style w:type="paragraph" w:styleId="Heading2">
    <w:name w:val="heading 2"/>
    <w:basedOn w:val="normal1"/>
    <w:next w:val="normal1"/>
    <w:qFormat/>
    <w:pPr>
      <w:keepNext w:val="true"/>
      <w:keepLines/>
      <w:spacing w:lineRule="auto" w:line="240" w:before="200" w:after="0"/>
    </w:pPr>
    <w:rPr>
      <w:rFonts w:ascii="Calibri" w:hAnsi="Calibri" w:eastAsia="Calibri" w:cs="Calibri"/>
      <w:b/>
      <w:bCs/>
      <w:color w:val="4F81BD"/>
      <w:sz w:val="26"/>
      <w:szCs w:val="26"/>
    </w:rPr>
  </w:style>
  <w:style w:type="paragraph" w:styleId="Heading3">
    <w:name w:val="heading 3"/>
    <w:basedOn w:val="normal1"/>
    <w:next w:val="normal1"/>
    <w:qFormat/>
    <w:pPr>
      <w:keepNext w:val="true"/>
      <w:keepLines/>
      <w:spacing w:lineRule="auto" w:line="240" w:before="200" w:after="0"/>
    </w:pPr>
    <w:rPr>
      <w:rFonts w:ascii="Calibri" w:hAnsi="Calibri" w:eastAsia="Calibri" w:cs="Calibri"/>
      <w:b/>
      <w:bCs/>
      <w:color w:val="4F81BD"/>
    </w:rPr>
  </w:style>
  <w:style w:type="paragraph" w:styleId="Heading4">
    <w:name w:val="heading 4"/>
    <w:basedOn w:val="normal1"/>
    <w:next w:val="normal1"/>
    <w:qFormat/>
    <w:pPr>
      <w:keepNext w:val="true"/>
      <w:keepLines/>
      <w:spacing w:lineRule="auto" w:line="240" w:before="200" w:after="0"/>
    </w:pPr>
    <w:rPr>
      <w:rFonts w:ascii="Calibri" w:hAnsi="Calibri" w:eastAsia="Calibri" w:cs="Calibri"/>
      <w:b/>
      <w:bCs/>
      <w:i/>
      <w:iCs/>
      <w:color w:val="4F81BD"/>
    </w:rPr>
  </w:style>
  <w:style w:type="paragraph" w:styleId="Heading5">
    <w:name w:val="heading 5"/>
    <w:basedOn w:val="normal1"/>
    <w:next w:val="normal1"/>
    <w:qFormat/>
    <w:pPr>
      <w:keepNext w:val="true"/>
      <w:keepLines/>
      <w:spacing w:lineRule="auto" w:line="240" w:before="200" w:after="0"/>
    </w:pPr>
    <w:rPr>
      <w:rFonts w:ascii="Calibri" w:hAnsi="Calibri" w:eastAsia="Calibri" w:cs="Calibri"/>
      <w:color w:val="243F61"/>
    </w:rPr>
  </w:style>
  <w:style w:type="paragraph" w:styleId="Heading6">
    <w:name w:val="heading 6"/>
    <w:basedOn w:val="normal1"/>
    <w:next w:val="normal1"/>
    <w:qFormat/>
    <w:pPr>
      <w:keepNext w:val="true"/>
      <w:keepLines/>
      <w:spacing w:lineRule="auto" w:line="240" w:before="200" w:after="0"/>
    </w:pPr>
    <w:rPr>
      <w:rFonts w:ascii="Calibri" w:hAnsi="Calibri" w:eastAsia="Calibri" w:cs="Calibri"/>
      <w:i/>
      <w:iCs/>
      <w:color w:val="243F61"/>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suppressAutoHyphens w:val="true"/>
      <w:bidi w:val="0"/>
      <w:spacing w:lineRule="auto" w:line="276" w:before="0" w:after="200"/>
      <w:jc w:val="start"/>
    </w:pPr>
    <w:rPr>
      <w:rFonts w:ascii="Cambria" w:hAnsi="Cambria" w:eastAsia="Cambria" w:cs="Cambria"/>
      <w:color w:val="auto"/>
      <w:kern w:val="0"/>
      <w:sz w:val="22"/>
      <w:szCs w:val="22"/>
      <w:lang w:val="en-US" w:eastAsia="zh-CN" w:bidi="hi-IN"/>
    </w:rPr>
  </w:style>
  <w:style w:type="paragraph" w:styleId="Title">
    <w:name w:val="Title"/>
    <w:basedOn w:val="normal1"/>
    <w:next w:val="normal1"/>
    <w:qFormat/>
    <w:pPr>
      <w:pBdr>
        <w:bottom w:val="single" w:sz="8" w:space="4" w:color="4F81BD"/>
      </w:pBdr>
      <w:spacing w:lineRule="auto" w:line="240" w:before="0" w:after="300"/>
    </w:pPr>
    <w:rPr>
      <w:rFonts w:ascii="Calibri" w:hAnsi="Calibri" w:eastAsia="Calibri" w:cs="Calibri"/>
      <w:color w:val="17365D"/>
      <w:sz w:val="52"/>
      <w:szCs w:val="52"/>
    </w:rPr>
  </w:style>
  <w:style w:type="paragraph" w:styleId="Subtitle">
    <w:name w:val="Subtitle"/>
    <w:basedOn w:val="normal1"/>
    <w:next w:val="normal1"/>
    <w:qFormat/>
    <w:pPr/>
    <w:rPr>
      <w:rFonts w:ascii="Calibri" w:hAnsi="Calibri" w:eastAsia="Calibri" w:cs="Calibri"/>
      <w:i/>
      <w:iCs/>
      <w:color w:val="4F81BD"/>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20"/>
        <w:tab w:val="center" w:pos="4320" w:leader="none"/>
        <w:tab w:val="right" w:pos="8640" w:leader="none"/>
      </w:tabs>
    </w:pPr>
    <w:rPr/>
  </w:style>
  <w:style w:type="paragraph" w:styleId="Footer">
    <w:name w:val="footer"/>
    <w:basedOn w:val="HeaderandFooter"/>
    <w:pPr>
      <w:suppressLineNumbers/>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LibreOffice/26.2.4.2$Windows_X86_64 LibreOffice_project/0229ac93fcf0d7cbc6376066c6f35021cef002dc</Application>
  <AppVersion>15.0000</AppVersion>
  <Pages>4</Pages>
  <Words>872</Words>
  <Characters>5783</Characters>
  <CharactersWithSpaces>7038</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2026-10-18T17:06:31Z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