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left"/>
      </w:pPr>
      <w:r>
        <w:rPr>
          <w:rFonts w:ascii="Segoe UI" w:hAnsi="Segoe UI"/>
          <w:b/>
          <w:color w:val="1A73E8"/>
          <w:sz w:val="48"/>
        </w:rPr>
        <w:t>Multi-Tenant Chatbot SaaS Platform</w:t>
        <w:br/>
        <w:t>Implementation &amp; Integration Guide</w:t>
      </w:r>
    </w:p>
    <w:p>
      <w:pPr>
        <w:spacing w:after="960"/>
      </w:pPr>
      <w:r>
        <w:rPr>
          <w:rFonts w:ascii="Segoe UI" w:hAnsi="Segoe UI"/>
          <w:color w:val="5F6368"/>
          <w:sz w:val="24"/>
        </w:rPr>
        <w:t>A comprehensive blueprint for AI agents and developers to build, configure, and deploy a standalone, secure, multi-tenant Chatbot-as-a-Service (SaaS) system.</w:t>
      </w:r>
    </w:p>
    <w:p>
      <w:pPr>
        <w:pStyle w:val="Heading1"/>
        <w:keepNext/>
        <w:spacing w:before="240" w:after="120"/>
      </w:pPr>
      <w:r>
        <w:rPr>
          <w:rFonts w:ascii="Segoe UI" w:hAnsi="Segoe UI"/>
          <w:b/>
          <w:color w:val="1A73E8"/>
          <w:sz w:val="36"/>
        </w:rPr>
        <w:t>1. Architectural Blueprint</w:t>
      </w:r>
    </w:p>
    <w:p>
      <w:pPr>
        <w:spacing w:before="0" w:after="120" w:line="276" w:lineRule="auto"/>
      </w:pPr>
      <w:r>
        <w:rPr>
          <w:rFonts w:ascii="Segoe UI" w:hAnsi="Segoe UI"/>
          <w:color w:val="333333"/>
          <w:sz w:val="21"/>
        </w:rPr>
        <w:t>The Multi-Tenant Chatbot SaaS Platform is structured as three distinct, modular components designed to run as a standalone ecosystem. By exposing a lightweight compiled JavaScript widget, tenants can enable context-aware AI support on any client website while managing settings, routes, and billing from a central control dashboard.</w:t>
      </w:r>
    </w:p>
    <w:p>
      <w:pPr>
        <w:spacing w:before="0" w:after="120" w:line="276" w:lineRule="auto"/>
      </w:pPr>
      <w:r>
        <w:rPr>
          <w:rFonts w:ascii="Segoe UI" w:hAnsi="Segoe UI"/>
          <w:color w:val="333333"/>
          <w:sz w:val="21"/>
        </w:rPr>
        <w:t>The system comprises the following components:</w:t>
      </w:r>
    </w:p>
    <w:p>
      <w:pPr>
        <w:pStyle w:val="ListBullet"/>
        <w:spacing w:before="0" w:after="60" w:line="276" w:lineRule="auto"/>
      </w:pPr>
      <w:r>
        <w:rPr>
          <w:rFonts w:ascii="Segoe UI" w:hAnsi="Segoe UI"/>
          <w:b/>
          <w:color w:val="333333"/>
          <w:sz w:val="21"/>
        </w:rPr>
        <w:t xml:space="preserve">1. chatbot-saas-platform (Backend): </w:t>
      </w:r>
      <w:r>
        <w:rPr>
          <w:rFonts w:ascii="Segoe UI" w:hAnsi="Segoe UI"/>
          <w:color w:val="333333"/>
          <w:sz w:val="21"/>
        </w:rPr>
        <w:t>A robust Django REST Framework service that handles API key issuance, rate limiting, client domain validation (CORS), prompt assembly, Celery usage metrics logging, and graph database storage integration (Neo4j).</w:t>
      </w:r>
    </w:p>
    <w:p>
      <w:pPr>
        <w:pStyle w:val="ListBullet"/>
        <w:spacing w:before="0" w:after="60" w:line="276" w:lineRule="auto"/>
      </w:pPr>
      <w:r>
        <w:rPr>
          <w:rFonts w:ascii="Segoe UI" w:hAnsi="Segoe UI"/>
          <w:b/>
          <w:color w:val="333333"/>
          <w:sz w:val="21"/>
        </w:rPr>
        <w:t xml:space="preserve">2. chatbot-saas-widget (Embedded Frontend): </w:t>
      </w:r>
      <w:r>
        <w:rPr>
          <w:rFonts w:ascii="Segoe UI" w:hAnsi="Segoe UI"/>
          <w:color w:val="333333"/>
          <w:sz w:val="21"/>
        </w:rPr>
        <w:t>A highly optimized Vite + TypeScript library compiled into a single static JS bundle. It loads on tenant websites, monitors user navigation, compiles DOM knowledge (headings, buttons, forms, instructions) using an accessibility-friendly scanner, and communicates dynamically with the backend.</w:t>
      </w:r>
    </w:p>
    <w:p>
      <w:pPr>
        <w:pStyle w:val="ListBullet"/>
        <w:spacing w:before="0" w:after="60" w:line="276" w:lineRule="auto"/>
      </w:pPr>
      <w:r>
        <w:rPr>
          <w:rFonts w:ascii="Segoe UI" w:hAnsi="Segoe UI"/>
          <w:b/>
          <w:color w:val="333333"/>
          <w:sz w:val="21"/>
        </w:rPr>
        <w:t xml:space="preserve">3. chatbot-saas-dashboard (Tenant Portal): </w:t>
      </w:r>
      <w:r>
        <w:rPr>
          <w:rFonts w:ascii="Segoe UI" w:hAnsi="Segoe UI"/>
          <w:color w:val="333333"/>
          <w:sz w:val="21"/>
        </w:rPr>
        <w:t>A Tailwind CSS-styled React application that lets tenants sign up, purchase API quotas via Stripe, customize the visual widget, edit routes/allowed roles, view usage history, and configure specialized graph embeddings.</w:t>
      </w:r>
    </w:p>
    <w:p>
      <w:pPr>
        <w:pStyle w:val="Heading1"/>
        <w:keepNext/>
        <w:spacing w:before="240" w:after="120"/>
      </w:pPr>
      <w:r>
        <w:rPr>
          <w:rFonts w:ascii="Segoe UI" w:hAnsi="Segoe UI"/>
          <w:b/>
          <w:color w:val="1A73E8"/>
          <w:sz w:val="36"/>
        </w:rPr>
        <w:t>2. Relational Database Design (PostgreSQL)</w:t>
      </w:r>
    </w:p>
    <w:p>
      <w:pPr>
        <w:spacing w:before="0" w:after="120" w:line="276" w:lineRule="auto"/>
      </w:pPr>
      <w:r>
        <w:rPr>
          <w:rFonts w:ascii="Segoe UI" w:hAnsi="Segoe UI"/>
          <w:color w:val="333333"/>
          <w:sz w:val="21"/>
        </w:rPr>
        <w:t>Multi-tenant isolation in the relational layer is achieved through client partitioning (foreign key association with the Tenant model). This ensures that configurations, analytics, and scraped content remain private to each client.</w:t>
      </w:r>
    </w:p>
    <w:p>
      <w:pPr>
        <w:spacing w:before="0" w:after="120" w:line="276" w:lineRule="auto"/>
      </w:pPr>
      <w:r>
        <w:rPr>
          <w:rFonts w:ascii="Segoe UI" w:hAnsi="Segoe UI"/>
          <w:color w:val="333333"/>
          <w:sz w:val="21"/>
        </w:rPr>
        <w:t>Here is the relational database layout for the critical tables: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73E8"/>
          </w:tcPr>
          <w:p>
            <w:r>
              <w:rPr>
                <w:rFonts w:ascii="Segoe UI" w:hAnsi="Segoe UI"/>
                <w:b/>
                <w:color w:val="FFFFFF"/>
                <w:sz w:val="19"/>
              </w:rPr>
              <w:t>Table Name</w:t>
            </w:r>
          </w:p>
        </w:tc>
        <w:tc>
          <w:tcPr>
            <w:tcW w:type="dxa" w:w="2160"/>
            <w:shd w:val="clear" w:color="auto" w:fill="1A73E8"/>
          </w:tcPr>
          <w:p>
            <w:r>
              <w:rPr>
                <w:rFonts w:ascii="Segoe UI" w:hAnsi="Segoe UI"/>
                <w:b/>
                <w:color w:val="FFFFFF"/>
                <w:sz w:val="19"/>
              </w:rPr>
              <w:t>Field</w:t>
            </w:r>
          </w:p>
        </w:tc>
        <w:tc>
          <w:tcPr>
            <w:tcW w:type="dxa" w:w="1872"/>
            <w:shd w:val="clear" w:color="auto" w:fill="1A73E8"/>
          </w:tcPr>
          <w:p>
            <w:r>
              <w:rPr>
                <w:rFonts w:ascii="Segoe UI" w:hAnsi="Segoe UI"/>
                <w:b/>
                <w:color w:val="FFFFFF"/>
                <w:sz w:val="19"/>
              </w:rPr>
              <w:t>Data Type</w:t>
            </w:r>
          </w:p>
        </w:tc>
        <w:tc>
          <w:tcPr>
            <w:tcW w:type="dxa" w:w="3168"/>
            <w:shd w:val="clear" w:color="auto" w:fill="1A73E8"/>
          </w:tcPr>
          <w:p>
            <w:r>
              <w:rPr>
                <w:rFonts w:ascii="Segoe UI" w:hAnsi="Segoe UI"/>
                <w:b/>
                <w:color w:val="FFFFFF"/>
                <w:sz w:val="19"/>
              </w:rPr>
              <w:t>Role &amp; Description</w:t>
            </w:r>
          </w:p>
        </w:tc>
      </w:tr>
      <w:tr>
        <w:tc>
          <w:tcPr>
            <w:tcW w:type="dxa" w:w="2160"/>
          </w:tcPr>
          <w:p>
            <w:pPr>
              <w:spacing w:before="40" w:after="40" w:line="276" w:lineRule="auto"/>
            </w:pPr>
            <w:r>
              <w:rPr>
                <w:rFonts w:ascii="Segoe UI" w:hAnsi="Segoe UI"/>
                <w:color w:val="333333"/>
                <w:sz w:val="17"/>
              </w:rPr>
              <w:t>tenant</w:t>
            </w:r>
          </w:p>
        </w:tc>
        <w:tc>
          <w:tcPr>
            <w:tcW w:type="dxa" w:w="2160"/>
          </w:tcPr>
          <w:p>
            <w:pPr>
              <w:spacing w:before="40" w:after="40" w:line="276" w:lineRule="auto"/>
            </w:pPr>
            <w:r>
              <w:rPr>
                <w:rFonts w:ascii="Segoe UI" w:hAnsi="Segoe UI"/>
                <w:color w:val="333333"/>
                <w:sz w:val="17"/>
              </w:rPr>
              <w:t>id</w:t>
              <w:br/>
              <w:t>name</w:t>
              <w:br/>
              <w:t>plan</w:t>
              <w:br/>
              <w:t>monthly_message_quota</w:t>
              <w:br/>
              <w:t>allowed_origins</w:t>
              <w:br/>
              <w:t>custom_system_prompt_override</w:t>
              <w:br/>
              <w:t>neo4j_uri / user / password</w:t>
            </w:r>
          </w:p>
        </w:tc>
        <w:tc>
          <w:tcPr>
            <w:tcW w:type="dxa" w:w="1872"/>
          </w:tcPr>
          <w:p>
            <w:pPr>
              <w:spacing w:before="40" w:after="40" w:line="276" w:lineRule="auto"/>
            </w:pPr>
            <w:r>
              <w:rPr>
                <w:rFonts w:ascii="Segoe UI" w:hAnsi="Segoe UI"/>
                <w:color w:val="333333"/>
                <w:sz w:val="17"/>
              </w:rPr>
              <w:t>UUID (PK)</w:t>
              <w:br/>
              <w:t>CharField</w:t>
              <w:br/>
              <w:t>CharField</w:t>
              <w:br/>
              <w:t>IntegerField</w:t>
              <w:br/>
              <w:t>TextField</w:t>
              <w:br/>
              <w:t>TextField</w:t>
              <w:br/>
              <w:t>CharField</w:t>
            </w:r>
          </w:p>
        </w:tc>
        <w:tc>
          <w:tcPr>
            <w:tcW w:type="dxa" w:w="3168"/>
          </w:tcPr>
          <w:p>
            <w:pPr>
              <w:spacing w:before="40" w:after="40" w:line="276" w:lineRule="auto"/>
            </w:pPr>
            <w:r>
              <w:rPr>
                <w:rFonts w:ascii="Segoe UI" w:hAnsi="Segoe UI"/>
                <w:color w:val="333333"/>
                <w:sz w:val="17"/>
              </w:rPr>
              <w:t>Uniquely identifies the client workspace.</w:t>
              <w:br/>
              <w:t>Stores tenant name, tier subscription,</w:t>
              <w:br/>
              <w:t>allowed CORS origins (newline-separated),</w:t>
              <w:br/>
              <w:t>system prompt template overrides, and</w:t>
              <w:br/>
              <w:t>tenant-specific graph credentials.</w:t>
            </w:r>
          </w:p>
        </w:tc>
      </w:tr>
      <w:tr>
        <w:tc>
          <w:tcPr>
            <w:tcW w:type="dxa" w:w="2160"/>
          </w:tcPr>
          <w:p>
            <w:pPr>
              <w:spacing w:before="40" w:after="40" w:line="276" w:lineRule="auto"/>
            </w:pPr>
            <w:r>
              <w:rPr>
                <w:rFonts w:ascii="Segoe UI" w:hAnsi="Segoe UI"/>
                <w:color w:val="333333"/>
                <w:sz w:val="17"/>
              </w:rPr>
              <w:t>api_key</w:t>
            </w:r>
          </w:p>
        </w:tc>
        <w:tc>
          <w:tcPr>
            <w:tcW w:type="dxa" w:w="2160"/>
          </w:tcPr>
          <w:p>
            <w:pPr>
              <w:spacing w:before="40" w:after="40" w:line="276" w:lineRule="auto"/>
            </w:pPr>
            <w:r>
              <w:rPr>
                <w:rFonts w:ascii="Segoe UI" w:hAnsi="Segoe UI"/>
                <w:color w:val="333333"/>
                <w:sz w:val="17"/>
              </w:rPr>
              <w:t>id</w:t>
              <w:br/>
              <w:t>tenant_id</w:t>
              <w:br/>
              <w:t>key_hash</w:t>
              <w:br/>
              <w:t>prefix</w:t>
              <w:br/>
              <w:t>name</w:t>
              <w:br/>
              <w:t>is_active</w:t>
              <w:br/>
              <w:t>allowed_origins</w:t>
            </w:r>
          </w:p>
        </w:tc>
        <w:tc>
          <w:tcPr>
            <w:tcW w:type="dxa" w:w="1872"/>
          </w:tcPr>
          <w:p>
            <w:pPr>
              <w:spacing w:before="40" w:after="40" w:line="276" w:lineRule="auto"/>
            </w:pPr>
            <w:r>
              <w:rPr>
                <w:rFonts w:ascii="Segoe UI" w:hAnsi="Segoe UI"/>
                <w:color w:val="333333"/>
                <w:sz w:val="17"/>
              </w:rPr>
              <w:t>UUID (PK)</w:t>
              <w:br/>
              <w:t>ForeignKey (tenant)</w:t>
              <w:br/>
              <w:t>CharField (unique, indexed)</w:t>
              <w:br/>
              <w:t>CharField (8 chars)</w:t>
              <w:br/>
              <w:t>CharField</w:t>
              <w:br/>
              <w:t>BooleanField</w:t>
              <w:br/>
              <w:t>TextField</w:t>
            </w:r>
          </w:p>
        </w:tc>
        <w:tc>
          <w:tcPr>
            <w:tcW w:type="dxa" w:w="3168"/>
          </w:tcPr>
          <w:p>
            <w:pPr>
              <w:spacing w:before="40" w:after="40" w:line="276" w:lineRule="auto"/>
            </w:pPr>
            <w:r>
              <w:rPr>
                <w:rFonts w:ascii="Segoe UI" w:hAnsi="Segoe UI"/>
                <w:color w:val="333333"/>
                <w:sz w:val="17"/>
              </w:rPr>
              <w:t>Authorizes widget requests dynamically.</w:t>
              <w:br/>
              <w:t>Uses prefix matching for logging. Hashed</w:t>
              <w:br/>
              <w:t>using SHA-256 for secure lookup.</w:t>
              <w:br/>
              <w:t>Overrides tenant origins if specified.</w:t>
            </w:r>
          </w:p>
        </w:tc>
      </w:tr>
      <w:tr>
        <w:tc>
          <w:tcPr>
            <w:tcW w:type="dxa" w:w="2160"/>
          </w:tcPr>
          <w:p>
            <w:pPr>
              <w:spacing w:before="40" w:after="40" w:line="276" w:lineRule="auto"/>
            </w:pPr>
            <w:r>
              <w:rPr>
                <w:rFonts w:ascii="Segoe UI" w:hAnsi="Segoe UI"/>
                <w:color w:val="333333"/>
                <w:sz w:val="17"/>
              </w:rPr>
              <w:t>route_entry</w:t>
            </w:r>
          </w:p>
        </w:tc>
        <w:tc>
          <w:tcPr>
            <w:tcW w:type="dxa" w:w="2160"/>
          </w:tcPr>
          <w:p>
            <w:pPr>
              <w:spacing w:before="40" w:after="40" w:line="276" w:lineRule="auto"/>
            </w:pPr>
            <w:r>
              <w:rPr>
                <w:rFonts w:ascii="Segoe UI" w:hAnsi="Segoe UI"/>
                <w:color w:val="333333"/>
                <w:sz w:val="17"/>
              </w:rPr>
              <w:t>id</w:t>
              <w:br/>
              <w:t>tenant_id</w:t>
              <w:br/>
              <w:t>path</w:t>
              <w:br/>
              <w:t>name</w:t>
              <w:br/>
              <w:t>description</w:t>
              <w:br/>
              <w:t>allowed_roles</w:t>
              <w:br/>
              <w:t>is_active</w:t>
              <w:br/>
              <w:t>sort_order</w:t>
            </w:r>
          </w:p>
        </w:tc>
        <w:tc>
          <w:tcPr>
            <w:tcW w:type="dxa" w:w="1872"/>
          </w:tcPr>
          <w:p>
            <w:pPr>
              <w:spacing w:before="40" w:after="40" w:line="276" w:lineRule="auto"/>
            </w:pPr>
            <w:r>
              <w:rPr>
                <w:rFonts w:ascii="Segoe UI" w:hAnsi="Segoe UI"/>
                <w:color w:val="333333"/>
                <w:sz w:val="17"/>
              </w:rPr>
              <w:t>UUID (PK)</w:t>
              <w:br/>
              <w:t>ForeignKey (tenant)</w:t>
              <w:br/>
              <w:t>CharField</w:t>
              <w:br/>
              <w:t>CharField</w:t>
              <w:br/>
              <w:t>TextField</w:t>
              <w:br/>
              <w:t>JSONField</w:t>
              <w:br/>
              <w:t>BooleanField</w:t>
              <w:br/>
              <w:t>IntegerField</w:t>
            </w:r>
          </w:p>
        </w:tc>
        <w:tc>
          <w:tcPr>
            <w:tcW w:type="dxa" w:w="3168"/>
          </w:tcPr>
          <w:p>
            <w:pPr>
              <w:spacing w:before="40" w:after="40" w:line="276" w:lineRule="auto"/>
            </w:pPr>
            <w:r>
              <w:rPr>
                <w:rFonts w:ascii="Segoe UI" w:hAnsi="Segoe UI"/>
                <w:color w:val="333333"/>
                <w:sz w:val="17"/>
              </w:rPr>
              <w:t>Stores human-defined website map.</w:t>
              <w:br/>
              <w:t>Allowed roles (e.g. ['admin', 'student'])</w:t>
              <w:br/>
              <w:t>is passed to the prompt generator to control</w:t>
              <w:br/>
              <w:t>navigation suggestion visibility.</w:t>
            </w:r>
          </w:p>
        </w:tc>
      </w:tr>
      <w:tr>
        <w:tc>
          <w:tcPr>
            <w:tcW w:type="dxa" w:w="2160"/>
          </w:tcPr>
          <w:p>
            <w:pPr>
              <w:spacing w:before="40" w:after="40" w:line="276" w:lineRule="auto"/>
            </w:pPr>
            <w:r>
              <w:rPr>
                <w:rFonts w:ascii="Segoe UI" w:hAnsi="Segoe UI"/>
                <w:color w:val="333333"/>
                <w:sz w:val="17"/>
              </w:rPr>
              <w:t>role_config</w:t>
            </w:r>
          </w:p>
        </w:tc>
        <w:tc>
          <w:tcPr>
            <w:tcW w:type="dxa" w:w="2160"/>
          </w:tcPr>
          <w:p>
            <w:pPr>
              <w:spacing w:before="40" w:after="40" w:line="276" w:lineRule="auto"/>
            </w:pPr>
            <w:r>
              <w:rPr>
                <w:rFonts w:ascii="Segoe UI" w:hAnsi="Segoe UI"/>
                <w:color w:val="333333"/>
                <w:sz w:val="17"/>
              </w:rPr>
              <w:t>id</w:t>
              <w:br/>
              <w:t>tenant_id</w:t>
              <w:br/>
              <w:t>name</w:t>
              <w:br/>
              <w:t>display_name</w:t>
              <w:br/>
              <w:t>description</w:t>
              <w:br/>
              <w:t>is_active</w:t>
            </w:r>
          </w:p>
        </w:tc>
        <w:tc>
          <w:tcPr>
            <w:tcW w:type="dxa" w:w="1872"/>
          </w:tcPr>
          <w:p>
            <w:pPr>
              <w:spacing w:before="40" w:after="40" w:line="276" w:lineRule="auto"/>
            </w:pPr>
            <w:r>
              <w:rPr>
                <w:rFonts w:ascii="Segoe UI" w:hAnsi="Segoe UI"/>
                <w:color w:val="333333"/>
                <w:sz w:val="17"/>
              </w:rPr>
              <w:t>UUID (PK)</w:t>
              <w:br/>
              <w:t>ForeignKey (tenant)</w:t>
              <w:br/>
              <w:t>CharField</w:t>
              <w:br/>
              <w:t>CharField</w:t>
              <w:br/>
              <w:t>TextField</w:t>
              <w:br/>
              <w:t>BooleanField</w:t>
            </w:r>
          </w:p>
        </w:tc>
        <w:tc>
          <w:tcPr>
            <w:tcW w:type="dxa" w:w="3168"/>
          </w:tcPr>
          <w:p>
            <w:pPr>
              <w:spacing w:before="40" w:after="40" w:line="276" w:lineRule="auto"/>
            </w:pPr>
            <w:r>
              <w:rPr>
                <w:rFonts w:ascii="Segoe UI" w:hAnsi="Segoe UI"/>
                <w:color w:val="333333"/>
                <w:sz w:val="17"/>
              </w:rPr>
              <w:t>Defines custom user personas.</w:t>
              <w:br/>
              <w:t>Injected into the prompt compiler to scope</w:t>
              <w:br/>
              <w:t>LLM answers for target audiences.</w:t>
            </w:r>
          </w:p>
        </w:tc>
      </w:tr>
      <w:tr>
        <w:tc>
          <w:tcPr>
            <w:tcW w:type="dxa" w:w="2160"/>
          </w:tcPr>
          <w:p>
            <w:pPr>
              <w:spacing w:before="40" w:after="40" w:line="276" w:lineRule="auto"/>
            </w:pPr>
            <w:r>
              <w:rPr>
                <w:rFonts w:ascii="Segoe UI" w:hAnsi="Segoe UI"/>
                <w:color w:val="333333"/>
                <w:sz w:val="17"/>
              </w:rPr>
              <w:t>knowledge_base_entry</w:t>
            </w:r>
          </w:p>
        </w:tc>
        <w:tc>
          <w:tcPr>
            <w:tcW w:type="dxa" w:w="2160"/>
          </w:tcPr>
          <w:p>
            <w:pPr>
              <w:spacing w:before="40" w:after="40" w:line="276" w:lineRule="auto"/>
            </w:pPr>
            <w:r>
              <w:rPr>
                <w:rFonts w:ascii="Segoe UI" w:hAnsi="Segoe UI"/>
                <w:color w:val="333333"/>
                <w:sz w:val="17"/>
              </w:rPr>
              <w:t>id</w:t>
              <w:br/>
              <w:t>tenant_id</w:t>
              <w:br/>
              <w:t>url</w:t>
              <w:br/>
              <w:t>title\content</w:t>
              <w:br/>
              <w:t>extracted_links</w:t>
              <w:br/>
              <w:t>is_active</w:t>
            </w:r>
          </w:p>
        </w:tc>
        <w:tc>
          <w:tcPr>
            <w:tcW w:type="dxa" w:w="1872"/>
          </w:tcPr>
          <w:p>
            <w:pPr>
              <w:spacing w:before="40" w:after="40" w:line="276" w:lineRule="auto"/>
            </w:pPr>
            <w:r>
              <w:rPr>
                <w:rFonts w:ascii="Segoe UI" w:hAnsi="Segoe UI"/>
                <w:color w:val="333333"/>
                <w:sz w:val="17"/>
              </w:rPr>
              <w:t>UUID (PK)</w:t>
              <w:br/>
              <w:t>ForeignKey (tenant)</w:t>
              <w:br/>
              <w:t>URLField</w:t>
              <w:br/>
              <w:t>CharField</w:t>
              <w:br/>
              <w:t>TextField</w:t>
              <w:br/>
              <w:t>JSONField</w:t>
              <w:br/>
              <w:t>BooleanField</w:t>
            </w:r>
          </w:p>
        </w:tc>
        <w:tc>
          <w:tcPr>
            <w:tcW w:type="dxa" w:w="3168"/>
          </w:tcPr>
          <w:p>
            <w:pPr>
              <w:spacing w:before="40" w:after="40" w:line="276" w:lineRule="auto"/>
            </w:pPr>
            <w:r>
              <w:rPr>
                <w:rFonts w:ascii="Segoe UI" w:hAnsi="Segoe UI"/>
                <w:color w:val="333333"/>
                <w:sz w:val="17"/>
              </w:rPr>
              <w:t>Holds scraped HTML document contents</w:t>
              <w:br/>
              <w:t>and navigation anchors extracted via</w:t>
              <w:br/>
              <w:t>background scraping scripts.</w:t>
            </w:r>
          </w:p>
        </w:tc>
      </w:tr>
    </w:tbl>
    <w:p>
      <w:pPr>
        <w:spacing w:before="120" w:after="120"/>
      </w:pPr>
    </w:p>
    <w:p>
      <w:pPr>
        <w:pStyle w:val="Heading1"/>
        <w:keepNext/>
        <w:spacing w:before="240" w:after="120"/>
      </w:pPr>
      <w:r>
        <w:rPr>
          <w:rFonts w:ascii="Segoe UI" w:hAnsi="Segoe UI"/>
          <w:b/>
          <w:color w:val="1A73E8"/>
          <w:sz w:val="36"/>
        </w:rPr>
        <w:t>3. Backend Implementation Details (chatbot-saas-platform)</w:t>
      </w:r>
    </w:p>
    <w:p>
      <w:pPr>
        <w:pStyle w:val="Heading2"/>
        <w:keepNext/>
        <w:spacing w:before="240" w:after="120"/>
      </w:pPr>
      <w:r>
        <w:rPr>
          <w:rFonts w:ascii="Segoe UI" w:hAnsi="Segoe UI"/>
          <w:b/>
          <w:color w:val="3C4043"/>
          <w:sz w:val="28"/>
        </w:rPr>
        <w:t>Tenant and API Key Resolution Middleware</w:t>
      </w:r>
    </w:p>
    <w:p>
      <w:pPr>
        <w:spacing w:before="0" w:after="120" w:line="276" w:lineRule="auto"/>
      </w:pPr>
      <w:r>
        <w:rPr>
          <w:rFonts w:ascii="Segoe UI" w:hAnsi="Segoe UI"/>
          <w:color w:val="333333"/>
          <w:sz w:val="21"/>
        </w:rPr>
        <w:t>Every incoming widget request carries a Bearer Token representing the client API key. The platform uses custom middleware to validate the key, enforce client-scoped CORS constraints, check monthly message budgets, and rate limit incoming queries.</w:t>
      </w:r>
    </w:p>
    <w:p>
      <w:pPr>
        <w:spacing w:before="0" w:after="120" w:line="276" w:lineRule="auto"/>
      </w:pPr>
      <w:r>
        <w:rPr>
          <w:rFonts w:ascii="Segoe UI" w:hAnsi="Segoe UI"/>
          <w:color w:val="333333"/>
          <w:sz w:val="21"/>
        </w:rPr>
        <w:t>API Key Extraction and CORS validation middleware example:</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Borders>
              <w:top w:val="single" w:sz="4" w:space="0" w:color="D1D5DB"/>
              <w:left w:val="single" w:sz="4" w:space="0" w:color="D1D5DB"/>
              <w:bottom w:val="single" w:sz="4" w:space="0" w:color="D1D5DB"/>
              <w:right w:val="single" w:sz="4" w:space="0" w:color="D1D5DB"/>
            </w:tcBorders>
          </w:tcPr>
          <w:p>
            <w:pPr>
              <w:spacing w:before="120" w:after="120" w:line="276" w:lineRule="auto"/>
              <w:ind w:left="120"/>
            </w:pPr>
            <w:r>
              <w:rPr>
                <w:rFonts w:ascii="Consolas" w:hAnsi="Consolas"/>
                <w:color w:val="333333"/>
                <w:sz w:val="18"/>
              </w:rPr>
              <w:t># api_gateway/middleware.py</w:t>
              <w:br/>
              <w:t>import hashlib</w:t>
              <w:br/>
              <w:t>from django.http import JsonResponse</w:t>
              <w:br/>
              <w:t>from django.utils.deprecation import MiddlewareMixin</w:t>
              <w:br/>
              <w:t>from tenant_manager.models import ApiKey</w:t>
              <w:br/>
              <w:br/>
              <w:t>class ApiKeyAuthMiddleware(MiddlewareMixin):</w:t>
              <w:br/>
              <w:t xml:space="preserve">    def process_request(self, request):</w:t>
              <w:br/>
              <w:t xml:space="preserve">        # Allow exempt endpoints (health checks, webhooks)</w:t>
              <w:br/>
              <w:t xml:space="preserve">        if request.path.startswith('/health/') or request.path.startswith('/api/v1/billing/webhook/'):</w:t>
              <w:br/>
              <w:t xml:space="preserve">            return None</w:t>
              <w:br/>
              <w:br/>
              <w:t xml:space="preserve">        auth_header = request.headers.get('Authorization', '')</w:t>
              <w:br/>
              <w:t xml:space="preserve">        if not auth_header.startswith('Bearer '):</w:t>
              <w:br/>
              <w:t xml:space="preserve">            return JsonResponse({'error': 'Missing or invalid Authorization header'}, status=401)</w:t>
              <w:br/>
              <w:t xml:space="preserve">        </w:t>
              <w:br/>
              <w:t xml:space="preserve">        raw_token = auth_header[7:]</w:t>
              <w:br/>
              <w:t xml:space="preserve">        key_hash = hashlib.sha256(raw_token.encode()).hexdigest()</w:t>
              <w:br/>
              <w:t xml:space="preserve">        </w:t>
              <w:br/>
              <w:t xml:space="preserve">        try:</w:t>
              <w:br/>
              <w:t xml:space="preserve">            api_key = ApiKey.objects.select_related('tenant').get(key_hash=key_hash, is_active=True)</w:t>
              <w:br/>
              <w:t xml:space="preserve">            if not api_key.tenant.is_active:</w:t>
              <w:br/>
              <w:t xml:space="preserve">                return JsonResponse({'error': 'Tenant account is deactivated'}, status=401)</w:t>
              <w:br/>
              <w:t xml:space="preserve">            </w:t>
              <w:br/>
              <w:t xml:space="preserve">            # Mount verified objects on request context</w:t>
              <w:br/>
              <w:t xml:space="preserve">            request.tenant = api_key.tenant</w:t>
              <w:br/>
              <w:t xml:space="preserve">            request.api_key = api_key</w:t>
              <w:br/>
              <w:t xml:space="preserve">            return None</w:t>
              <w:br/>
              <w:t xml:space="preserve">        except ApiKey.DoesNotExist:</w:t>
              <w:br/>
              <w:t xml:space="preserve">            return JsonResponse({'error': 'Invalid or expired API key'}, status=401)</w:t>
              <w:br/>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8F0FE"/>
            <w:tcBorders>
              <w:left w:val="single" w:sz="24" w:color="1A73E8"/>
              <w:top w:val="none"/>
              <w:bottom w:val="none"/>
              <w:right w:val="none"/>
            </w:tcBorders>
          </w:tcPr>
          <w:p>
            <w:pPr>
              <w:spacing w:before="120" w:after="120"/>
              <w:ind w:left="120"/>
            </w:pPr>
            <w:r>
              <w:rPr>
                <w:rFonts w:ascii="Segoe UI" w:hAnsi="Segoe UI"/>
                <w:b/>
                <w:color w:val="1A73E8"/>
                <w:sz w:val="20"/>
              </w:rPr>
              <w:t xml:space="preserve">[IMPORTANT] </w:t>
            </w:r>
            <w:r>
              <w:rPr>
                <w:rFonts w:ascii="Segoe UI" w:hAnsi="Segoe UI"/>
                <w:color w:val="333333"/>
                <w:sz w:val="20"/>
              </w:rPr>
              <w:t>Always use SHA-256 to hash the API keys before performing lookups in the PostgreSQL database. Never store raw API keys in plain text.</w:t>
            </w:r>
          </w:p>
        </w:tc>
      </w:tr>
    </w:tbl>
    <w:p>
      <w:pPr>
        <w:spacing w:before="0" w:after="120"/>
      </w:pPr>
    </w:p>
    <w:p>
      <w:pPr>
        <w:pStyle w:val="Heading2"/>
        <w:keepNext/>
        <w:spacing w:before="240" w:after="120"/>
      </w:pPr>
      <w:r>
        <w:rPr>
          <w:rFonts w:ascii="Segoe UI" w:hAnsi="Segoe UI"/>
          <w:b/>
          <w:color w:val="3C4043"/>
          <w:sz w:val="28"/>
        </w:rPr>
        <w:t>Graph Database Isolation (Neo4j)</w:t>
      </w:r>
    </w:p>
    <w:p>
      <w:pPr>
        <w:spacing w:before="0" w:after="120" w:line="276" w:lineRule="auto"/>
      </w:pPr>
      <w:r>
        <w:rPr>
          <w:rFonts w:ascii="Segoe UI" w:hAnsi="Segoe UI"/>
          <w:color w:val="333333"/>
          <w:sz w:val="21"/>
        </w:rPr>
        <w:t>To support structured, role-aware answers and navigation, tenants can build mapping subgraphs in a Neo4j instance. The subgraph maps: (Role)-[:CAN_ACCESS]-&gt;(Page)-[:HAS_ACTION]-&gt;(Action)-[:NAVIGATES_TO]-&gt;(Page).</w:t>
      </w:r>
    </w:p>
    <w:p>
      <w:pPr>
        <w:spacing w:before="0" w:after="120" w:line="276" w:lineRule="auto"/>
      </w:pPr>
      <w:r>
        <w:rPr>
          <w:rFonts w:ascii="Segoe UI" w:hAnsi="Segoe UI"/>
          <w:color w:val="333333"/>
          <w:sz w:val="21"/>
        </w:rPr>
        <w:t>For multi-tenancy, you can choose between two main models:</w:t>
      </w:r>
    </w:p>
    <w:p>
      <w:pPr>
        <w:pStyle w:val="ListBullet"/>
        <w:spacing w:before="0" w:after="60" w:line="276" w:lineRule="auto"/>
      </w:pPr>
      <w:r>
        <w:rPr>
          <w:rFonts w:ascii="Segoe UI" w:hAnsi="Segoe UI"/>
          <w:b/>
          <w:color w:val="333333"/>
          <w:sz w:val="21"/>
        </w:rPr>
        <w:t xml:space="preserve">1. Database-Per-Tenant: </w:t>
      </w:r>
      <w:r>
        <w:rPr>
          <w:rFonts w:ascii="Segoe UI" w:hAnsi="Segoe UI"/>
          <w:color w:val="333333"/>
          <w:sz w:val="21"/>
        </w:rPr>
        <w:t>Each tenant is routed to a distinct database instance inside a shared cluster (e.g. via dynamic session selection with `ensure_tenant_database(tenant)`). Ideal for enterprise grade data separation.</w:t>
      </w:r>
    </w:p>
    <w:p>
      <w:pPr>
        <w:pStyle w:val="ListBullet"/>
        <w:spacing w:before="0" w:after="60" w:line="276" w:lineRule="auto"/>
      </w:pPr>
      <w:r>
        <w:rPr>
          <w:rFonts w:ascii="Segoe UI" w:hAnsi="Segoe UI"/>
          <w:b/>
          <w:color w:val="333333"/>
          <w:sz w:val="21"/>
        </w:rPr>
        <w:t xml:space="preserve">2. Shared Database (Namespace Property): </w:t>
      </w:r>
      <w:r>
        <w:rPr>
          <w:rFonts w:ascii="Segoe UI" w:hAnsi="Segoe UI"/>
          <w:color w:val="333333"/>
          <w:sz w:val="21"/>
        </w:rPr>
        <w:t>All tenants share a single database, and every node and relationship carries a `tenant_id` property. All Cypher queries must append `WHERE node.tenant_id = $tenant_id` filters to prevent cross-tenant leakage. Ideal for lower cost tiers.</w:t>
      </w:r>
    </w:p>
    <w:p>
      <w:pPr>
        <w:spacing w:before="0" w:after="120" w:line="276" w:lineRule="auto"/>
      </w:pPr>
      <w:r>
        <w:rPr>
          <w:rFonts w:ascii="Segoe UI" w:hAnsi="Segoe UI"/>
          <w:color w:val="333333"/>
          <w:sz w:val="21"/>
        </w:rPr>
        <w:t>Dynamic connection pool handling is required to prevent pool exhaustion on serverless hosting:</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Borders>
              <w:top w:val="single" w:sz="4" w:space="0" w:color="D1D5DB"/>
              <w:left w:val="single" w:sz="4" w:space="0" w:color="D1D5DB"/>
              <w:bottom w:val="single" w:sz="4" w:space="0" w:color="D1D5DB"/>
              <w:right w:val="single" w:sz="4" w:space="0" w:color="D1D5DB"/>
            </w:tcBorders>
          </w:tcPr>
          <w:p>
            <w:pPr>
              <w:spacing w:before="120" w:after="120" w:line="276" w:lineRule="auto"/>
              <w:ind w:left="120"/>
            </w:pPr>
            <w:r>
              <w:rPr>
                <w:rFonts w:ascii="Consolas" w:hAnsi="Consolas"/>
                <w:color w:val="333333"/>
                <w:sz w:val="18"/>
              </w:rPr>
              <w:t># chat_proxy/neo4j_utils.py</w:t>
              <w:br/>
              <w:t>import os</w:t>
              <w:br/>
              <w:t>from neo4j import GraphDatabase</w:t>
              <w:br/>
              <w:br/>
              <w:t>_drivers = {}</w:t>
              <w:br/>
              <w:br/>
              <w:t>def get_tenant_driver(tenant):</w:t>
              <w:br/>
              <w:t xml:space="preserve">    tenant_id = str(tenant.id)</w:t>
              <w:br/>
              <w:t xml:space="preserve">    if tenant_id not in _drivers:</w:t>
              <w:br/>
              <w:t xml:space="preserve">        # Fall back to global env credentials if tenant has not configured custom Neo4j</w:t>
              <w:br/>
              <w:t xml:space="preserve">        uri = tenant.neo4j_uri or os.environ.get("NEO4J_URI")</w:t>
              <w:br/>
              <w:t xml:space="preserve">        user = tenant.neo4j_user or os.environ.get("NEO4J_USER", "neo4j")</w:t>
              <w:br/>
              <w:t xml:space="preserve">        password = tenant.neo4j_password or os.environ.get("NEO4J_PASSWORD")</w:t>
              <w:br/>
              <w:t xml:space="preserve">        </w:t>
              <w:br/>
              <w:t xml:space="preserve">        if not uri or not password:</w:t>
              <w:br/>
              <w:t xml:space="preserve">            return None</w:t>
              <w:br/>
              <w:t xml:space="preserve">            </w:t>
              <w:br/>
              <w:t xml:space="preserve">        _drivers[tenant_id] = GraphDatabase.driver(</w:t>
              <w:br/>
              <w:t xml:space="preserve">            uri, </w:t>
              <w:br/>
              <w:t xml:space="preserve">            auth=(user, password),</w:t>
              <w:br/>
              <w:t xml:space="preserve">            max_connection_lifetime=120.0, # Recycle idle connections</w:t>
              <w:br/>
              <w:t xml:space="preserve">            connection_timeout=15.0</w:t>
              <w:br/>
              <w:t xml:space="preserve">        )</w:t>
              <w:br/>
              <w:t xml:space="preserve">    return _drivers[tenant_id]</w:t>
              <w:br/>
            </w:r>
          </w:p>
        </w:tc>
      </w:tr>
    </w:tbl>
    <w:p>
      <w:pPr>
        <w:spacing w:before="0" w:after="120"/>
      </w:pPr>
    </w:p>
    <w:p>
      <w:pPr>
        <w:pStyle w:val="Heading2"/>
        <w:keepNext/>
        <w:spacing w:before="240" w:after="120"/>
      </w:pPr>
      <w:r>
        <w:rPr>
          <w:rFonts w:ascii="Segoe UI" w:hAnsi="Segoe UI"/>
          <w:b/>
          <w:color w:val="3C4043"/>
          <w:sz w:val="28"/>
        </w:rPr>
        <w:t>Dynamic System Prompt Compiler</w:t>
      </w:r>
    </w:p>
    <w:p>
      <w:pPr>
        <w:spacing w:before="0" w:after="120" w:line="276" w:lineRule="auto"/>
      </w:pPr>
      <w:r>
        <w:rPr>
          <w:rFonts w:ascii="Segoe UI" w:hAnsi="Segoe UI"/>
          <w:color w:val="333333"/>
          <w:sz w:val="21"/>
        </w:rPr>
        <w:t>When a client widget makes a `/api/v1/chat/message/` call, the backend aggregates multiple sources of context to construct a customized instruction set for the LLM. It merges:</w:t>
      </w:r>
    </w:p>
    <w:p>
      <w:pPr>
        <w:pStyle w:val="ListBullet"/>
        <w:spacing w:before="0" w:after="60" w:line="276" w:lineRule="auto"/>
      </w:pPr>
      <w:r>
        <w:rPr>
          <w:rFonts w:ascii="Segoe UI" w:hAnsi="Segoe UI"/>
          <w:b/>
          <w:color w:val="333333"/>
          <w:sz w:val="21"/>
        </w:rPr>
        <w:t xml:space="preserve">• Custom system instructions: </w:t>
      </w:r>
      <w:r>
        <w:rPr>
          <w:rFonts w:ascii="Segoe UI" w:hAnsi="Segoe UI"/>
          <w:color w:val="333333"/>
          <w:sz w:val="21"/>
        </w:rPr>
        <w:t>Defined by the tenant in the dashboard.</w:t>
      </w:r>
    </w:p>
    <w:p>
      <w:pPr>
        <w:pStyle w:val="ListBullet"/>
        <w:spacing w:before="0" w:after="60" w:line="276" w:lineRule="auto"/>
      </w:pPr>
      <w:r>
        <w:rPr>
          <w:rFonts w:ascii="Segoe UI" w:hAnsi="Segoe UI"/>
          <w:b/>
          <w:color w:val="333333"/>
          <w:sz w:val="21"/>
        </w:rPr>
        <w:t xml:space="preserve">• Live page context: </w:t>
      </w:r>
      <w:r>
        <w:rPr>
          <w:rFonts w:ascii="Segoe UI" w:hAnsi="Segoe UI"/>
          <w:color w:val="333333"/>
          <w:sz w:val="21"/>
        </w:rPr>
        <w:t>The DOM components scanned by the widget on the user's active viewport.</w:t>
      </w:r>
    </w:p>
    <w:p>
      <w:pPr>
        <w:pStyle w:val="ListBullet"/>
        <w:spacing w:before="0" w:after="60" w:line="276" w:lineRule="auto"/>
      </w:pPr>
      <w:r>
        <w:rPr>
          <w:rFonts w:ascii="Segoe UI" w:hAnsi="Segoe UI"/>
          <w:b/>
          <w:color w:val="333333"/>
          <w:sz w:val="21"/>
        </w:rPr>
        <w:t xml:space="preserve">• Role definitions: </w:t>
      </w:r>
      <w:r>
        <w:rPr>
          <w:rFonts w:ascii="Segoe UI" w:hAnsi="Segoe UI"/>
          <w:color w:val="333333"/>
          <w:sz w:val="21"/>
        </w:rPr>
        <w:t>Allowed behaviors and navigation privileges matching the user's active persona.</w:t>
      </w:r>
    </w:p>
    <w:p>
      <w:pPr>
        <w:pStyle w:val="ListBullet"/>
        <w:spacing w:before="0" w:after="60" w:line="276" w:lineRule="auto"/>
      </w:pPr>
      <w:r>
        <w:rPr>
          <w:rFonts w:ascii="Segoe UI" w:hAnsi="Segoe UI"/>
          <w:b/>
          <w:color w:val="333333"/>
          <w:sz w:val="21"/>
        </w:rPr>
        <w:t xml:space="preserve">• Navigation mapping: </w:t>
      </w:r>
      <w:r>
        <w:rPr>
          <w:rFonts w:ascii="Segoe UI" w:hAnsi="Segoe UI"/>
          <w:color w:val="333333"/>
          <w:sz w:val="21"/>
        </w:rPr>
        <w:t>A map of registered routes to filter valid navigation anchors.</w:t>
      </w:r>
    </w:p>
    <w:p>
      <w:pPr>
        <w:pStyle w:val="ListBullet"/>
        <w:spacing w:before="0" w:after="60" w:line="276" w:lineRule="auto"/>
      </w:pPr>
      <w:r>
        <w:rPr>
          <w:rFonts w:ascii="Segoe UI" w:hAnsi="Segoe UI"/>
          <w:b/>
          <w:color w:val="333333"/>
          <w:sz w:val="21"/>
        </w:rPr>
        <w:t xml:space="preserve">• Neo4j role context: </w:t>
      </w:r>
      <w:r>
        <w:rPr>
          <w:rFonts w:ascii="Segoe UI" w:hAnsi="Segoe UI"/>
          <w:color w:val="333333"/>
          <w:sz w:val="21"/>
        </w:rPr>
        <w:t>Cypher query outputs describing accessible subgraphs.</w:t>
      </w:r>
    </w:p>
    <w:p>
      <w:pPr>
        <w:spacing w:before="0" w:after="120" w:line="276" w:lineRule="auto"/>
      </w:pPr>
      <w:r>
        <w:rPr>
          <w:rFonts w:ascii="Segoe UI" w:hAnsi="Segoe UI"/>
          <w:color w:val="333333"/>
          <w:sz w:val="21"/>
        </w:rPr>
        <w:t>The LLM is strictly instructed to append suggestions in a parseable format: `[NAVIGATE:url|title]` which the backend parses, validates, and forwards to the widget for SPA routing.</w:t>
      </w:r>
    </w:p>
    <w:p>
      <w:pPr>
        <w:pStyle w:val="Heading1"/>
        <w:keepNext/>
        <w:spacing w:before="240" w:after="120"/>
      </w:pPr>
      <w:r>
        <w:rPr>
          <w:rFonts w:ascii="Segoe UI" w:hAnsi="Segoe UI"/>
          <w:b/>
          <w:color w:val="1A73E8"/>
          <w:sz w:val="36"/>
        </w:rPr>
        <w:t>4. Standalone Embedded JS Widget (chatbot-saas-widget)</w:t>
      </w:r>
    </w:p>
    <w:p>
      <w:pPr>
        <w:spacing w:before="0" w:after="120" w:line="276" w:lineRule="auto"/>
      </w:pPr>
      <w:r>
        <w:rPr>
          <w:rFonts w:ascii="Segoe UI" w:hAnsi="Segoe UI"/>
          <w:color w:val="333333"/>
          <w:sz w:val="21"/>
        </w:rPr>
        <w:t>The widget is a compiled, production-ready bundle. Clients load it on their sites using a single script tag:</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Borders>
              <w:top w:val="single" w:sz="4" w:space="0" w:color="D1D5DB"/>
              <w:left w:val="single" w:sz="4" w:space="0" w:color="D1D5DB"/>
              <w:bottom w:val="single" w:sz="4" w:space="0" w:color="D1D5DB"/>
              <w:right w:val="single" w:sz="4" w:space="0" w:color="D1D5DB"/>
            </w:tcBorders>
          </w:tcPr>
          <w:p>
            <w:pPr>
              <w:spacing w:before="120" w:after="120" w:line="276" w:lineRule="auto"/>
              <w:ind w:left="120"/>
            </w:pPr>
            <w:r>
              <w:rPr>
                <w:rFonts w:ascii="Consolas" w:hAnsi="Consolas"/>
                <w:color w:val="333333"/>
                <w:sz w:val="18"/>
              </w:rPr>
              <w:t>&lt;!-- Embedded script loader in tenant's site --&gt;</w:t>
              <w:br/>
              <w:t>&lt;script&gt;</w:t>
              <w:br/>
              <w:t xml:space="preserve">  window.ChatbotConfig = {</w:t>
              <w:br/>
              <w:t xml:space="preserve">    apiKey: 'dlk_8408_3cf8b2ea1bc7f4e85d9921',</w:t>
              <w:br/>
              <w:t xml:space="preserve">    baseUrl: 'https://api.chatbotsaas.com',</w:t>
              <w:br/>
              <w:t xml:space="preserve">    role: 'student', // Contextual role override</w:t>
              <w:br/>
              <w:t xml:space="preserve">    enablePageTraining: true</w:t>
              <w:br/>
              <w:t xml:space="preserve">  };</w:t>
              <w:br/>
              <w:t>&lt;/script&gt;</w:t>
              <w:br/>
              <w:t>&lt;script src="https://cdn.chatbotsaas.com/widget.js" async&gt;&lt;/script&gt;</w:t>
              <w:br/>
            </w:r>
          </w:p>
        </w:tc>
      </w:tr>
    </w:tbl>
    <w:p>
      <w:pPr>
        <w:spacing w:before="0" w:after="120"/>
      </w:pPr>
    </w:p>
    <w:p>
      <w:pPr>
        <w:pStyle w:val="Heading2"/>
        <w:keepNext/>
        <w:spacing w:before="240" w:after="120"/>
      </w:pPr>
      <w:r>
        <w:rPr>
          <w:rFonts w:ascii="Segoe UI" w:hAnsi="Segoe UI"/>
          <w:b/>
          <w:color w:val="3C4043"/>
          <w:sz w:val="28"/>
        </w:rPr>
        <w:t>DOM Scanner and Accessibility Parser</w:t>
      </w:r>
    </w:p>
    <w:p>
      <w:pPr>
        <w:spacing w:before="0" w:after="120" w:line="276" w:lineRule="auto"/>
      </w:pPr>
      <w:r>
        <w:rPr>
          <w:rFonts w:ascii="Segoe UI" w:hAnsi="Segoe UI"/>
          <w:color w:val="333333"/>
          <w:sz w:val="21"/>
        </w:rPr>
        <w:t>To extract accurate metadata without capturing structural layouts or heavy markup noise, the scanner utilizes strict DOM filtering. It ignores structural tags (footer, nav, style, SVG elements) and retrieves titles, labels, placeholders, aria-labels, and forms.</w:t>
      </w:r>
    </w:p>
    <w:p>
      <w:pPr>
        <w:spacing w:before="0" w:after="120" w:line="276" w:lineRule="auto"/>
      </w:pPr>
      <w:r>
        <w:rPr>
          <w:rFonts w:ascii="Segoe UI" w:hAnsi="Segoe UI"/>
          <w:color w:val="333333"/>
          <w:sz w:val="21"/>
        </w:rPr>
        <w:t>Accessibility name parser snippet: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Borders>
              <w:top w:val="single" w:sz="4" w:space="0" w:color="D1D5DB"/>
              <w:left w:val="single" w:sz="4" w:space="0" w:color="D1D5DB"/>
              <w:bottom w:val="single" w:sz="4" w:space="0" w:color="D1D5DB"/>
              <w:right w:val="single" w:sz="4" w:space="0" w:color="D1D5DB"/>
            </w:tcBorders>
          </w:tcPr>
          <w:p>
            <w:pPr>
              <w:spacing w:before="120" w:after="120" w:line="276" w:lineRule="auto"/>
              <w:ind w:left="120"/>
            </w:pPr>
            <w:r>
              <w:rPr>
                <w:rFonts w:ascii="Consolas" w:hAnsi="Consolas"/>
                <w:color w:val="333333"/>
                <w:sz w:val="18"/>
              </w:rPr>
              <w:t>// src/scanner.ts</w:t>
              <w:br/>
              <w:t>export function getAccessibleName(el: Element): string {</w:t>
              <w:br/>
              <w:t xml:space="preserve">  if (!el) return '';</w:t>
              <w:br/>
              <w:br/>
              <w:t xml:space="preserve">  const ariaLabel = el.getAttribute('aria-label');</w:t>
              <w:br/>
              <w:t xml:space="preserve">  if (ariaLabel &amp;&amp; isTextMeaningful(ariaLabel)) return ariaLabel;</w:t>
              <w:br/>
              <w:br/>
              <w:t xml:space="preserve">  const ariaLabelledby = el.getAttribute('aria-labelledby');</w:t>
              <w:br/>
              <w:t xml:space="preserve">  if (ariaLabelledby) {</w:t>
              <w:br/>
              <w:t xml:space="preserve">    const ids = ariaLabelledby.split(/\s+/).filter(Boolean);</w:t>
              <w:br/>
              <w:t xml:space="preserve">    const parts = ids</w:t>
              <w:br/>
              <w:t xml:space="preserve">      .map(id =&gt; document.getElementById(id))</w:t>
              <w:br/>
              <w:t xml:space="preserve">      .filter(Boolean)</w:t>
              <w:br/>
              <w:t xml:space="preserve">      .map(node =&gt; normalizeText(node!.textContent || ''));</w:t>
              <w:br/>
              <w:t xml:space="preserve">    const combined = parts.filter(Boolean).join(' ');</w:t>
              <w:br/>
              <w:t xml:space="preserve">    if (combined &amp;&amp; isTextMeaningful(combined)) return combined;</w:t>
              <w:br/>
              <w:t xml:space="preserve">  }</w:t>
              <w:br/>
              <w:br/>
              <w:t xml:space="preserve">  if (el.id) {</w:t>
              <w:br/>
              <w:t xml:space="preserve">    const label = document.querySelector(`label[for="\${el.id}"]`);</w:t>
              <w:br/>
              <w:t xml:space="preserve">    const t = label ? normalizeText(label.textContent || '') : '';</w:t>
              <w:br/>
              <w:t xml:space="preserve">    if (t &amp;&amp; isTextMeaningful(t)) return t;</w:t>
              <w:br/>
              <w:t xml:space="preserve">  }</w:t>
              <w:br/>
              <w:br/>
              <w:t xml:space="preserve">  return normalizeText(el.textContent || '');</w:t>
              <w:br/>
              <w:t>}</w:t>
              <w:br/>
            </w:r>
          </w:p>
        </w:tc>
      </w:tr>
    </w:tbl>
    <w:p>
      <w:pPr>
        <w:spacing w:before="0" w:after="120"/>
      </w:pPr>
    </w:p>
    <w:p>
      <w:pPr>
        <w:pStyle w:val="Heading2"/>
        <w:keepNext/>
        <w:spacing w:before="240" w:after="120"/>
      </w:pPr>
      <w:r>
        <w:rPr>
          <w:rFonts w:ascii="Segoe UI" w:hAnsi="Segoe UI"/>
          <w:b/>
          <w:color w:val="3C4043"/>
          <w:sz w:val="28"/>
        </w:rPr>
        <w:t>Reactive Page Training Hooks</w:t>
      </w:r>
    </w:p>
    <w:p>
      <w:pPr>
        <w:spacing w:before="0" w:after="120" w:line="276" w:lineRule="auto"/>
      </w:pPr>
      <w:r>
        <w:rPr>
          <w:rFonts w:ascii="Segoe UI" w:hAnsi="Segoe UI"/>
          <w:color w:val="333333"/>
          <w:sz w:val="21"/>
        </w:rPr>
        <w:t>To sync page structures dynamically on Single Page Apps (SPAs), the widget sets up navigation interception. It patches `history.pushState` and `history.replaceState`, listens to `popstate` events, and observes DOM updates via `MutationObserver`.</w:t>
      </w:r>
    </w:p>
    <w:p>
      <w:pPr>
        <w:spacing w:before="0" w:after="120" w:line="276" w:lineRule="auto"/>
      </w:pPr>
      <w:r>
        <w:rPr>
          <w:rFonts w:ascii="Segoe UI" w:hAnsi="Segoe UI"/>
          <w:color w:val="333333"/>
          <w:sz w:val="21"/>
        </w:rPr>
        <w:t>To prevent flooding the backend with network calls on minor UI changes, a SHA-256 hash/fingerprint of the extracted context is stored in `sessionStorage`. Training calls only execute when the fingerprint changes.</w:t>
      </w:r>
    </w:p>
    <w:p>
      <w:pPr>
        <w:pStyle w:val="Heading2"/>
        <w:keepNext/>
        <w:spacing w:before="240" w:after="120"/>
      </w:pPr>
      <w:r>
        <w:rPr>
          <w:rFonts w:ascii="Segoe UI" w:hAnsi="Segoe UI"/>
          <w:b/>
          <w:color w:val="3C4043"/>
          <w:sz w:val="28"/>
        </w:rPr>
        <w:t>SPA Navigation Interceptor and Event Dispatcher</w:t>
      </w:r>
    </w:p>
    <w:p>
      <w:pPr>
        <w:spacing w:before="0" w:after="120" w:line="276" w:lineRule="auto"/>
      </w:pPr>
      <w:r>
        <w:rPr>
          <w:rFonts w:ascii="Segoe UI" w:hAnsi="Segoe UI"/>
          <w:color w:val="333333"/>
          <w:sz w:val="21"/>
        </w:rPr>
        <w:t>When the bot returns navigation instructions, the widget triggers a custom navigation event: `dlc:navigate`. The widget captures it, performs SPA history transitions, and dispatches a popstate event to let routing engines like React Router respond instantly.</w:t>
      </w:r>
    </w:p>
    <w:p>
      <w:pPr>
        <w:pStyle w:val="Heading1"/>
        <w:keepNext/>
        <w:spacing w:before="240" w:after="120"/>
      </w:pPr>
      <w:r>
        <w:rPr>
          <w:rFonts w:ascii="Segoe UI" w:hAnsi="Segoe UI"/>
          <w:b/>
          <w:color w:val="1A73E8"/>
          <w:sz w:val="36"/>
        </w:rPr>
        <w:t>5. Dashboard Control Panel (chatbot-saas-dashboard)</w:t>
      </w:r>
    </w:p>
    <w:p>
      <w:pPr>
        <w:spacing w:before="0" w:after="120" w:line="276" w:lineRule="auto"/>
      </w:pPr>
      <w:r>
        <w:rPr>
          <w:rFonts w:ascii="Segoe UI" w:hAnsi="Segoe UI"/>
          <w:color w:val="333333"/>
          <w:sz w:val="21"/>
        </w:rPr>
        <w:t>The dashboard application provides the visual control tower for SaaS clients. It contains:</w:t>
      </w:r>
    </w:p>
    <w:p>
      <w:pPr>
        <w:pStyle w:val="ListBullet"/>
        <w:spacing w:before="0" w:after="60" w:line="276" w:lineRule="auto"/>
      </w:pPr>
      <w:r>
        <w:rPr>
          <w:rFonts w:ascii="Segoe UI" w:hAnsi="Segoe UI"/>
          <w:b/>
          <w:color w:val="333333"/>
          <w:sz w:val="21"/>
        </w:rPr>
        <w:t xml:space="preserve">• API Keys Management: </w:t>
      </w:r>
      <w:r>
        <w:rPr>
          <w:rFonts w:ascii="Segoe UI" w:hAnsi="Segoe UI"/>
          <w:color w:val="333333"/>
          <w:sz w:val="21"/>
        </w:rPr>
        <w:t>Generates keys, lists prefixes, logs last-used dates, and allows CORS origin overrides.</w:t>
      </w:r>
    </w:p>
    <w:p>
      <w:pPr>
        <w:pStyle w:val="ListBullet"/>
        <w:spacing w:before="0" w:after="60" w:line="276" w:lineRule="auto"/>
      </w:pPr>
      <w:r>
        <w:rPr>
          <w:rFonts w:ascii="Segoe UI" w:hAnsi="Segoe UI"/>
          <w:b/>
          <w:color w:val="333333"/>
          <w:sz w:val="21"/>
        </w:rPr>
        <w:t xml:space="preserve">• Knowledge Base &amp; Scraper: </w:t>
      </w:r>
      <w:r>
        <w:rPr>
          <w:rFonts w:ascii="Segoe UI" w:hAnsi="Segoe UI"/>
          <w:color w:val="333333"/>
          <w:sz w:val="21"/>
        </w:rPr>
        <w:t>Allows manual link scraping or shows route mappings trained automatically by client widgets.</w:t>
      </w:r>
    </w:p>
    <w:p>
      <w:pPr>
        <w:pStyle w:val="ListBullet"/>
        <w:spacing w:before="0" w:after="60" w:line="276" w:lineRule="auto"/>
      </w:pPr>
      <w:r>
        <w:rPr>
          <w:rFonts w:ascii="Segoe UI" w:hAnsi="Segoe UI"/>
          <w:b/>
          <w:color w:val="333333"/>
          <w:sz w:val="21"/>
        </w:rPr>
        <w:t xml:space="preserve">• Route &amp; Role Configuration: </w:t>
      </w:r>
      <w:r>
        <w:rPr>
          <w:rFonts w:ascii="Segoe UI" w:hAnsi="Segoe UI"/>
          <w:color w:val="333333"/>
          <w:sz w:val="21"/>
        </w:rPr>
        <w:t>Provides visual forms to register URLs, describe page capabilities, and restrict routes to allowed user permissions.</w:t>
      </w:r>
    </w:p>
    <w:p>
      <w:pPr>
        <w:pStyle w:val="ListBullet"/>
        <w:spacing w:before="0" w:after="60" w:line="276" w:lineRule="auto"/>
      </w:pPr>
      <w:r>
        <w:rPr>
          <w:rFonts w:ascii="Segoe UI" w:hAnsi="Segoe UI"/>
          <w:b/>
          <w:color w:val="333333"/>
          <w:sz w:val="21"/>
        </w:rPr>
        <w:t xml:space="preserve">• Graph Visualizer &amp; Seed Tool: </w:t>
      </w:r>
      <w:r>
        <w:rPr>
          <w:rFonts w:ascii="Segoe UI" w:hAnsi="Segoe UI"/>
          <w:color w:val="333333"/>
          <w:sz w:val="21"/>
        </w:rPr>
        <w:t>Uploads graph relationship JSONs and queries database size statistics.</w:t>
      </w:r>
    </w:p>
    <w:p>
      <w:pPr>
        <w:pStyle w:val="ListBullet"/>
        <w:spacing w:before="0" w:after="60" w:line="276" w:lineRule="auto"/>
      </w:pPr>
      <w:r>
        <w:rPr>
          <w:rFonts w:ascii="Segoe UI" w:hAnsi="Segoe UI"/>
          <w:b/>
          <w:color w:val="333333"/>
          <w:sz w:val="21"/>
        </w:rPr>
        <w:t xml:space="preserve">• Billing Portal: </w:t>
      </w:r>
      <w:r>
        <w:rPr>
          <w:rFonts w:ascii="Segoe UI" w:hAnsi="Segoe UI"/>
          <w:color w:val="333333"/>
          <w:sz w:val="21"/>
        </w:rPr>
        <w:t>Uses Stripe checkout sessions to manage tier plans and purchase extra message token limits.</w:t>
      </w:r>
    </w:p>
    <w:p>
      <w:pPr>
        <w:pStyle w:val="ListBullet"/>
        <w:spacing w:before="0" w:after="60" w:line="276" w:lineRule="auto"/>
      </w:pPr>
      <w:r>
        <w:rPr>
          <w:rFonts w:ascii="Segoe UI" w:hAnsi="Segoe UI"/>
          <w:b/>
          <w:color w:val="333333"/>
          <w:sz w:val="21"/>
        </w:rPr>
        <w:t xml:space="preserve">• Superadmin Dashboard: </w:t>
      </w:r>
      <w:r>
        <w:rPr>
          <w:rFonts w:ascii="Segoe UI" w:hAnsi="Segoe UI"/>
          <w:color w:val="333333"/>
          <w:sz w:val="21"/>
        </w:rPr>
        <w:t>A master interface to review overall platform statistics, activate/deactivate tenants, and oversee system token expenses.</w:t>
      </w:r>
    </w:p>
    <w:p>
      <w:pPr>
        <w:pStyle w:val="Heading1"/>
        <w:keepNext/>
        <w:spacing w:before="240" w:after="120"/>
      </w:pPr>
      <w:r>
        <w:rPr>
          <w:rFonts w:ascii="Segoe UI" w:hAnsi="Segoe UI"/>
          <w:b/>
          <w:color w:val="1A73E8"/>
          <w:sz w:val="36"/>
        </w:rPr>
        <w:t>6. Step-by-Step Implementation Runbook</w:t>
      </w:r>
    </w:p>
    <w:p>
      <w:pPr>
        <w:spacing w:before="0" w:after="120" w:line="276" w:lineRule="auto"/>
      </w:pPr>
      <w:r>
        <w:rPr>
          <w:rFonts w:ascii="Segoe UI" w:hAnsi="Segoe UI"/>
          <w:color w:val="333333"/>
          <w:sz w:val="21"/>
        </w:rPr>
        <w:t>Below is the execution checklist designed to guide an AI agent or developer to configure the multi-tenant SaaS project from scratch:</w:t>
      </w:r>
    </w:p>
    <w:p>
      <w:pPr>
        <w:pStyle w:val="ListBullet"/>
        <w:spacing w:before="0" w:after="60" w:line="276" w:lineRule="auto"/>
      </w:pPr>
      <w:r>
        <w:rPr>
          <w:rFonts w:ascii="Segoe UI" w:hAnsi="Segoe UI"/>
          <w:b/>
          <w:color w:val="333333"/>
          <w:sz w:val="21"/>
        </w:rPr>
        <w:t xml:space="preserve">Step 1: Setup Multi-Tenant Database schemas. </w:t>
      </w:r>
      <w:r>
        <w:rPr>
          <w:rFonts w:ascii="Segoe UI" w:hAnsi="Segoe UI"/>
          <w:color w:val="333333"/>
          <w:sz w:val="21"/>
        </w:rPr>
        <w:t>Deploy PostgreSQL and run migrations for tenant, api_key, route_entry, role_config, and knowledge_base_entry models.</w:t>
      </w:r>
    </w:p>
    <w:p>
      <w:pPr>
        <w:pStyle w:val="ListBullet"/>
        <w:spacing w:before="0" w:after="60" w:line="276" w:lineRule="auto"/>
      </w:pPr>
      <w:r>
        <w:rPr>
          <w:rFonts w:ascii="Segoe UI" w:hAnsi="Segoe UI"/>
          <w:b/>
          <w:color w:val="333333"/>
          <w:sz w:val="21"/>
        </w:rPr>
        <w:t xml:space="preserve">Step 2: Configure API Gateway middleware. </w:t>
      </w:r>
      <w:r>
        <w:rPr>
          <w:rFonts w:ascii="Segoe UI" w:hAnsi="Segoe UI"/>
          <w:color w:val="333333"/>
          <w:sz w:val="21"/>
        </w:rPr>
        <w:t>Write the ApiKeyAuthMiddleware, RateLimitMiddleware (Redis backed), QuotaMiddleware, and CorsOriginMiddleware inside the API gateway app. Set up settings.py to install them.</w:t>
      </w:r>
    </w:p>
    <w:p>
      <w:pPr>
        <w:pStyle w:val="ListBullet"/>
        <w:spacing w:before="0" w:after="60" w:line="276" w:lineRule="auto"/>
      </w:pPr>
      <w:r>
        <w:rPr>
          <w:rFonts w:ascii="Segoe UI" w:hAnsi="Segoe UI"/>
          <w:b/>
          <w:color w:val="333333"/>
          <w:sz w:val="21"/>
        </w:rPr>
        <w:t xml:space="preserve">Step 3: Setup Neo4j graph connector. </w:t>
      </w:r>
      <w:r>
        <w:rPr>
          <w:rFonts w:ascii="Segoe UI" w:hAnsi="Segoe UI"/>
          <w:color w:val="333333"/>
          <w:sz w:val="21"/>
        </w:rPr>
        <w:t>Implement pool-recycled connections in neo4j_utils.py with a database-per-tenant name resolver.</w:t>
      </w:r>
    </w:p>
    <w:p>
      <w:pPr>
        <w:pStyle w:val="ListBullet"/>
        <w:spacing w:before="0" w:after="60" w:line="276" w:lineRule="auto"/>
      </w:pPr>
      <w:r>
        <w:rPr>
          <w:rFonts w:ascii="Segoe UI" w:hAnsi="Segoe UI"/>
          <w:b/>
          <w:color w:val="333333"/>
          <w:sz w:val="21"/>
        </w:rPr>
        <w:t xml:space="preserve">Step 4: Build prompt compiler and chat proxy views. </w:t>
      </w:r>
      <w:r>
        <w:rPr>
          <w:rFonts w:ascii="Segoe UI" w:hAnsi="Segoe UI"/>
          <w:color w:val="333333"/>
          <w:sz w:val="21"/>
        </w:rPr>
        <w:t>Create chat_message and train_page endpoints. Integrate Gemini Generative Model API to compile contextual system prompts and parse routing suggestions.</w:t>
      </w:r>
    </w:p>
    <w:p>
      <w:pPr>
        <w:pStyle w:val="ListBullet"/>
        <w:spacing w:before="0" w:after="60" w:line="276" w:lineRule="auto"/>
      </w:pPr>
      <w:r>
        <w:rPr>
          <w:rFonts w:ascii="Segoe UI" w:hAnsi="Segoe UI"/>
          <w:b/>
          <w:color w:val="333333"/>
          <w:sz w:val="21"/>
        </w:rPr>
        <w:t xml:space="preserve">Step 5: Bundle standalone widget code. </w:t>
      </w:r>
      <w:r>
        <w:rPr>
          <w:rFonts w:ascii="Segoe UI" w:hAnsi="Segoe UI"/>
          <w:color w:val="333333"/>
          <w:sz w:val="21"/>
        </w:rPr>
        <w:t>Configure Vite to compile index.ts, scanner.ts, training.ts, and ui.ts into a single bundled widget.js using UMD/IIFE packaging. Host it via CDN or Django static assets.</w:t>
      </w:r>
    </w:p>
    <w:p>
      <w:pPr>
        <w:pStyle w:val="ListBullet"/>
        <w:spacing w:before="0" w:after="60" w:line="276" w:lineRule="auto"/>
      </w:pPr>
      <w:r>
        <w:rPr>
          <w:rFonts w:ascii="Segoe UI" w:hAnsi="Segoe UI"/>
          <w:b/>
          <w:color w:val="333333"/>
          <w:sz w:val="21"/>
        </w:rPr>
        <w:t xml:space="preserve">Step 6: Deploy React Dashboard. </w:t>
      </w:r>
      <w:r>
        <w:rPr>
          <w:rFonts w:ascii="Segoe UI" w:hAnsi="Segoe UI"/>
          <w:color w:val="333333"/>
          <w:sz w:val="21"/>
        </w:rPr>
        <w:t>Build settings forms, script embed helper code widgets, billing models, and analytics chart panels.</w:t>
      </w:r>
    </w:p>
    <w:p>
      <w:pPr>
        <w:pStyle w:val="ListBullet"/>
        <w:spacing w:before="0" w:after="60" w:line="276" w:lineRule="auto"/>
      </w:pPr>
      <w:r>
        <w:rPr>
          <w:rFonts w:ascii="Segoe UI" w:hAnsi="Segoe UI"/>
          <w:b/>
          <w:color w:val="333333"/>
          <w:sz w:val="21"/>
        </w:rPr>
        <w:t xml:space="preserve">Step 7: Conduct E2E Verification. </w:t>
      </w:r>
      <w:r>
        <w:rPr>
          <w:rFonts w:ascii="Segoe UI" w:hAnsi="Segoe UI"/>
          <w:color w:val="333333"/>
          <w:sz w:val="21"/>
        </w:rPr>
        <w:t>Set up a mock site, include the script tag with the tenant's API Key, navigate, and confirm that DOM scanners sync metadata with the PostgreSQL database and the bot successfully triggers client SPA routing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