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Smart Material AI Chat</w:t>
      </w:r>
    </w:p>
    <w:p>
      <w:pPr>
        <w:spacing w:after="400"/>
        <w:jc w:val="center"/>
      </w:pPr>
      <w:r>
        <w:rPr>
          <w:b/>
          <w:bCs/>
          <w:color w:val="2E74B5"/>
          <w:sz w:val="36"/>
          <w:szCs w:val="36"/>
        </w:rPr>
        <w:t xml:space="preserve">Functional Specification Document</w:t>
      </w:r>
    </w:p>
    <w:p>
      <w:pPr>
        <w:spacing w:after="1200"/>
        <w:jc w:val="center"/>
      </w:pPr>
      <w:r>
        <w:rPr>
          <w:i/>
          <w:iCs/>
          <w:sz w:val="24"/>
          <w:szCs w:val="24"/>
        </w:rPr>
        <w:t xml:space="preserve">Jabil Suzhou GP — AI-Enabled Material Shortage, Inventory &amp; Aging Assistant</w:t>
      </w:r>
    </w:p>
    <w:p>
      <w:pPr>
        <w:jc w:val="center"/>
      </w:pPr>
      <w:r>
        <w:rPr>
          <w:sz w:val="22"/>
          <w:szCs w:val="22"/>
        </w:rPr>
        <w:t xml:space="preserve">Prepared by: Sierra Digital Inc.</w:t>
      </w:r>
    </w:p>
    <w:p>
      <w:pPr>
        <w:jc w:val="center"/>
      </w:pPr>
      <w:r>
        <w:rPr>
          <w:sz w:val="22"/>
          <w:szCs w:val="22"/>
        </w:rPr>
        <w:t xml:space="preserve">Prepared for: Jabil — Suzhou GP Site</w:t>
      </w:r>
    </w:p>
    <w:p>
      <w:pPr>
        <w:spacing w:after="100"/>
        <w:jc w:val="center"/>
      </w:pPr>
      <w:r>
        <w:rPr>
          <w:sz w:val="22"/>
          <w:szCs w:val="22"/>
        </w:rPr>
        <w:t xml:space="preserve">Version 1.0 — Draft for Review</w:t>
      </w:r>
    </w:p>
    <w:p>
      <w:r>
        <w:br w:type="page"/>
      </w:r>
    </w:p>
    <w:p>
      <w:pPr>
        <w:pStyle w:val="Heading1"/>
        <w:spacing w:after="150" w:before="300"/>
      </w:pPr>
      <w:r>
        <w:t xml:space="preserve">Revision History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47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Version</w:t>
            </w:r>
          </w:p>
        </w:tc>
        <w:tc>
          <w:tcPr>
            <w:tcW w:type="dxa" w:w="1800"/>
            <w:shd w:fill="1F3864" w:val="clear"/>
            <w:tcMar>
              <w:top w:type="dxa" w:w="80"/>
              <w:left w:type="dxa" w:w="100"/>
              <w:bottom w:type="dxa" w:w="80"/>
              <w:right w:type="dxa" w:w="100"/>
            </w:tcMar>
          </w:tcPr>
          <w:p>
            <w:r>
              <w:rPr>
                <w:b/>
                <w:bCs/>
                <w:color w:val="FFFFFF"/>
                <w:sz w:val="20"/>
                <w:szCs w:val="20"/>
              </w:rPr>
              <w:t xml:space="preserve">Date</w:t>
            </w:r>
          </w:p>
        </w:tc>
        <w:tc>
          <w:tcPr>
            <w:tcW w:type="dxa" w:w="2800"/>
            <w:shd w:fill="1F3864" w:val="clear"/>
            <w:tcMar>
              <w:top w:type="dxa" w:w="80"/>
              <w:left w:type="dxa" w:w="100"/>
              <w:bottom w:type="dxa" w:w="80"/>
              <w:right w:type="dxa" w:w="100"/>
            </w:tcMar>
          </w:tcPr>
          <w:p>
            <w:r>
              <w:rPr>
                <w:b/>
                <w:bCs/>
                <w:color w:val="FFFFFF"/>
                <w:sz w:val="20"/>
                <w:szCs w:val="20"/>
              </w:rPr>
              <w:t xml:space="preserve">Author</w:t>
            </w:r>
          </w:p>
        </w:tc>
        <w:tc>
          <w:tcPr>
            <w:tcW w:type="dxa" w:w="4700"/>
            <w:shd w:fill="1F3864" w:val="clear"/>
            <w:tcMar>
              <w:top w:type="dxa" w:w="80"/>
              <w:left w:type="dxa" w:w="100"/>
              <w:bottom w:type="dxa" w:w="80"/>
              <w:right w:type="dxa" w:w="100"/>
            </w:tcMar>
          </w:tcPr>
          <w:p>
            <w:r>
              <w:rPr>
                <w:b/>
                <w:bCs/>
                <w:color w:val="FFFFFF"/>
                <w:sz w:val="20"/>
                <w:szCs w:val="20"/>
              </w:rPr>
              <w:t xml:space="preserve">Description</w:t>
            </w:r>
          </w:p>
        </w:tc>
      </w:tr>
      <w:tr>
        <w:tc>
          <w:tcPr>
            <w:tcW w:type="dxa" w:w="1500"/>
            <w:tcMar>
              <w:top w:type="dxa" w:w="80"/>
              <w:left w:type="dxa" w:w="100"/>
              <w:bottom w:type="dxa" w:w="80"/>
              <w:right w:type="dxa" w:w="100"/>
            </w:tcMar>
          </w:tcPr>
          <w:p>
            <w:r>
              <w:rPr>
                <w:sz w:val="20"/>
                <w:szCs w:val="20"/>
              </w:rPr>
              <w:t xml:space="preserve">1.0</w:t>
            </w:r>
          </w:p>
        </w:tc>
        <w:tc>
          <w:tcPr>
            <w:tcW w:type="dxa" w:w="1800"/>
            <w:tcMar>
              <w:top w:type="dxa" w:w="80"/>
              <w:left w:type="dxa" w:w="100"/>
              <w:bottom w:type="dxa" w:w="80"/>
              <w:right w:type="dxa" w:w="100"/>
            </w:tcMar>
          </w:tcPr>
          <w:p>
            <w:r>
              <w:rPr>
                <w:sz w:val="20"/>
                <w:szCs w:val="20"/>
              </w:rPr>
              <w:t xml:space="preserve">TBD</w:t>
            </w:r>
          </w:p>
        </w:tc>
        <w:tc>
          <w:tcPr>
            <w:tcW w:type="dxa" w:w="2800"/>
            <w:tcMar>
              <w:top w:type="dxa" w:w="80"/>
              <w:left w:type="dxa" w:w="100"/>
              <w:bottom w:type="dxa" w:w="80"/>
              <w:right w:type="dxa" w:w="100"/>
            </w:tcMar>
          </w:tcPr>
          <w:p>
            <w:r>
              <w:rPr>
                <w:sz w:val="20"/>
                <w:szCs w:val="20"/>
              </w:rPr>
              <w:t xml:space="preserve">Sierra Digital Inc.</w:t>
            </w:r>
          </w:p>
        </w:tc>
        <w:tc>
          <w:tcPr>
            <w:tcW w:type="dxa" w:w="4700"/>
            <w:tcMar>
              <w:top w:type="dxa" w:w="80"/>
              <w:left w:type="dxa" w:w="100"/>
              <w:bottom w:type="dxa" w:w="80"/>
              <w:right w:type="dxa" w:w="100"/>
            </w:tcMar>
          </w:tcPr>
          <w:p>
            <w:r>
              <w:rPr>
                <w:sz w:val="20"/>
                <w:szCs w:val="20"/>
              </w:rPr>
              <w:t xml:space="preserve">Initial draft — combines BRD, clarification Q&amp;A, and source-data analysis</w:t>
            </w:r>
          </w:p>
        </w:tc>
      </w:tr>
    </w:tbl>
    <w:p>
      <w:r>
        <w:br w:type="page"/>
      </w:r>
    </w:p>
    <w:p>
      <w:pPr>
        <w:pStyle w:val="Heading1"/>
        <w:spacing w:after="150" w:before="300"/>
      </w:pPr>
      <w:r>
        <w:t xml:space="preserve">Table of Contents</w:t>
      </w:r>
    </w:p>
    <w:p>
      <w:pPr>
        <w:spacing w:after="120"/>
      </w:pPr>
      <w:r>
        <w:t xml:space="preserve">1. Executive Summary</w:t>
      </w:r>
    </w:p>
    <w:p>
      <w:pPr>
        <w:spacing w:after="120"/>
      </w:pPr>
      <w:r>
        <w:t xml:space="preserve">2. Business Scope</w:t>
      </w:r>
    </w:p>
    <w:p>
      <w:pPr>
        <w:spacing w:after="120"/>
      </w:pPr>
      <w:r>
        <w:t xml:space="preserve">3. Business Requirements</w:t>
      </w:r>
    </w:p>
    <w:p>
      <w:pPr>
        <w:spacing w:after="120"/>
      </w:pPr>
      <w:r>
        <w:t xml:space="preserve">4. Business Rules &amp; Decision Logic</w:t>
      </w:r>
    </w:p>
    <w:p>
      <w:pPr>
        <w:spacing w:after="120"/>
      </w:pPr>
      <w:r>
        <w:t xml:space="preserve">5. Non-Functional Requirements</w:t>
      </w:r>
    </w:p>
    <w:p>
      <w:pPr>
        <w:spacing w:after="120"/>
      </w:pPr>
      <w:r>
        <w:t xml:space="preserve">6. Proposed Solution</w:t>
      </w:r>
    </w:p>
    <w:p>
      <w:pPr>
        <w:spacing w:after="120"/>
      </w:pPr>
      <w:r>
        <w:t xml:space="preserve">7. Technology Stack</w:t>
      </w:r>
    </w:p>
    <w:p>
      <w:pPr>
        <w:spacing w:after="120"/>
      </w:pPr>
      <w:r>
        <w:t xml:space="preserve">8. User Roles &amp; Personas</w:t>
      </w:r>
    </w:p>
    <w:p>
      <w:pPr>
        <w:spacing w:after="120"/>
      </w:pPr>
      <w:r>
        <w:t xml:space="preserve">9. Assumptions</w:t>
      </w:r>
    </w:p>
    <w:p>
      <w:pPr>
        <w:spacing w:after="120"/>
      </w:pPr>
      <w:r>
        <w:t xml:space="preserve">10. Open Questions</w:t>
      </w:r>
    </w:p>
    <w:p>
      <w:pPr>
        <w:spacing w:after="120"/>
      </w:pPr>
      <w:r>
        <w:t xml:space="preserve">11. Appendix: Glossary of Terms</w:t>
      </w:r>
    </w:p>
    <w:p>
      <w:r>
        <w:br w:type="page"/>
      </w:r>
    </w:p>
    <w:p>
      <w:pPr>
        <w:pStyle w:val="Heading1"/>
        <w:spacing w:after="150" w:before="300"/>
      </w:pPr>
      <w:r>
        <w:t xml:space="preserve">1. Executive Summary</w:t>
      </w:r>
    </w:p>
    <w:p>
      <w:pPr>
        <w:spacing w:after="120"/>
      </w:pPr>
      <w:r>
        <w:t xml:space="preserve">Line-side warehouse and Inventory Control (IC) staff at Jabil's Suzhou GP site currently rely on a manual, Excel-based daily process to determine work order material shortages, inventory aging, and over-control/over-issue conditions. This process draws on multiple SAP reports (14C / PP-GP-014C-NSU, PP-134, MB52, COOIS, MM03, Z_AGEDINV), takes approximately 60 minutes per cycle, and is executed daily by roughly 38–40 users, consuming an estimated 10 hours per person per week.</w:t>
      </w:r>
    </w:p>
    <w:p>
      <w:pPr>
        <w:spacing w:after="120"/>
      </w:pPr>
      <w:r>
        <w:t xml:space="preserve">This Functional Specification defines the requirements for a Smart Material AI Chat solution that replaces this manual process with a conversational assistant built on SAP Business Technology Platform (BTP) and SAP Joule, Jabil's AI copilot, extended with a custom Joule agent for material shortage, inventory, and aging use cases. The scope of this phase is limited to Joule as the copilot client (accessed via Microsoft Teams integration), rather than a bespoke chat UI.</w:t>
      </w:r>
    </w:p>
    <w:p>
      <w:pPr>
        <w:spacing w:after="120"/>
      </w:pPr>
      <w:r>
        <w:t xml:space="preserve">The solution is expected to reduce manual analysis workload by at least 80%, move users from a daily/batch reporting cadence to near real-time query access, and standardize business rules that are currently applied inconsistently based on individual staff experience.</w:t>
      </w:r>
    </w:p>
    <w:p>
      <w:pPr>
        <w:pStyle w:val="Heading1"/>
        <w:spacing w:after="150" w:before="300"/>
      </w:pPr>
      <w:r>
        <w:t xml:space="preserve">2. Business Scope</w:t>
      </w:r>
    </w:p>
    <w:p>
      <w:pPr>
        <w:pStyle w:val="Heading2"/>
        <w:spacing w:after="120" w:before="250"/>
      </w:pPr>
      <w:r>
        <w:t xml:space="preserve">2.1 In Scope</w:t>
      </w:r>
    </w:p>
    <w:p>
      <w:pPr>
        <w:pStyle w:val="ListParagraph"/>
        <w:numPr>
          <w:ilvl w:val="0"/>
          <w:numId w:val="2"/>
        </w:numPr>
        <w:spacing w:after="60"/>
      </w:pPr>
      <w:r>
        <w:t xml:space="preserve">Site: Jabil Suzhou GP only (single site for this phase).</w:t>
      </w:r>
    </w:p>
    <w:p>
      <w:pPr>
        <w:pStyle w:val="ListParagraph"/>
        <w:numPr>
          <w:ilvl w:val="0"/>
          <w:numId w:val="2"/>
        </w:numPr>
        <w:spacing w:after="60"/>
      </w:pPr>
      <w:r>
        <w:t xml:space="preserve">User group: Inventory Control (IC) and line-side warehouse staff, as the primary users of the current daily shortage/aging process.</w:t>
      </w:r>
    </w:p>
    <w:p>
      <w:pPr>
        <w:pStyle w:val="ListParagraph"/>
        <w:numPr>
          <w:ilvl w:val="0"/>
          <w:numId w:val="2"/>
        </w:numPr>
        <w:spacing w:after="60"/>
      </w:pPr>
      <w:r>
        <w:t xml:space="preserve">Read/query capabilities: work order shortage status, material inventory availability and location, aging status (&gt;14 days), over-control / over-issued flagging, non-controlled material identification.</w:t>
      </w:r>
    </w:p>
    <w:p>
      <w:pPr>
        <w:pStyle w:val="ListParagraph"/>
        <w:numPr>
          <w:ilvl w:val="0"/>
          <w:numId w:val="2"/>
        </w:numPr>
        <w:spacing w:after="60"/>
      </w:pPr>
      <w:r>
        <w:t xml:space="preserve">Report generation and download in Excel/CSV format, on demand.</w:t>
      </w:r>
    </w:p>
    <w:p>
      <w:pPr>
        <w:pStyle w:val="ListParagraph"/>
        <w:numPr>
          <w:ilvl w:val="0"/>
          <w:numId w:val="2"/>
        </w:numPr>
        <w:spacing w:after="60"/>
      </w:pPr>
      <w:r>
        <w:t xml:space="preserve">Controlled, role-gated execution of the SAP ZPL pull-list action, proposed by the assistant and confirmed by the authorized user.</w:t>
      </w:r>
    </w:p>
    <w:p>
      <w:pPr>
        <w:pStyle w:val="ListParagraph"/>
        <w:numPr>
          <w:ilvl w:val="0"/>
          <w:numId w:val="2"/>
        </w:numPr>
        <w:spacing w:after="60"/>
      </w:pPr>
      <w:r>
        <w:t xml:space="preserve">Delivery via SAP Joule as the copilot client, integrated with Microsoft Teams (chat interface, Teams app/tab, and downloadable report attachments).</w:t>
      </w:r>
    </w:p>
    <w:p>
      <w:pPr>
        <w:pStyle w:val="ListParagraph"/>
        <w:numPr>
          <w:ilvl w:val="0"/>
          <w:numId w:val="2"/>
        </w:numPr>
        <w:spacing w:after="60"/>
      </w:pPr>
      <w:r>
        <w:t xml:space="preserve">Bilingual natural-language input (Mandarin and English); SAP-sourced data and terminology remain in English.</w:t>
      </w:r>
    </w:p>
    <w:p>
      <w:pPr>
        <w:pStyle w:val="ListParagraph"/>
        <w:numPr>
          <w:ilvl w:val="0"/>
          <w:numId w:val="2"/>
        </w:numPr>
        <w:spacing w:after="60"/>
      </w:pPr>
      <w:r>
        <w:t xml:space="preserve">A data-loading option to upload source reports as Excel files, in addition to direct SAP integration, to support phased rollout and offline/PoC validation.</w:t>
      </w:r>
    </w:p>
    <w:p>
      <w:pPr>
        <w:pStyle w:val="Heading2"/>
        <w:spacing w:after="120" w:before="250"/>
      </w:pPr>
      <w:r>
        <w:t xml:space="preserve">2.2 Out of Scope (This Phase)</w:t>
      </w:r>
    </w:p>
    <w:p>
      <w:pPr>
        <w:pStyle w:val="ListParagraph"/>
        <w:numPr>
          <w:ilvl w:val="0"/>
          <w:numId w:val="2"/>
        </w:numPr>
        <w:spacing w:after="60"/>
      </w:pPr>
      <w:r>
        <w:t xml:space="preserve">Multi-site / "Global Process" rollout beyond Suzhou GP (architecture should not preclude this later, but is not delivered now).</w:t>
      </w:r>
    </w:p>
    <w:p>
      <w:pPr>
        <w:pStyle w:val="ListParagraph"/>
        <w:numPr>
          <w:ilvl w:val="0"/>
          <w:numId w:val="2"/>
        </w:numPr>
        <w:spacing w:after="60"/>
      </w:pPr>
      <w:r>
        <w:t xml:space="preserve">Full automation of "machine-head material" (机头料) classification — this remains a flagged, human-review item; no deterministic rule has been confirmed.</w:t>
      </w:r>
    </w:p>
    <w:p>
      <w:pPr>
        <w:pStyle w:val="ListParagraph"/>
        <w:numPr>
          <w:ilvl w:val="0"/>
          <w:numId w:val="2"/>
        </w:numPr>
        <w:spacing w:after="60"/>
      </w:pPr>
      <w:r>
        <w:t xml:space="preserve">Predictive/forecasting capabilities (e.g., shortage forecasting, demand prediction) — not requested in the BRD and not part of this phase.</w:t>
      </w:r>
    </w:p>
    <w:p>
      <w:pPr>
        <w:pStyle w:val="ListParagraph"/>
        <w:numPr>
          <w:ilvl w:val="0"/>
          <w:numId w:val="2"/>
        </w:numPr>
        <w:spacing w:after="60"/>
      </w:pPr>
      <w:r>
        <w:t xml:space="preserve">Planner, Manufactory User, and Management-level dashboards described in BRD section 1.6 — this phase targets IC/line-side warehouse users only.</w:t>
      </w:r>
    </w:p>
    <w:p>
      <w:pPr>
        <w:pStyle w:val="ListParagraph"/>
        <w:numPr>
          <w:ilvl w:val="0"/>
          <w:numId w:val="2"/>
        </w:numPr>
        <w:spacing w:after="60"/>
      </w:pPr>
      <w:r>
        <w:t xml:space="preserve">A bespoke, standalone chat front-end — the BRD's original "Teams chat interface" concept is delivered through Joule rather than a custom-built bot, per updated technology direction.</w:t>
      </w:r>
    </w:p>
    <w:p>
      <w:pPr>
        <w:pStyle w:val="ListParagraph"/>
        <w:numPr>
          <w:ilvl w:val="0"/>
          <w:numId w:val="2"/>
        </w:numPr>
        <w:spacing w:after="60"/>
      </w:pPr>
      <w:r>
        <w:t xml:space="preserve">New identity/authorization infrastructure — the solution follows existing SAP role assignments as-is.</w:t>
      </w:r>
    </w:p>
    <w:p>
      <w:pPr>
        <w:pStyle w:val="Heading1"/>
        <w:spacing w:after="150" w:before="300"/>
      </w:pPr>
      <w:r>
        <w:t xml:space="preserve">3. Business Requirements</w:t>
      </w:r>
    </w:p>
    <w:p>
      <w:pPr>
        <w:pStyle w:val="Heading2"/>
        <w:spacing w:after="120" w:before="250"/>
      </w:pPr>
      <w:r>
        <w:t xml:space="preserve">3.1 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6300"/>
        <w:gridCol w:w="2500"/>
      </w:tblGrid>
      <w:tr>
        <w:trPr>
          <w:tblHeader/>
        </w:trPr>
        <w:tc>
          <w:tcPr>
            <w:tcW w:type="dxa" w:w="1000"/>
            <w:shd w:fill="1F3864" w:val="clear"/>
            <w:tcMar>
              <w:top w:type="dxa" w:w="80"/>
              <w:left w:type="dxa" w:w="100"/>
              <w:bottom w:type="dxa" w:w="80"/>
              <w:right w:type="dxa" w:w="100"/>
            </w:tcMar>
          </w:tcPr>
          <w:p>
            <w:r>
              <w:rPr>
                <w:b/>
                <w:bCs/>
                <w:color w:val="FFFFFF"/>
                <w:sz w:val="20"/>
                <w:szCs w:val="20"/>
              </w:rPr>
              <w:t xml:space="preserve">ID</w:t>
            </w:r>
          </w:p>
        </w:tc>
        <w:tc>
          <w:tcPr>
            <w:tcW w:type="dxa" w:w="6300"/>
            <w:shd w:fill="1F3864" w:val="clear"/>
            <w:tcMar>
              <w:top w:type="dxa" w:w="80"/>
              <w:left w:type="dxa" w:w="100"/>
              <w:bottom w:type="dxa" w:w="80"/>
              <w:right w:type="dxa" w:w="100"/>
            </w:tcMar>
          </w:tcPr>
          <w:p>
            <w:r>
              <w:rPr>
                <w:b/>
                <w:bCs/>
                <w:color w:val="FFFFFF"/>
                <w:sz w:val="20"/>
                <w:szCs w:val="20"/>
              </w:rPr>
              <w:t xml:space="preserve">Requirement</w:t>
            </w:r>
          </w:p>
        </w:tc>
        <w:tc>
          <w:tcPr>
            <w:tcW w:type="dxa" w:w="2500"/>
            <w:shd w:fill="1F3864" w:val="clear"/>
            <w:tcMar>
              <w:top w:type="dxa" w:w="80"/>
              <w:left w:type="dxa" w:w="100"/>
              <w:bottom w:type="dxa" w:w="80"/>
              <w:right w:type="dxa" w:w="100"/>
            </w:tcMar>
          </w:tcPr>
          <w:p>
            <w:r>
              <w:rPr>
                <w:b/>
                <w:bCs/>
                <w:color w:val="FFFFFF"/>
                <w:sz w:val="20"/>
                <w:szCs w:val="20"/>
              </w:rPr>
              <w:t xml:space="preserve">Source</w:t>
            </w:r>
          </w:p>
        </w:tc>
      </w:tr>
      <w:tr>
        <w:tc>
          <w:tcPr>
            <w:tcW w:type="dxa" w:w="1000"/>
            <w:tcMar>
              <w:top w:type="dxa" w:w="80"/>
              <w:left w:type="dxa" w:w="100"/>
              <w:bottom w:type="dxa" w:w="80"/>
              <w:right w:type="dxa" w:w="100"/>
            </w:tcMar>
          </w:tcPr>
          <w:p>
            <w:r>
              <w:rPr>
                <w:sz w:val="20"/>
                <w:szCs w:val="20"/>
              </w:rPr>
              <w:t xml:space="preserve">FR-01</w:t>
            </w:r>
          </w:p>
        </w:tc>
        <w:tc>
          <w:tcPr>
            <w:tcW w:type="dxa" w:w="6300"/>
            <w:tcMar>
              <w:top w:type="dxa" w:w="80"/>
              <w:left w:type="dxa" w:w="100"/>
              <w:bottom w:type="dxa" w:w="80"/>
              <w:right w:type="dxa" w:w="100"/>
            </w:tcMar>
          </w:tcPr>
          <w:p>
            <w:r>
              <w:rPr>
                <w:sz w:val="20"/>
                <w:szCs w:val="20"/>
              </w:rPr>
              <w:t xml:space="preserve">User can query work order material shortage status using natural language (Mandarin or English) via Joule in Teams.</w:t>
            </w:r>
          </w:p>
        </w:tc>
        <w:tc>
          <w:tcPr>
            <w:tcW w:type="dxa" w:w="2500"/>
            <w:tcMar>
              <w:top w:type="dxa" w:w="80"/>
              <w:left w:type="dxa" w:w="100"/>
              <w:bottom w:type="dxa" w:w="80"/>
              <w:right w:type="dxa" w:w="100"/>
            </w:tcMar>
          </w:tcPr>
          <w:p>
            <w:r>
              <w:rPr>
                <w:sz w:val="20"/>
                <w:szCs w:val="20"/>
              </w:rPr>
              <w:t xml:space="preserve">BRD §1.2, §1.4</w:t>
            </w:r>
          </w:p>
        </w:tc>
      </w:tr>
      <w:tr>
        <w:tc>
          <w:tcPr>
            <w:tcW w:type="dxa" w:w="1000"/>
            <w:tcMar>
              <w:top w:type="dxa" w:w="80"/>
              <w:left w:type="dxa" w:w="100"/>
              <w:bottom w:type="dxa" w:w="80"/>
              <w:right w:type="dxa" w:w="100"/>
            </w:tcMar>
          </w:tcPr>
          <w:p>
            <w:r>
              <w:rPr>
                <w:sz w:val="20"/>
                <w:szCs w:val="20"/>
              </w:rPr>
              <w:t xml:space="preserve">FR-02</w:t>
            </w:r>
          </w:p>
        </w:tc>
        <w:tc>
          <w:tcPr>
            <w:tcW w:type="dxa" w:w="6300"/>
            <w:tcMar>
              <w:top w:type="dxa" w:w="80"/>
              <w:left w:type="dxa" w:w="100"/>
              <w:bottom w:type="dxa" w:w="80"/>
              <w:right w:type="dxa" w:w="100"/>
            </w:tcMar>
          </w:tcPr>
          <w:p>
            <w:r>
              <w:rPr>
                <w:sz w:val="20"/>
                <w:szCs w:val="20"/>
              </w:rPr>
              <w:t xml:space="preserve">User can query material inventory availability and storage location.</w:t>
            </w:r>
          </w:p>
        </w:tc>
        <w:tc>
          <w:tcPr>
            <w:tcW w:type="dxa" w:w="2500"/>
            <w:tcMar>
              <w:top w:type="dxa" w:w="80"/>
              <w:left w:type="dxa" w:w="100"/>
              <w:bottom w:type="dxa" w:w="80"/>
              <w:right w:type="dxa" w:w="100"/>
            </w:tcMar>
          </w:tcPr>
          <w:p>
            <w:r>
              <w:rPr>
                <w:sz w:val="20"/>
                <w:szCs w:val="20"/>
              </w:rPr>
              <w:t xml:space="preserve">BRD §1.2</w:t>
            </w:r>
          </w:p>
        </w:tc>
      </w:tr>
      <w:tr>
        <w:tc>
          <w:tcPr>
            <w:tcW w:type="dxa" w:w="1000"/>
            <w:tcMar>
              <w:top w:type="dxa" w:w="80"/>
              <w:left w:type="dxa" w:w="100"/>
              <w:bottom w:type="dxa" w:w="80"/>
              <w:right w:type="dxa" w:w="100"/>
            </w:tcMar>
          </w:tcPr>
          <w:p>
            <w:r>
              <w:rPr>
                <w:sz w:val="20"/>
                <w:szCs w:val="20"/>
              </w:rPr>
              <w:t xml:space="preserve">FR-03</w:t>
            </w:r>
          </w:p>
        </w:tc>
        <w:tc>
          <w:tcPr>
            <w:tcW w:type="dxa" w:w="6300"/>
            <w:tcMar>
              <w:top w:type="dxa" w:w="80"/>
              <w:left w:type="dxa" w:w="100"/>
              <w:bottom w:type="dxa" w:w="80"/>
              <w:right w:type="dxa" w:w="100"/>
            </w:tcMar>
          </w:tcPr>
          <w:p>
            <w:r>
              <w:rPr>
                <w:sz w:val="20"/>
                <w:szCs w:val="20"/>
              </w:rPr>
              <w:t xml:space="preserve">User can query aging status of inventory (materials unused for more than 14 days).</w:t>
            </w:r>
          </w:p>
        </w:tc>
        <w:tc>
          <w:tcPr>
            <w:tcW w:type="dxa" w:w="2500"/>
            <w:tcMar>
              <w:top w:type="dxa" w:w="80"/>
              <w:left w:type="dxa" w:w="100"/>
              <w:bottom w:type="dxa" w:w="80"/>
              <w:right w:type="dxa" w:w="100"/>
            </w:tcMar>
          </w:tcPr>
          <w:p>
            <w:r>
              <w:rPr>
                <w:sz w:val="20"/>
                <w:szCs w:val="20"/>
              </w:rPr>
              <w:t xml:space="preserve">BRD §2.3.5</w:t>
            </w:r>
          </w:p>
        </w:tc>
      </w:tr>
      <w:tr>
        <w:tc>
          <w:tcPr>
            <w:tcW w:type="dxa" w:w="1000"/>
            <w:tcMar>
              <w:top w:type="dxa" w:w="80"/>
              <w:left w:type="dxa" w:w="100"/>
              <w:bottom w:type="dxa" w:w="80"/>
              <w:right w:type="dxa" w:w="100"/>
            </w:tcMar>
          </w:tcPr>
          <w:p>
            <w:r>
              <w:rPr>
                <w:sz w:val="20"/>
                <w:szCs w:val="20"/>
              </w:rPr>
              <w:t xml:space="preserve">FR-04</w:t>
            </w:r>
          </w:p>
        </w:tc>
        <w:tc>
          <w:tcPr>
            <w:tcW w:type="dxa" w:w="6300"/>
            <w:tcMar>
              <w:top w:type="dxa" w:w="80"/>
              <w:left w:type="dxa" w:w="100"/>
              <w:bottom w:type="dxa" w:w="80"/>
              <w:right w:type="dxa" w:w="100"/>
            </w:tcMar>
          </w:tcPr>
          <w:p>
            <w:r>
              <w:rPr>
                <w:sz w:val="20"/>
                <w:szCs w:val="20"/>
              </w:rPr>
              <w:t xml:space="preserve">System automatically flags over-control / over-issued materials using the confirmed WIP-vs-requirement formula.</w:t>
            </w:r>
          </w:p>
        </w:tc>
        <w:tc>
          <w:tcPr>
            <w:tcW w:type="dxa" w:w="2500"/>
            <w:tcMar>
              <w:top w:type="dxa" w:w="80"/>
              <w:left w:type="dxa" w:w="100"/>
              <w:bottom w:type="dxa" w:w="80"/>
              <w:right w:type="dxa" w:w="100"/>
            </w:tcMar>
          </w:tcPr>
          <w:p>
            <w:r>
              <w:rPr>
                <w:sz w:val="20"/>
                <w:szCs w:val="20"/>
              </w:rPr>
              <w:t xml:space="preserve">Clarification Q4; Z_AGEDINV analysis</w:t>
            </w:r>
          </w:p>
        </w:tc>
      </w:tr>
      <w:tr>
        <w:tc>
          <w:tcPr>
            <w:tcW w:type="dxa" w:w="1000"/>
            <w:tcMar>
              <w:top w:type="dxa" w:w="80"/>
              <w:left w:type="dxa" w:w="100"/>
              <w:bottom w:type="dxa" w:w="80"/>
              <w:right w:type="dxa" w:w="100"/>
            </w:tcMar>
          </w:tcPr>
          <w:p>
            <w:r>
              <w:rPr>
                <w:sz w:val="20"/>
                <w:szCs w:val="20"/>
              </w:rPr>
              <w:t xml:space="preserve">FR-05</w:t>
            </w:r>
          </w:p>
        </w:tc>
        <w:tc>
          <w:tcPr>
            <w:tcW w:type="dxa" w:w="6300"/>
            <w:tcMar>
              <w:top w:type="dxa" w:w="80"/>
              <w:left w:type="dxa" w:w="100"/>
              <w:bottom w:type="dxa" w:w="80"/>
              <w:right w:type="dxa" w:w="100"/>
            </w:tcMar>
          </w:tcPr>
          <w:p>
            <w:r>
              <w:rPr>
                <w:sz w:val="20"/>
                <w:szCs w:val="20"/>
              </w:rPr>
              <w:t xml:space="preserve">System automatically identifies non-controlled material (WIP without a linked production order, or WIP where the production order quantity is already fulfilled).</w:t>
            </w:r>
          </w:p>
        </w:tc>
        <w:tc>
          <w:tcPr>
            <w:tcW w:type="dxa" w:w="2500"/>
            <w:tcMar>
              <w:top w:type="dxa" w:w="80"/>
              <w:left w:type="dxa" w:w="100"/>
              <w:bottom w:type="dxa" w:w="80"/>
              <w:right w:type="dxa" w:w="100"/>
            </w:tcMar>
          </w:tcPr>
          <w:p>
            <w:r>
              <w:rPr>
                <w:sz w:val="20"/>
                <w:szCs w:val="20"/>
              </w:rPr>
              <w:t xml:space="preserve">Clarification Q2; Z_AGEDINV analysis</w:t>
            </w:r>
          </w:p>
        </w:tc>
      </w:tr>
      <w:tr>
        <w:tc>
          <w:tcPr>
            <w:tcW w:type="dxa" w:w="1000"/>
            <w:tcMar>
              <w:top w:type="dxa" w:w="80"/>
              <w:left w:type="dxa" w:w="100"/>
              <w:bottom w:type="dxa" w:w="80"/>
              <w:right w:type="dxa" w:w="100"/>
            </w:tcMar>
          </w:tcPr>
          <w:p>
            <w:r>
              <w:rPr>
                <w:sz w:val="20"/>
                <w:szCs w:val="20"/>
              </w:rPr>
              <w:t xml:space="preserve">FR-06</w:t>
            </w:r>
          </w:p>
        </w:tc>
        <w:tc>
          <w:tcPr>
            <w:tcW w:type="dxa" w:w="6300"/>
            <w:tcMar>
              <w:top w:type="dxa" w:w="80"/>
              <w:left w:type="dxa" w:w="100"/>
              <w:bottom w:type="dxa" w:w="80"/>
              <w:right w:type="dxa" w:w="100"/>
            </w:tcMar>
          </w:tcPr>
          <w:p>
            <w:r>
              <w:rPr>
                <w:sz w:val="20"/>
                <w:szCs w:val="20"/>
              </w:rPr>
              <w:t xml:space="preserve">System flags candidate "machine-head material" (机头料) cases for human review based on GR/GI material document indicators; does not auto-resolve.</w:t>
            </w:r>
          </w:p>
        </w:tc>
        <w:tc>
          <w:tcPr>
            <w:tcW w:type="dxa" w:w="2500"/>
            <w:tcMar>
              <w:top w:type="dxa" w:w="80"/>
              <w:left w:type="dxa" w:w="100"/>
              <w:bottom w:type="dxa" w:w="80"/>
              <w:right w:type="dxa" w:w="100"/>
            </w:tcMar>
          </w:tcPr>
          <w:p>
            <w:r>
              <w:rPr>
                <w:sz w:val="20"/>
                <w:szCs w:val="20"/>
              </w:rPr>
              <w:t xml:space="preserve">Clarification Q1</w:t>
            </w:r>
          </w:p>
        </w:tc>
      </w:tr>
      <w:tr>
        <w:tc>
          <w:tcPr>
            <w:tcW w:type="dxa" w:w="1000"/>
            <w:tcMar>
              <w:top w:type="dxa" w:w="80"/>
              <w:left w:type="dxa" w:w="100"/>
              <w:bottom w:type="dxa" w:w="80"/>
              <w:right w:type="dxa" w:w="100"/>
            </w:tcMar>
          </w:tcPr>
          <w:p>
            <w:r>
              <w:rPr>
                <w:sz w:val="20"/>
                <w:szCs w:val="20"/>
              </w:rPr>
              <w:t xml:space="preserve">FR-07</w:t>
            </w:r>
          </w:p>
        </w:tc>
        <w:tc>
          <w:tcPr>
            <w:tcW w:type="dxa" w:w="6300"/>
            <w:tcMar>
              <w:top w:type="dxa" w:w="80"/>
              <w:left w:type="dxa" w:w="100"/>
              <w:bottom w:type="dxa" w:w="80"/>
              <w:right w:type="dxa" w:w="100"/>
            </w:tcMar>
          </w:tcPr>
          <w:p>
            <w:r>
              <w:rPr>
                <w:sz w:val="20"/>
                <w:szCs w:val="20"/>
              </w:rPr>
              <w:t xml:space="preserve">User can request and download a standardized report in Excel or CSV format.</w:t>
            </w:r>
          </w:p>
        </w:tc>
        <w:tc>
          <w:tcPr>
            <w:tcW w:type="dxa" w:w="2500"/>
            <w:tcMar>
              <w:top w:type="dxa" w:w="80"/>
              <w:left w:type="dxa" w:w="100"/>
              <w:bottom w:type="dxa" w:w="80"/>
              <w:right w:type="dxa" w:w="100"/>
            </w:tcMar>
          </w:tcPr>
          <w:p>
            <w:r>
              <w:rPr>
                <w:sz w:val="20"/>
                <w:szCs w:val="20"/>
              </w:rPr>
              <w:t xml:space="preserve">BRD §1.5</w:t>
            </w:r>
          </w:p>
        </w:tc>
      </w:tr>
      <w:tr>
        <w:tc>
          <w:tcPr>
            <w:tcW w:type="dxa" w:w="1000"/>
            <w:tcMar>
              <w:top w:type="dxa" w:w="80"/>
              <w:left w:type="dxa" w:w="100"/>
              <w:bottom w:type="dxa" w:w="80"/>
              <w:right w:type="dxa" w:w="100"/>
            </w:tcMar>
          </w:tcPr>
          <w:p>
            <w:r>
              <w:rPr>
                <w:sz w:val="20"/>
                <w:szCs w:val="20"/>
              </w:rPr>
              <w:t xml:space="preserve">FR-08</w:t>
            </w:r>
          </w:p>
        </w:tc>
        <w:tc>
          <w:tcPr>
            <w:tcW w:type="dxa" w:w="6300"/>
            <w:tcMar>
              <w:top w:type="dxa" w:w="80"/>
              <w:left w:type="dxa" w:w="100"/>
              <w:bottom w:type="dxa" w:w="80"/>
              <w:right w:type="dxa" w:w="100"/>
            </w:tcMar>
          </w:tcPr>
          <w:p>
            <w:r>
              <w:rPr>
                <w:sz w:val="20"/>
                <w:szCs w:val="20"/>
              </w:rPr>
              <w:t xml:space="preserve">Authorized users can trigger a proposed SAP ZPL pull-list action through the assistant, subject to final user confirmation.</w:t>
            </w:r>
          </w:p>
        </w:tc>
        <w:tc>
          <w:tcPr>
            <w:tcW w:type="dxa" w:w="2500"/>
            <w:tcMar>
              <w:top w:type="dxa" w:w="80"/>
              <w:left w:type="dxa" w:w="100"/>
              <w:bottom w:type="dxa" w:w="80"/>
              <w:right w:type="dxa" w:w="100"/>
            </w:tcMar>
          </w:tcPr>
          <w:p>
            <w:r>
              <w:rPr>
                <w:sz w:val="20"/>
                <w:szCs w:val="20"/>
              </w:rPr>
              <w:t xml:space="preserve">Clarification Q7, Q10</w:t>
            </w:r>
          </w:p>
        </w:tc>
      </w:tr>
      <w:tr>
        <w:tc>
          <w:tcPr>
            <w:tcW w:type="dxa" w:w="1000"/>
            <w:tcMar>
              <w:top w:type="dxa" w:w="80"/>
              <w:left w:type="dxa" w:w="100"/>
              <w:bottom w:type="dxa" w:w="80"/>
              <w:right w:type="dxa" w:w="100"/>
            </w:tcMar>
          </w:tcPr>
          <w:p>
            <w:r>
              <w:rPr>
                <w:sz w:val="20"/>
                <w:szCs w:val="20"/>
              </w:rPr>
              <w:t xml:space="preserve">FR-09</w:t>
            </w:r>
          </w:p>
        </w:tc>
        <w:tc>
          <w:tcPr>
            <w:tcW w:type="dxa" w:w="6300"/>
            <w:tcMar>
              <w:top w:type="dxa" w:w="80"/>
              <w:left w:type="dxa" w:w="100"/>
              <w:bottom w:type="dxa" w:w="80"/>
              <w:right w:type="dxa" w:w="100"/>
            </w:tcMar>
          </w:tcPr>
          <w:p>
            <w:r>
              <w:rPr>
                <w:sz w:val="20"/>
                <w:szCs w:val="20"/>
              </w:rPr>
              <w:t xml:space="preserve">System validates ZPL execution and write-back access against the user's existing SAP role assignment.</w:t>
            </w:r>
          </w:p>
        </w:tc>
        <w:tc>
          <w:tcPr>
            <w:tcW w:type="dxa" w:w="2500"/>
            <w:tcMar>
              <w:top w:type="dxa" w:w="80"/>
              <w:left w:type="dxa" w:w="100"/>
              <w:bottom w:type="dxa" w:w="80"/>
              <w:right w:type="dxa" w:w="100"/>
            </w:tcMar>
          </w:tcPr>
          <w:p>
            <w:r>
              <w:rPr>
                <w:sz w:val="20"/>
                <w:szCs w:val="20"/>
              </w:rPr>
              <w:t xml:space="preserve">Clarification Q8</w:t>
            </w:r>
          </w:p>
        </w:tc>
      </w:tr>
      <w:tr>
        <w:tc>
          <w:tcPr>
            <w:tcW w:type="dxa" w:w="1000"/>
            <w:tcMar>
              <w:top w:type="dxa" w:w="80"/>
              <w:left w:type="dxa" w:w="100"/>
              <w:bottom w:type="dxa" w:w="80"/>
              <w:right w:type="dxa" w:w="100"/>
            </w:tcMar>
          </w:tcPr>
          <w:p>
            <w:r>
              <w:rPr>
                <w:sz w:val="20"/>
                <w:szCs w:val="20"/>
              </w:rPr>
              <w:t xml:space="preserve">FR-10</w:t>
            </w:r>
          </w:p>
        </w:tc>
        <w:tc>
          <w:tcPr>
            <w:tcW w:type="dxa" w:w="6300"/>
            <w:tcMar>
              <w:top w:type="dxa" w:w="80"/>
              <w:left w:type="dxa" w:w="100"/>
              <w:bottom w:type="dxa" w:w="80"/>
              <w:right w:type="dxa" w:w="100"/>
            </w:tcMar>
          </w:tcPr>
          <w:p>
            <w:r>
              <w:rPr>
                <w:sz w:val="20"/>
                <w:szCs w:val="20"/>
              </w:rPr>
              <w:t xml:space="preserve">System displays the data timestamp / extraction time on every response so users know data currency.</w:t>
            </w:r>
          </w:p>
        </w:tc>
        <w:tc>
          <w:tcPr>
            <w:tcW w:type="dxa" w:w="2500"/>
            <w:tcMar>
              <w:top w:type="dxa" w:w="80"/>
              <w:left w:type="dxa" w:w="100"/>
              <w:bottom w:type="dxa" w:w="80"/>
              <w:right w:type="dxa" w:w="100"/>
            </w:tcMar>
          </w:tcPr>
          <w:p>
            <w:r>
              <w:rPr>
                <w:sz w:val="20"/>
                <w:szCs w:val="20"/>
              </w:rPr>
              <w:t xml:space="preserve">Clarification Q17</w:t>
            </w:r>
          </w:p>
        </w:tc>
      </w:tr>
      <w:tr>
        <w:tc>
          <w:tcPr>
            <w:tcW w:type="dxa" w:w="1000"/>
            <w:tcMar>
              <w:top w:type="dxa" w:w="80"/>
              <w:left w:type="dxa" w:w="100"/>
              <w:bottom w:type="dxa" w:w="80"/>
              <w:right w:type="dxa" w:w="100"/>
            </w:tcMar>
          </w:tcPr>
          <w:p>
            <w:r>
              <w:rPr>
                <w:sz w:val="20"/>
                <w:szCs w:val="20"/>
              </w:rPr>
              <w:t xml:space="preserve">FR-11</w:t>
            </w:r>
          </w:p>
        </w:tc>
        <w:tc>
          <w:tcPr>
            <w:tcW w:type="dxa" w:w="6300"/>
            <w:tcMar>
              <w:top w:type="dxa" w:w="80"/>
              <w:left w:type="dxa" w:w="100"/>
              <w:bottom w:type="dxa" w:w="80"/>
              <w:right w:type="dxa" w:w="100"/>
            </w:tcMar>
          </w:tcPr>
          <w:p>
            <w:r>
              <w:rPr>
                <w:sz w:val="20"/>
                <w:szCs w:val="20"/>
              </w:rPr>
              <w:t xml:space="preserve">System provides root-cause explanation text for shortage/exception results (not just a status code), matching the style of the current manual analysis.</w:t>
            </w:r>
          </w:p>
        </w:tc>
        <w:tc>
          <w:tcPr>
            <w:tcW w:type="dxa" w:w="2500"/>
            <w:tcMar>
              <w:top w:type="dxa" w:w="80"/>
              <w:left w:type="dxa" w:w="100"/>
              <w:bottom w:type="dxa" w:w="80"/>
              <w:right w:type="dxa" w:w="100"/>
            </w:tcMar>
          </w:tcPr>
          <w:p>
            <w:r>
              <w:rPr>
                <w:sz w:val="20"/>
                <w:szCs w:val="20"/>
              </w:rPr>
              <w:t xml:space="preserve">Clarification Q6</w:t>
            </w:r>
          </w:p>
        </w:tc>
      </w:tr>
      <w:tr>
        <w:tc>
          <w:tcPr>
            <w:tcW w:type="dxa" w:w="1000"/>
            <w:tcMar>
              <w:top w:type="dxa" w:w="80"/>
              <w:left w:type="dxa" w:w="100"/>
              <w:bottom w:type="dxa" w:w="80"/>
              <w:right w:type="dxa" w:w="100"/>
            </w:tcMar>
          </w:tcPr>
          <w:p>
            <w:r>
              <w:rPr>
                <w:sz w:val="20"/>
                <w:szCs w:val="20"/>
              </w:rPr>
              <w:t xml:space="preserve">FR-12</w:t>
            </w:r>
          </w:p>
        </w:tc>
        <w:tc>
          <w:tcPr>
            <w:tcW w:type="dxa" w:w="6300"/>
            <w:tcMar>
              <w:top w:type="dxa" w:w="80"/>
              <w:left w:type="dxa" w:w="100"/>
              <w:bottom w:type="dxa" w:w="80"/>
              <w:right w:type="dxa" w:w="100"/>
            </w:tcMar>
          </w:tcPr>
          <w:p>
            <w:r>
              <w:rPr>
                <w:sz w:val="20"/>
                <w:szCs w:val="20"/>
              </w:rPr>
              <w:t xml:space="preserve">Administrators can upload source data (14C, PP-134, MB52, Z_AGEDINV-equivalent extracts) via Excel file upload as an alternative/interim input path alongside live SAP integration.</w:t>
            </w:r>
          </w:p>
        </w:tc>
        <w:tc>
          <w:tcPr>
            <w:tcW w:type="dxa" w:w="2500"/>
            <w:tcMar>
              <w:top w:type="dxa" w:w="80"/>
              <w:left w:type="dxa" w:w="100"/>
              <w:bottom w:type="dxa" w:w="80"/>
              <w:right w:type="dxa" w:w="100"/>
            </w:tcMar>
          </w:tcPr>
          <w:p>
            <w:r>
              <w:rPr>
                <w:sz w:val="20"/>
                <w:szCs w:val="20"/>
              </w:rPr>
              <w:t xml:space="preserve">This request</w:t>
            </w:r>
          </w:p>
        </w:tc>
      </w:tr>
    </w:tbl>
    <w:p>
      <w:pPr>
        <w:pStyle w:val="Heading2"/>
        <w:spacing w:after="120" w:before="250"/>
      </w:pPr>
      <w:r>
        <w:t xml:space="preserve">3.2 Excluded / Deferred Functional Items</w:t>
      </w:r>
    </w:p>
    <w:p>
      <w:pPr>
        <w:pStyle w:val="ListParagraph"/>
        <w:numPr>
          <w:ilvl w:val="0"/>
          <w:numId w:val="2"/>
        </w:numPr>
        <w:spacing w:after="60"/>
      </w:pPr>
      <w:r>
        <w:t xml:space="preserve">Automated machine-head material determination (deferred pending SME-confirmed rule or larger data sample).</w:t>
      </w:r>
    </w:p>
    <w:p>
      <w:pPr>
        <w:pStyle w:val="ListParagraph"/>
        <w:numPr>
          <w:ilvl w:val="0"/>
          <w:numId w:val="2"/>
        </w:numPr>
        <w:spacing w:after="60"/>
      </w:pPr>
      <w:r>
        <w:t xml:space="preserve">"Buck material" and "-S" suffix material handling — identified in source-file analysis as recurring manual steps but not yet formally defined; treated as an open question, not a built rule, until confirmed.</w:t>
      </w:r>
    </w:p>
    <w:p>
      <w:pPr>
        <w:pStyle w:val="Heading1"/>
        <w:spacing w:after="150" w:before="300"/>
      </w:pPr>
      <w:r>
        <w:t xml:space="preserve">4. Business Rules &amp; Decision Logic</w:t>
      </w:r>
    </w:p>
    <w:p>
      <w:pPr>
        <w:spacing w:after="120"/>
      </w:pPr>
      <w:r>
        <w:t xml:space="preserve">The following rules were confirmed either directly by the customer (via the Clarification Questions document) or reverse-engineered from the actual working Excel analysis files (Z_AGEDINV, Modified PP-GP-014C-NSU) provided by the SME. These rules are the deterministic core of the assistant's reasoning and must be implemented as governed logic (CDS view / calculation view / rules engine), not inferred by the AI/LLM layer at run time.</w:t>
      </w:r>
    </w:p>
    <w:p>
      <w:pPr>
        <w:pStyle w:val="Heading2"/>
        <w:spacing w:after="120" w:before="250"/>
      </w:pPr>
      <w:r>
        <w:t xml:space="preserve">4.1 Non-Controlled Material</w:t>
      </w:r>
    </w:p>
    <w:p>
      <w:pPr>
        <w:spacing w:after="120"/>
      </w:pPr>
      <w:r>
        <w:t xml:space="preserve">Definition: WIP material with no linked production order requirement, or WIP material where the production order quantity has already been fulfilled.</w:t>
      </w:r>
    </w:p>
    <w:p>
      <w:pPr>
        <w:spacing w:after="120"/>
      </w:pPr>
      <w:r>
        <w:t xml:space="preserve">Confirmed formula (from Z_AGEDINV working file): a material/storage-location combination is non-controlled when a lookup of that key against the production order requirement dataset returns no match.</w:t>
      </w:r>
    </w:p>
    <w:p>
      <w:pPr>
        <w:pStyle w:val="Heading2"/>
        <w:spacing w:after="120" w:before="250"/>
      </w:pPr>
      <w:r>
        <w:t xml:space="preserve">4.2 Over-Control / Over-Issued Material</w:t>
      </w:r>
    </w:p>
    <w:p>
      <w:pPr>
        <w:spacing w:after="120"/>
      </w:pPr>
      <w:r>
        <w:t xml:space="preserve">Definition: line-side/warehouse unrestricted stock exceeds the work order's controlled (theoretical) remaining issuance requirement.</w:t>
      </w:r>
    </w:p>
    <w:p>
      <w:pPr>
        <w:spacing w:after="120"/>
      </w:pPr>
      <w:r>
        <w:t xml:space="preserve">Confirmed formula: Available-to-issue quantity = Unrestricted Stock − Controlled Remaining Issuance Requirement. A negative result indicates over-control / over-issued status; a zero-or-positive result indicates the material is still within its controlled allowance. Z67/Z68 adjustment indicators in the PP-GP-014C-NSU report provide supporting context for "reasonable" over-control cases.</w:t>
      </w:r>
    </w:p>
    <w:p>
      <w:pPr>
        <w:pStyle w:val="Heading2"/>
        <w:spacing w:after="120" w:before="250"/>
      </w:pPr>
      <w:r>
        <w:t xml:space="preserve">4.3 Aging</w:t>
      </w:r>
    </w:p>
    <w:p>
      <w:pPr>
        <w:spacing w:after="120"/>
      </w:pPr>
      <w:r>
        <w:t xml:space="preserve">Definition: inventory that has not moved for more than 14 days.</w:t>
      </w:r>
    </w:p>
    <w:p>
      <w:pPr>
        <w:spacing w:after="120"/>
      </w:pPr>
      <w:r>
        <w:t xml:space="preserve">The 14-day threshold is a fixed global KPI standard and is not configurable by site, material category, or customer.</w:t>
      </w:r>
    </w:p>
    <w:p>
      <w:pPr>
        <w:pStyle w:val="Heading2"/>
        <w:spacing w:after="120" w:before="250"/>
      </w:pPr>
      <w:r>
        <w:t xml:space="preserve">4.4 Machine-Head Material (机头料) — Human Review, Not Automated</w:t>
      </w:r>
    </w:p>
    <w:p>
      <w:pPr>
        <w:spacing w:after="120"/>
      </w:pPr>
      <w:r>
        <w:t xml:space="preserve">Definition (per SME): applies to plastic/molding production, where raw material fills the mold and feed pipeline before becoming finished product; this can cause issuance to appear "used" before it reflects in output.</w:t>
      </w:r>
    </w:p>
    <w:p>
      <w:pPr>
        <w:spacing w:after="120"/>
      </w:pPr>
      <w:r>
        <w:t xml:space="preserve">No deterministic rule has been confirmed. Analysis of the working Excel file shows this flag is manually applied to a small subset of records (10 of 3,123 rows in the sample reviewed) and correlates with, but is not fully determined by, order type ZNPC. The solution should present flagged/candidate rows (e.g., ZNPC orders, or orders with relevant GR/GI material document patterns) to a human reviewer rather than auto-resolving them.</w:t>
      </w:r>
    </w:p>
    <w:p>
      <w:pPr>
        <w:pStyle w:val="Heading2"/>
        <w:spacing w:after="120" w:before="250"/>
      </w:pPr>
      <w:r>
        <w:t xml:space="preserve">4.5 Open Rule Items (Require SME Confirmation)</w:t>
      </w:r>
    </w:p>
    <w:p>
      <w:pPr>
        <w:pStyle w:val="ListParagraph"/>
        <w:numPr>
          <w:ilvl w:val="0"/>
          <w:numId w:val="2"/>
        </w:numPr>
        <w:spacing w:after="60"/>
      </w:pPr>
      <w:r>
        <w:t xml:space="preserve">"Buck material" — deleted in the first step of the current manual process; no formal definition captured yet.</w:t>
      </w:r>
    </w:p>
    <w:p>
      <w:pPr>
        <w:pStyle w:val="ListParagraph"/>
        <w:numPr>
          <w:ilvl w:val="0"/>
          <w:numId w:val="2"/>
        </w:numPr>
        <w:spacing w:after="60"/>
      </w:pPr>
      <w:r>
        <w:t xml:space="preserve">"-S" suffix materials — handled in a dedicated step/sheet in the current manual process; treatment logic not yet confirmed.</w:t>
      </w:r>
    </w:p>
    <w:p>
      <w:pPr>
        <w:pStyle w:val="Heading1"/>
        <w:spacing w:after="150" w:before="300"/>
      </w:pPr>
      <w:r>
        <w:t xml:space="preserve">5.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Category</w:t>
            </w:r>
          </w:p>
        </w:tc>
        <w:tc>
          <w:tcPr>
            <w:tcW w:type="dxa" w:w="6900"/>
            <w:shd w:fill="1F3864" w:val="clear"/>
            <w:tcMar>
              <w:top w:type="dxa" w:w="80"/>
              <w:left w:type="dxa" w:w="100"/>
              <w:bottom w:type="dxa" w:w="80"/>
              <w:right w:type="dxa" w:w="100"/>
            </w:tcMar>
          </w:tcPr>
          <w:p>
            <w:r>
              <w:rPr>
                <w:b/>
                <w:bCs/>
                <w:color w:val="FFFFFF"/>
                <w:sz w:val="20"/>
                <w:szCs w:val="20"/>
              </w:rPr>
              <w:t xml:space="preserve">Requirement</w:t>
            </w:r>
          </w:p>
        </w:tc>
      </w:tr>
      <w:tr>
        <w:tc>
          <w:tcPr>
            <w:tcW w:type="dxa" w:w="2600"/>
            <w:tcMar>
              <w:top w:type="dxa" w:w="80"/>
              <w:left w:type="dxa" w:w="100"/>
              <w:bottom w:type="dxa" w:w="80"/>
              <w:right w:type="dxa" w:w="100"/>
            </w:tcMar>
          </w:tcPr>
          <w:p>
            <w:r>
              <w:rPr>
                <w:sz w:val="20"/>
                <w:szCs w:val="20"/>
              </w:rPr>
              <w:t xml:space="preserve">Query response time</w:t>
            </w:r>
          </w:p>
        </w:tc>
        <w:tc>
          <w:tcPr>
            <w:tcW w:type="dxa" w:w="6900"/>
            <w:tcMar>
              <w:top w:type="dxa" w:w="80"/>
              <w:left w:type="dxa" w:w="100"/>
              <w:bottom w:type="dxa" w:w="80"/>
              <w:right w:type="dxa" w:w="100"/>
            </w:tcMar>
          </w:tcPr>
          <w:p>
            <w:r>
              <w:rPr>
                <w:sz w:val="20"/>
                <w:szCs w:val="20"/>
              </w:rPr>
              <w:t xml:space="preserve">≤ 5 seconds for structured query requests (shortage, inventory, aging) under normal system load.</w:t>
            </w:r>
          </w:p>
        </w:tc>
      </w:tr>
      <w:tr>
        <w:tc>
          <w:tcPr>
            <w:tcW w:type="dxa" w:w="2600"/>
            <w:tcMar>
              <w:top w:type="dxa" w:w="80"/>
              <w:left w:type="dxa" w:w="100"/>
              <w:bottom w:type="dxa" w:w="80"/>
              <w:right w:type="dxa" w:w="100"/>
            </w:tcMar>
          </w:tcPr>
          <w:p>
            <w:r>
              <w:rPr>
                <w:sz w:val="20"/>
                <w:szCs w:val="20"/>
              </w:rPr>
              <w:t xml:space="preserve">Report/file generation</w:t>
            </w:r>
          </w:p>
        </w:tc>
        <w:tc>
          <w:tcPr>
            <w:tcW w:type="dxa" w:w="6900"/>
            <w:tcMar>
              <w:top w:type="dxa" w:w="80"/>
              <w:left w:type="dxa" w:w="100"/>
              <w:bottom w:type="dxa" w:w="80"/>
              <w:right w:type="dxa" w:w="100"/>
            </w:tcMar>
          </w:tcPr>
          <w:p>
            <w:r>
              <w:rPr>
                <w:sz w:val="20"/>
                <w:szCs w:val="20"/>
              </w:rPr>
              <w:t xml:space="preserve">≤ 30 seconds to generate and provide a download link for Excel/CSV reports.</w:t>
            </w:r>
          </w:p>
        </w:tc>
      </w:tr>
      <w:tr>
        <w:tc>
          <w:tcPr>
            <w:tcW w:type="dxa" w:w="2600"/>
            <w:tcMar>
              <w:top w:type="dxa" w:w="80"/>
              <w:left w:type="dxa" w:w="100"/>
              <w:bottom w:type="dxa" w:w="80"/>
              <w:right w:type="dxa" w:w="100"/>
            </w:tcMar>
          </w:tcPr>
          <w:p>
            <w:r>
              <w:rPr>
                <w:sz w:val="20"/>
                <w:szCs w:val="20"/>
              </w:rPr>
              <w:t xml:space="preserve">SAP action execution feedback</w:t>
            </w:r>
          </w:p>
        </w:tc>
        <w:tc>
          <w:tcPr>
            <w:tcW w:type="dxa" w:w="6900"/>
            <w:tcMar>
              <w:top w:type="dxa" w:w="80"/>
              <w:left w:type="dxa" w:w="100"/>
              <w:bottom w:type="dxa" w:w="80"/>
              <w:right w:type="dxa" w:w="100"/>
            </w:tcMar>
          </w:tcPr>
          <w:p>
            <w:r>
              <w:rPr>
                <w:sz w:val="20"/>
                <w:szCs w:val="20"/>
              </w:rPr>
              <w:t xml:space="preserve">≤ 1 minute to return execution status after user confirmation of a ZPL pull-list action.</w:t>
            </w:r>
          </w:p>
        </w:tc>
      </w:tr>
      <w:tr>
        <w:tc>
          <w:tcPr>
            <w:tcW w:type="dxa" w:w="2600"/>
            <w:tcMar>
              <w:top w:type="dxa" w:w="80"/>
              <w:left w:type="dxa" w:w="100"/>
              <w:bottom w:type="dxa" w:w="80"/>
              <w:right w:type="dxa" w:w="100"/>
            </w:tcMar>
          </w:tcPr>
          <w:p>
            <w:r>
              <w:rPr>
                <w:sz w:val="20"/>
                <w:szCs w:val="20"/>
              </w:rPr>
              <w:t xml:space="preserve">Concurrency</w:t>
            </w:r>
          </w:p>
        </w:tc>
        <w:tc>
          <w:tcPr>
            <w:tcW w:type="dxa" w:w="6900"/>
            <w:tcMar>
              <w:top w:type="dxa" w:w="80"/>
              <w:left w:type="dxa" w:w="100"/>
              <w:bottom w:type="dxa" w:w="80"/>
              <w:right w:type="dxa" w:w="100"/>
            </w:tcMar>
          </w:tcPr>
          <w:p>
            <w:r>
              <w:rPr>
                <w:sz w:val="20"/>
                <w:szCs w:val="20"/>
              </w:rPr>
              <w:t xml:space="preserve">Support approximately 40 concurrent users around the 9:00 AM daily decision window.</w:t>
            </w:r>
          </w:p>
        </w:tc>
      </w:tr>
      <w:tr>
        <w:tc>
          <w:tcPr>
            <w:tcW w:type="dxa" w:w="2600"/>
            <w:tcMar>
              <w:top w:type="dxa" w:w="80"/>
              <w:left w:type="dxa" w:w="100"/>
              <w:bottom w:type="dxa" w:w="80"/>
              <w:right w:type="dxa" w:w="100"/>
            </w:tcMar>
          </w:tcPr>
          <w:p>
            <w:r>
              <w:rPr>
                <w:sz w:val="20"/>
                <w:szCs w:val="20"/>
              </w:rPr>
              <w:t xml:space="preserve">Data completeness/consistency</w:t>
            </w:r>
          </w:p>
        </w:tc>
        <w:tc>
          <w:tcPr>
            <w:tcW w:type="dxa" w:w="6900"/>
            <w:tcMar>
              <w:top w:type="dxa" w:w="80"/>
              <w:left w:type="dxa" w:w="100"/>
              <w:bottom w:type="dxa" w:w="80"/>
              <w:right w:type="dxa" w:w="100"/>
            </w:tcMar>
          </w:tcPr>
          <w:p>
            <w:r>
              <w:rPr>
                <w:sz w:val="20"/>
                <w:szCs w:val="20"/>
              </w:rPr>
              <w:t xml:space="preserve">≥ 99% completeness and consistency for key fields (work order, material, quantity, control status, inbound status).</w:t>
            </w:r>
          </w:p>
        </w:tc>
      </w:tr>
      <w:tr>
        <w:tc>
          <w:tcPr>
            <w:tcW w:type="dxa" w:w="2600"/>
            <w:tcMar>
              <w:top w:type="dxa" w:w="80"/>
              <w:left w:type="dxa" w:w="100"/>
              <w:bottom w:type="dxa" w:w="80"/>
              <w:right w:type="dxa" w:w="100"/>
            </w:tcMar>
          </w:tcPr>
          <w:p>
            <w:r>
              <w:rPr>
                <w:sz w:val="20"/>
                <w:szCs w:val="20"/>
              </w:rPr>
              <w:t xml:space="preserve">Data freshness</w:t>
            </w:r>
          </w:p>
        </w:tc>
        <w:tc>
          <w:tcPr>
            <w:tcW w:type="dxa" w:w="6900"/>
            <w:tcMar>
              <w:top w:type="dxa" w:w="80"/>
              <w:left w:type="dxa" w:w="100"/>
              <w:bottom w:type="dxa" w:w="80"/>
              <w:right w:type="dxa" w:w="100"/>
            </w:tcMar>
          </w:tcPr>
          <w:p>
            <w:r>
              <w:rPr>
                <w:sz w:val="20"/>
                <w:szCs w:val="20"/>
              </w:rPr>
              <w:t xml:space="preserve">As close to real-time as the source SAP system allows; every response must display the data extraction timestamp.</w:t>
            </w:r>
          </w:p>
        </w:tc>
      </w:tr>
      <w:tr>
        <w:tc>
          <w:tcPr>
            <w:tcW w:type="dxa" w:w="2600"/>
            <w:tcMar>
              <w:top w:type="dxa" w:w="80"/>
              <w:left w:type="dxa" w:w="100"/>
              <w:bottom w:type="dxa" w:w="80"/>
              <w:right w:type="dxa" w:w="100"/>
            </w:tcMar>
          </w:tcPr>
          <w:p>
            <w:r>
              <w:rPr>
                <w:sz w:val="20"/>
                <w:szCs w:val="20"/>
              </w:rPr>
              <w:t xml:space="preserve">Reproducibility</w:t>
            </w:r>
          </w:p>
        </w:tc>
        <w:tc>
          <w:tcPr>
            <w:tcW w:type="dxa" w:w="6900"/>
            <w:tcMar>
              <w:top w:type="dxa" w:w="80"/>
              <w:left w:type="dxa" w:w="100"/>
              <w:bottom w:type="dxa" w:w="80"/>
              <w:right w:type="dxa" w:w="100"/>
            </w:tcMar>
          </w:tcPr>
          <w:p>
            <w:r>
              <w:rPr>
                <w:sz w:val="20"/>
                <w:szCs w:val="20"/>
              </w:rPr>
              <w:t xml:space="preserve">Business rule outputs must be standardized and reproducible — identical inputs must yield identical outputs regardless of user or session.</w:t>
            </w:r>
          </w:p>
        </w:tc>
      </w:tr>
      <w:tr>
        <w:tc>
          <w:tcPr>
            <w:tcW w:type="dxa" w:w="2600"/>
            <w:tcMar>
              <w:top w:type="dxa" w:w="80"/>
              <w:left w:type="dxa" w:w="100"/>
              <w:bottom w:type="dxa" w:w="80"/>
              <w:right w:type="dxa" w:w="100"/>
            </w:tcMar>
          </w:tcPr>
          <w:p>
            <w:r>
              <w:rPr>
                <w:sz w:val="20"/>
                <w:szCs w:val="20"/>
              </w:rPr>
              <w:t xml:space="preserve">Data anomaly handling</w:t>
            </w:r>
          </w:p>
        </w:tc>
        <w:tc>
          <w:tcPr>
            <w:tcW w:type="dxa" w:w="6900"/>
            <w:tcMar>
              <w:top w:type="dxa" w:w="80"/>
              <w:left w:type="dxa" w:w="100"/>
              <w:bottom w:type="dxa" w:w="80"/>
              <w:right w:type="dxa" w:w="100"/>
            </w:tcMar>
          </w:tcPr>
          <w:p>
            <w:r>
              <w:rPr>
                <w:sz w:val="20"/>
                <w:szCs w:val="20"/>
              </w:rPr>
              <w:t xml:space="preserve">Missing, conflicting, or inconsistent data must be clearly flagged; the system must never present a misleading result as if it were reliable.</w:t>
            </w:r>
          </w:p>
        </w:tc>
      </w:tr>
      <w:tr>
        <w:tc>
          <w:tcPr>
            <w:tcW w:type="dxa" w:w="2600"/>
            <w:tcMar>
              <w:top w:type="dxa" w:w="80"/>
              <w:left w:type="dxa" w:w="100"/>
              <w:bottom w:type="dxa" w:w="80"/>
              <w:right w:type="dxa" w:w="100"/>
            </w:tcMar>
          </w:tcPr>
          <w:p>
            <w:r>
              <w:rPr>
                <w:sz w:val="20"/>
                <w:szCs w:val="20"/>
              </w:rPr>
              <w:t xml:space="preserve">Auditability</w:t>
            </w:r>
          </w:p>
        </w:tc>
        <w:tc>
          <w:tcPr>
            <w:tcW w:type="dxa" w:w="6900"/>
            <w:tcMar>
              <w:top w:type="dxa" w:w="80"/>
              <w:left w:type="dxa" w:w="100"/>
              <w:bottom w:type="dxa" w:w="80"/>
              <w:right w:type="dxa" w:w="100"/>
            </w:tcMar>
          </w:tcPr>
          <w:p>
            <w:r>
              <w:rPr>
                <w:sz w:val="20"/>
                <w:szCs w:val="20"/>
              </w:rPr>
              <w:t xml:space="preserve">All SAP write-back actions must be traceable; audit/retention is handled by the existing Jabil ZPL Pull List solution, not new infrastructure.</w:t>
            </w:r>
          </w:p>
        </w:tc>
      </w:tr>
      <w:tr>
        <w:tc>
          <w:tcPr>
            <w:tcW w:type="dxa" w:w="2600"/>
            <w:tcMar>
              <w:top w:type="dxa" w:w="80"/>
              <w:left w:type="dxa" w:w="100"/>
              <w:bottom w:type="dxa" w:w="80"/>
              <w:right w:type="dxa" w:w="100"/>
            </w:tcMar>
          </w:tcPr>
          <w:p>
            <w:r>
              <w:rPr>
                <w:sz w:val="20"/>
                <w:szCs w:val="20"/>
              </w:rPr>
              <w:t xml:space="preserve">Security / access control</w:t>
            </w:r>
          </w:p>
        </w:tc>
        <w:tc>
          <w:tcPr>
            <w:tcW w:type="dxa" w:w="6900"/>
            <w:tcMar>
              <w:top w:type="dxa" w:w="80"/>
              <w:left w:type="dxa" w:w="100"/>
              <w:bottom w:type="dxa" w:w="80"/>
              <w:right w:type="dxa" w:w="100"/>
            </w:tcMar>
          </w:tcPr>
          <w:p>
            <w:r>
              <w:rPr>
                <w:sz w:val="20"/>
                <w:szCs w:val="20"/>
              </w:rPr>
              <w:t xml:space="preserve">All read, download, and write-back permissions must follow the user's existing SAP role assignment — no parallel authorization model.</w:t>
            </w:r>
          </w:p>
        </w:tc>
      </w:tr>
      <w:tr>
        <w:tc>
          <w:tcPr>
            <w:tcW w:type="dxa" w:w="2600"/>
            <w:tcMar>
              <w:top w:type="dxa" w:w="80"/>
              <w:left w:type="dxa" w:w="100"/>
              <w:bottom w:type="dxa" w:w="80"/>
              <w:right w:type="dxa" w:w="100"/>
            </w:tcMar>
          </w:tcPr>
          <w:p>
            <w:r>
              <w:rPr>
                <w:sz w:val="20"/>
                <w:szCs w:val="20"/>
              </w:rPr>
              <w:t xml:space="preserve">Language support</w:t>
            </w:r>
          </w:p>
        </w:tc>
        <w:tc>
          <w:tcPr>
            <w:tcW w:type="dxa" w:w="6900"/>
            <w:tcMar>
              <w:top w:type="dxa" w:w="80"/>
              <w:left w:type="dxa" w:w="100"/>
              <w:bottom w:type="dxa" w:w="80"/>
              <w:right w:type="dxa" w:w="100"/>
            </w:tcMar>
          </w:tcPr>
          <w:p>
            <w:r>
              <w:rPr>
                <w:sz w:val="20"/>
                <w:szCs w:val="20"/>
              </w:rPr>
              <w:t xml:space="preserve">Natural-language input supported in Mandarin and English; SAP-sourced data/terminology remains in English.</w:t>
            </w:r>
          </w:p>
        </w:tc>
      </w:tr>
      <w:tr>
        <w:tc>
          <w:tcPr>
            <w:tcW w:type="dxa" w:w="2600"/>
            <w:tcMar>
              <w:top w:type="dxa" w:w="80"/>
              <w:left w:type="dxa" w:w="100"/>
              <w:bottom w:type="dxa" w:w="80"/>
              <w:right w:type="dxa" w:w="100"/>
            </w:tcMar>
          </w:tcPr>
          <w:p>
            <w:r>
              <w:rPr>
                <w:sz w:val="20"/>
                <w:szCs w:val="20"/>
              </w:rPr>
              <w:t xml:space="preserve">Availability</w:t>
            </w:r>
          </w:p>
        </w:tc>
        <w:tc>
          <w:tcPr>
            <w:tcW w:type="dxa" w:w="6900"/>
            <w:tcMar>
              <w:top w:type="dxa" w:w="80"/>
              <w:left w:type="dxa" w:w="100"/>
              <w:bottom w:type="dxa" w:w="80"/>
              <w:right w:type="dxa" w:w="100"/>
            </w:tcMar>
          </w:tcPr>
          <w:p>
            <w:r>
              <w:rPr>
                <w:sz w:val="20"/>
                <w:szCs w:val="20"/>
              </w:rPr>
              <w:t xml:space="preserve">Solution should align with standard BTP production-tier availability targets for a business-critical, daily-operations tool (to be confirmed with Jabil IT).</w:t>
            </w:r>
          </w:p>
        </w:tc>
      </w:tr>
    </w:tbl>
    <w:p>
      <w:pPr>
        <w:pStyle w:val="Heading1"/>
        <w:spacing w:after="150" w:before="300"/>
      </w:pPr>
      <w:r>
        <w:t xml:space="preserve">6. Proposed Solution</w:t>
      </w:r>
    </w:p>
    <w:p>
      <w:pPr>
        <w:spacing w:after="120"/>
      </w:pPr>
      <w:r>
        <w:t xml:space="preserve">The proposed solution reframes the original BRD concept (a bespoke Teams chat bot) around SAP's native AI copilot, Joule, extended with a custom-built Joule agent/skill for the material shortage, inventory, and aging use cases described above. This approach reduces the amount of net-new conversational infrastructure to build and aligns the solution with Jabil's broader SAP BTP and Joule investment.</w:t>
      </w:r>
    </w:p>
    <w:p>
      <w:pPr>
        <w:pStyle w:val="Heading2"/>
        <w:spacing w:after="120" w:before="250"/>
      </w:pPr>
      <w:r>
        <w:t xml:space="preserve">6.1 Solution Concept</w:t>
      </w:r>
    </w:p>
    <w:p>
      <w:pPr>
        <w:pStyle w:val="ListParagraph"/>
        <w:numPr>
          <w:ilvl w:val="0"/>
          <w:numId w:val="2"/>
        </w:numPr>
        <w:spacing w:after="60"/>
      </w:pPr>
      <w:r>
        <w:t xml:space="preserve">Joule serves as the single conversational entry point for end users, accessed through its existing Microsoft Teams integration — no separate chat UI is built.</w:t>
      </w:r>
    </w:p>
    <w:p>
      <w:pPr>
        <w:pStyle w:val="ListParagraph"/>
        <w:numPr>
          <w:ilvl w:val="0"/>
          <w:numId w:val="2"/>
        </w:numPr>
        <w:spacing w:after="60"/>
      </w:pPr>
      <w:r>
        <w:t xml:space="preserve">A custom Joule agent (built via SAP's Agent Builder / Joule Studio capability on BTP) is configured with the specific skills needed: shortage lookup, inventory/aging lookup, over-control/non-controlled material detection, report generation, and ZPL pull-list proposal.</w:t>
      </w:r>
    </w:p>
    <w:p>
      <w:pPr>
        <w:pStyle w:val="ListParagraph"/>
        <w:numPr>
          <w:ilvl w:val="0"/>
          <w:numId w:val="2"/>
        </w:numPr>
        <w:spacing w:after="60"/>
      </w:pPr>
      <w:r>
        <w:t xml:space="preserve">The Joule agent calls governed backend services (CDS views / OData services, or equivalent BTP-exposed APIs) that implement the deterministic business rules in Section 4 — the agent's role is orchestration and natural-language interaction, not calculation.</w:t>
      </w:r>
    </w:p>
    <w:p>
      <w:pPr>
        <w:pStyle w:val="ListParagraph"/>
        <w:numPr>
          <w:ilvl w:val="0"/>
          <w:numId w:val="2"/>
        </w:numPr>
        <w:spacing w:after="60"/>
      </w:pPr>
      <w:r>
        <w:t xml:space="preserve">SAP S/4HANA (on-premise, per confirmed environment) remains the system of record; data is exposed to the agent layer via CDS views or OData services rather than replicated into a separate analytical data platform, simplifying the architecture relative to the original BRD's Snowflake-centric proposal.</w:t>
      </w:r>
    </w:p>
    <w:p>
      <w:pPr>
        <w:pStyle w:val="ListParagraph"/>
        <w:numPr>
          <w:ilvl w:val="0"/>
          <w:numId w:val="2"/>
        </w:numPr>
        <w:spacing w:after="60"/>
      </w:pPr>
      <w:r>
        <w:t xml:space="preserve">An Excel upload path is provided as an interim/parallel input mechanism, allowing source data (14C, PP-134, MB52, Z_AGEDINV-equivalent extracts) to be loaded directly for testing, validation against the SME's golden workbook, or use at sites/scenarios where live CDS/OData access is not yet available.</w:t>
      </w:r>
    </w:p>
    <w:p>
      <w:pPr>
        <w:pStyle w:val="ListParagraph"/>
        <w:numPr>
          <w:ilvl w:val="0"/>
          <w:numId w:val="2"/>
        </w:numPr>
        <w:spacing w:after="60"/>
      </w:pPr>
      <w:r>
        <w:t xml:space="preserve">ZPL pull-list actions are proposed by the agent and require explicit user confirmation before execution; execution and audit logging continue to flow through Jabil's existing ZPL Pull List solution.</w:t>
      </w:r>
    </w:p>
    <w:p>
      <w:pPr>
        <w:pStyle w:val="Heading2"/>
        <w:spacing w:after="120" w:before="250"/>
      </w:pPr>
      <w:r>
        <w:t xml:space="preserve">6.2 High-Level Flow</w:t>
      </w:r>
    </w:p>
    <w:p>
      <w:pPr>
        <w:pStyle w:val="ListParagraph"/>
        <w:numPr>
          <w:ilvl w:val="0"/>
          <w:numId w:val="2"/>
        </w:numPr>
        <w:spacing w:after="60"/>
      </w:pPr>
      <w:r>
        <w:t xml:space="preserve">1. User opens Joule within Microsoft Teams and asks a question in natural language (Mandarin or English).</w:t>
      </w:r>
    </w:p>
    <w:p>
      <w:pPr>
        <w:pStyle w:val="ListParagraph"/>
        <w:numPr>
          <w:ilvl w:val="0"/>
          <w:numId w:val="2"/>
        </w:numPr>
        <w:spacing w:after="60"/>
      </w:pPr>
      <w:r>
        <w:t xml:space="preserve">2. Joule's NLU identifies intent and extracts parameters (work order, material, storage location, date range).</w:t>
      </w:r>
    </w:p>
    <w:p>
      <w:pPr>
        <w:pStyle w:val="ListParagraph"/>
        <w:numPr>
          <w:ilvl w:val="0"/>
          <w:numId w:val="2"/>
        </w:numPr>
        <w:spacing w:after="60"/>
      </w:pPr>
      <w:r>
        <w:t xml:space="preserve">3. Joule invokes the corresponding custom agent skill, which calls the relevant CDS view/OData service (or the uploaded-Excel-backed equivalent during PoC/interim phases).</w:t>
      </w:r>
    </w:p>
    <w:p>
      <w:pPr>
        <w:pStyle w:val="ListParagraph"/>
        <w:numPr>
          <w:ilvl w:val="0"/>
          <w:numId w:val="2"/>
        </w:numPr>
        <w:spacing w:after="60"/>
      </w:pPr>
      <w:r>
        <w:t xml:space="preserve">4. The backend service applies the deterministic business rules (Section 4) and returns structured results with a data timestamp.</w:t>
      </w:r>
    </w:p>
    <w:p>
      <w:pPr>
        <w:pStyle w:val="ListParagraph"/>
        <w:numPr>
          <w:ilvl w:val="0"/>
          <w:numId w:val="2"/>
        </w:numPr>
        <w:spacing w:after="60"/>
      </w:pPr>
      <w:r>
        <w:t xml:space="preserve">5. Joule renders the response conversationally (with root-cause narration) and, on request, generates an Excel/CSV download.</w:t>
      </w:r>
    </w:p>
    <w:p>
      <w:pPr>
        <w:pStyle w:val="ListParagraph"/>
        <w:numPr>
          <w:ilvl w:val="0"/>
          <w:numId w:val="2"/>
        </w:numPr>
        <w:spacing w:after="60"/>
      </w:pPr>
      <w:r>
        <w:t xml:space="preserve">6. For an authorized ZPL pull-list request, Joule presents a proposed action; the user reviews and confirms; the action executes through the existing SAP ZPL Pull List mechanism, respecting the user's SAP role.</w:t>
      </w:r>
    </w:p>
    <w:p>
      <w:pPr>
        <w:pStyle w:val="Heading1"/>
        <w:spacing w:after="150" w:before="300"/>
      </w:pPr>
      <w:r>
        <w:t xml:space="preserve">7.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0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Layer</w:t>
            </w:r>
          </w:p>
        </w:tc>
        <w:tc>
          <w:tcPr>
            <w:tcW w:type="dxa" w:w="3200"/>
            <w:shd w:fill="1F3864" w:val="clear"/>
            <w:tcMar>
              <w:top w:type="dxa" w:w="80"/>
              <w:left w:type="dxa" w:w="100"/>
              <w:bottom w:type="dxa" w:w="80"/>
              <w:right w:type="dxa" w:w="100"/>
            </w:tcMar>
          </w:tcPr>
          <w:p>
            <w:r>
              <w:rPr>
                <w:b/>
                <w:bCs/>
                <w:color w:val="FFFFFF"/>
                <w:sz w:val="20"/>
                <w:szCs w:val="20"/>
              </w:rPr>
              <w:t xml:space="preserve">Technology</w:t>
            </w:r>
          </w:p>
        </w:tc>
        <w:tc>
          <w:tcPr>
            <w:tcW w:type="dxa" w:w="4000"/>
            <w:shd w:fill="1F3864" w:val="clear"/>
            <w:tcMar>
              <w:top w:type="dxa" w:w="80"/>
              <w:left w:type="dxa" w:w="100"/>
              <w:bottom w:type="dxa" w:w="80"/>
              <w:right w:type="dxa" w:w="100"/>
            </w:tcMar>
          </w:tcPr>
          <w:p>
            <w:r>
              <w:rPr>
                <w:b/>
                <w:bCs/>
                <w:color w:val="FFFFFF"/>
                <w:sz w:val="20"/>
                <w:szCs w:val="20"/>
              </w:rPr>
              <w:t xml:space="preserve">Notes</w:t>
            </w:r>
          </w:p>
        </w:tc>
      </w:tr>
      <w:tr>
        <w:tc>
          <w:tcPr>
            <w:tcW w:type="dxa" w:w="2300"/>
            <w:tcMar>
              <w:top w:type="dxa" w:w="80"/>
              <w:left w:type="dxa" w:w="100"/>
              <w:bottom w:type="dxa" w:w="80"/>
              <w:right w:type="dxa" w:w="100"/>
            </w:tcMar>
          </w:tcPr>
          <w:p>
            <w:r>
              <w:rPr>
                <w:sz w:val="20"/>
                <w:szCs w:val="20"/>
              </w:rPr>
              <w:t xml:space="preserve">Copilot / conversational client</w:t>
            </w:r>
          </w:p>
        </w:tc>
        <w:tc>
          <w:tcPr>
            <w:tcW w:type="dxa" w:w="3200"/>
            <w:tcMar>
              <w:top w:type="dxa" w:w="80"/>
              <w:left w:type="dxa" w:w="100"/>
              <w:bottom w:type="dxa" w:w="80"/>
              <w:right w:type="dxa" w:w="100"/>
            </w:tcMar>
          </w:tcPr>
          <w:p>
            <w:r>
              <w:rPr>
                <w:sz w:val="20"/>
                <w:szCs w:val="20"/>
              </w:rPr>
              <w:t xml:space="preserve">SAP Joule</w:t>
            </w:r>
          </w:p>
        </w:tc>
        <w:tc>
          <w:tcPr>
            <w:tcW w:type="dxa" w:w="4000"/>
            <w:tcMar>
              <w:top w:type="dxa" w:w="80"/>
              <w:left w:type="dxa" w:w="100"/>
              <w:bottom w:type="dxa" w:w="80"/>
              <w:right w:type="dxa" w:w="100"/>
            </w:tcMar>
          </w:tcPr>
          <w:p>
            <w:r>
              <w:rPr>
                <w:sz w:val="20"/>
                <w:szCs w:val="20"/>
              </w:rPr>
              <w:t xml:space="preserve">Scope of this phase is limited to Joule as the front-end copilot client; no custom chat UI is built.</w:t>
            </w:r>
          </w:p>
        </w:tc>
      </w:tr>
      <w:tr>
        <w:tc>
          <w:tcPr>
            <w:tcW w:type="dxa" w:w="2300"/>
            <w:tcMar>
              <w:top w:type="dxa" w:w="80"/>
              <w:left w:type="dxa" w:w="100"/>
              <w:bottom w:type="dxa" w:w="80"/>
              <w:right w:type="dxa" w:w="100"/>
            </w:tcMar>
          </w:tcPr>
          <w:p>
            <w:r>
              <w:rPr>
                <w:sz w:val="20"/>
                <w:szCs w:val="20"/>
              </w:rPr>
              <w:t xml:space="preserve">Collaboration integration</w:t>
            </w:r>
          </w:p>
        </w:tc>
        <w:tc>
          <w:tcPr>
            <w:tcW w:type="dxa" w:w="3200"/>
            <w:tcMar>
              <w:top w:type="dxa" w:w="80"/>
              <w:left w:type="dxa" w:w="100"/>
              <w:bottom w:type="dxa" w:w="80"/>
              <w:right w:type="dxa" w:w="100"/>
            </w:tcMar>
          </w:tcPr>
          <w:p>
            <w:r>
              <w:rPr>
                <w:sz w:val="20"/>
                <w:szCs w:val="20"/>
              </w:rPr>
              <w:t xml:space="preserve">Joule integration with Microsoft Teams</w:t>
            </w:r>
          </w:p>
        </w:tc>
        <w:tc>
          <w:tcPr>
            <w:tcW w:type="dxa" w:w="4000"/>
            <w:tcMar>
              <w:top w:type="dxa" w:w="80"/>
              <w:left w:type="dxa" w:w="100"/>
              <w:bottom w:type="dxa" w:w="80"/>
              <w:right w:type="dxa" w:w="100"/>
            </w:tcMar>
          </w:tcPr>
          <w:p>
            <w:r>
              <w:rPr>
                <w:sz w:val="20"/>
                <w:szCs w:val="20"/>
              </w:rPr>
              <w:t xml:space="preserve">Delivers chat, Teams app/tab, and downloadable report experience per BRD requirement.</w:t>
            </w:r>
          </w:p>
        </w:tc>
      </w:tr>
      <w:tr>
        <w:tc>
          <w:tcPr>
            <w:tcW w:type="dxa" w:w="2300"/>
            <w:tcMar>
              <w:top w:type="dxa" w:w="80"/>
              <w:left w:type="dxa" w:w="100"/>
              <w:bottom w:type="dxa" w:w="80"/>
              <w:right w:type="dxa" w:w="100"/>
            </w:tcMar>
          </w:tcPr>
          <w:p>
            <w:r>
              <w:rPr>
                <w:sz w:val="20"/>
                <w:szCs w:val="20"/>
              </w:rPr>
              <w:t xml:space="preserve">Agent orchestration</w:t>
            </w:r>
          </w:p>
        </w:tc>
        <w:tc>
          <w:tcPr>
            <w:tcW w:type="dxa" w:w="3200"/>
            <w:tcMar>
              <w:top w:type="dxa" w:w="80"/>
              <w:left w:type="dxa" w:w="100"/>
              <w:bottom w:type="dxa" w:w="80"/>
              <w:right w:type="dxa" w:w="100"/>
            </w:tcMar>
          </w:tcPr>
          <w:p>
            <w:r>
              <w:rPr>
                <w:sz w:val="20"/>
                <w:szCs w:val="20"/>
              </w:rPr>
              <w:t xml:space="preserve">SAP BTP — Joule Agent Builder / custom Joule agents</w:t>
            </w:r>
          </w:p>
        </w:tc>
        <w:tc>
          <w:tcPr>
            <w:tcW w:type="dxa" w:w="4000"/>
            <w:tcMar>
              <w:top w:type="dxa" w:w="80"/>
              <w:left w:type="dxa" w:w="100"/>
              <w:bottom w:type="dxa" w:w="80"/>
              <w:right w:type="dxa" w:w="100"/>
            </w:tcMar>
          </w:tcPr>
          <w:p>
            <w:r>
              <w:rPr>
                <w:sz w:val="20"/>
                <w:szCs w:val="20"/>
              </w:rPr>
              <w:t xml:space="preserve">Encodes intents/skills for shortage, inventory, aging, over-control, and ZPL-proposal use cases.</w:t>
            </w:r>
          </w:p>
        </w:tc>
      </w:tr>
      <w:tr>
        <w:tc>
          <w:tcPr>
            <w:tcW w:type="dxa" w:w="2300"/>
            <w:tcMar>
              <w:top w:type="dxa" w:w="80"/>
              <w:left w:type="dxa" w:w="100"/>
              <w:bottom w:type="dxa" w:w="80"/>
              <w:right w:type="dxa" w:w="100"/>
            </w:tcMar>
          </w:tcPr>
          <w:p>
            <w:r>
              <w:rPr>
                <w:sz w:val="20"/>
                <w:szCs w:val="20"/>
              </w:rPr>
              <w:t xml:space="preserve">Business logic / rules</w:t>
            </w:r>
          </w:p>
        </w:tc>
        <w:tc>
          <w:tcPr>
            <w:tcW w:type="dxa" w:w="3200"/>
            <w:tcMar>
              <w:top w:type="dxa" w:w="80"/>
              <w:left w:type="dxa" w:w="100"/>
              <w:bottom w:type="dxa" w:w="80"/>
              <w:right w:type="dxa" w:w="100"/>
            </w:tcMar>
          </w:tcPr>
          <w:p>
            <w:r>
              <w:rPr>
                <w:sz w:val="20"/>
                <w:szCs w:val="20"/>
              </w:rPr>
              <w:t xml:space="preserve">CDS views and/or calculation views on SAP S/4HANA, or BTP-hosted services</w:t>
            </w:r>
          </w:p>
        </w:tc>
        <w:tc>
          <w:tcPr>
            <w:tcW w:type="dxa" w:w="4000"/>
            <w:tcMar>
              <w:top w:type="dxa" w:w="80"/>
              <w:left w:type="dxa" w:w="100"/>
              <w:bottom w:type="dxa" w:w="80"/>
              <w:right w:type="dxa" w:w="100"/>
            </w:tcMar>
          </w:tcPr>
          <w:p>
            <w:r>
              <w:rPr>
                <w:sz w:val="20"/>
                <w:szCs w:val="20"/>
              </w:rPr>
              <w:t xml:space="preserve">Implements the deterministic formulas in Section 4; kept separate from the AI layer for auditability.</w:t>
            </w:r>
          </w:p>
        </w:tc>
      </w:tr>
      <w:tr>
        <w:tc>
          <w:tcPr>
            <w:tcW w:type="dxa" w:w="2300"/>
            <w:tcMar>
              <w:top w:type="dxa" w:w="80"/>
              <w:left w:type="dxa" w:w="100"/>
              <w:bottom w:type="dxa" w:w="80"/>
              <w:right w:type="dxa" w:w="100"/>
            </w:tcMar>
          </w:tcPr>
          <w:p>
            <w:r>
              <w:rPr>
                <w:sz w:val="20"/>
                <w:szCs w:val="20"/>
              </w:rPr>
              <w:t xml:space="preserve">Core data source</w:t>
            </w:r>
          </w:p>
        </w:tc>
        <w:tc>
          <w:tcPr>
            <w:tcW w:type="dxa" w:w="3200"/>
            <w:tcMar>
              <w:top w:type="dxa" w:w="80"/>
              <w:left w:type="dxa" w:w="100"/>
              <w:bottom w:type="dxa" w:w="80"/>
              <w:right w:type="dxa" w:w="100"/>
            </w:tcMar>
          </w:tcPr>
          <w:p>
            <w:r>
              <w:rPr>
                <w:sz w:val="20"/>
                <w:szCs w:val="20"/>
              </w:rPr>
              <w:t xml:space="preserve">SAP S/4HANA (on-premise)</w:t>
            </w:r>
          </w:p>
        </w:tc>
        <w:tc>
          <w:tcPr>
            <w:tcW w:type="dxa" w:w="4000"/>
            <w:tcMar>
              <w:top w:type="dxa" w:w="80"/>
              <w:left w:type="dxa" w:w="100"/>
              <w:bottom w:type="dxa" w:w="80"/>
              <w:right w:type="dxa" w:w="100"/>
            </w:tcMar>
          </w:tcPr>
          <w:p>
            <w:r>
              <w:rPr>
                <w:sz w:val="20"/>
                <w:szCs w:val="20"/>
              </w:rPr>
              <w:t xml:space="preserve">System of record for work order, material, and inventory data; confirmed on-prem deployment.</w:t>
            </w:r>
          </w:p>
        </w:tc>
      </w:tr>
      <w:tr>
        <w:tc>
          <w:tcPr>
            <w:tcW w:type="dxa" w:w="2300"/>
            <w:tcMar>
              <w:top w:type="dxa" w:w="80"/>
              <w:left w:type="dxa" w:w="100"/>
              <w:bottom w:type="dxa" w:w="80"/>
              <w:right w:type="dxa" w:w="100"/>
            </w:tcMar>
          </w:tcPr>
          <w:p>
            <w:r>
              <w:rPr>
                <w:sz w:val="20"/>
                <w:szCs w:val="20"/>
              </w:rPr>
              <w:t xml:space="preserve">Data access</w:t>
            </w:r>
          </w:p>
        </w:tc>
        <w:tc>
          <w:tcPr>
            <w:tcW w:type="dxa" w:w="3200"/>
            <w:tcMar>
              <w:top w:type="dxa" w:w="80"/>
              <w:left w:type="dxa" w:w="100"/>
              <w:bottom w:type="dxa" w:w="80"/>
              <w:right w:type="dxa" w:w="100"/>
            </w:tcMar>
          </w:tcPr>
          <w:p>
            <w:r>
              <w:rPr>
                <w:sz w:val="20"/>
                <w:szCs w:val="20"/>
              </w:rPr>
              <w:t xml:space="preserve">CDS views / OData services</w:t>
            </w:r>
          </w:p>
        </w:tc>
        <w:tc>
          <w:tcPr>
            <w:tcW w:type="dxa" w:w="4000"/>
            <w:tcMar>
              <w:top w:type="dxa" w:w="80"/>
              <w:left w:type="dxa" w:w="100"/>
              <w:bottom w:type="dxa" w:w="80"/>
              <w:right w:type="dxa" w:w="100"/>
            </w:tcMar>
          </w:tcPr>
          <w:p>
            <w:r>
              <w:rPr>
                <w:sz w:val="20"/>
                <w:szCs w:val="20"/>
              </w:rPr>
              <w:t xml:space="preserve">Primary integration path from BTP/Joule agent to S/4HANA; avoids introducing a separate data-replication platform.</w:t>
            </w:r>
          </w:p>
        </w:tc>
      </w:tr>
      <w:tr>
        <w:tc>
          <w:tcPr>
            <w:tcW w:type="dxa" w:w="2300"/>
            <w:tcMar>
              <w:top w:type="dxa" w:w="80"/>
              <w:left w:type="dxa" w:w="100"/>
              <w:bottom w:type="dxa" w:w="80"/>
              <w:right w:type="dxa" w:w="100"/>
            </w:tcMar>
          </w:tcPr>
          <w:p>
            <w:r>
              <w:rPr>
                <w:sz w:val="20"/>
                <w:szCs w:val="20"/>
              </w:rPr>
              <w:t xml:space="preserve">Interim/alternate data input</w:t>
            </w:r>
          </w:p>
        </w:tc>
        <w:tc>
          <w:tcPr>
            <w:tcW w:type="dxa" w:w="3200"/>
            <w:tcMar>
              <w:top w:type="dxa" w:w="80"/>
              <w:left w:type="dxa" w:w="100"/>
              <w:bottom w:type="dxa" w:w="80"/>
              <w:right w:type="dxa" w:w="100"/>
            </w:tcMar>
          </w:tcPr>
          <w:p>
            <w:r>
              <w:rPr>
                <w:sz w:val="20"/>
                <w:szCs w:val="20"/>
              </w:rPr>
              <w:t xml:space="preserve">Excel upload capability</w:t>
            </w:r>
          </w:p>
        </w:tc>
        <w:tc>
          <w:tcPr>
            <w:tcW w:type="dxa" w:w="4000"/>
            <w:tcMar>
              <w:top w:type="dxa" w:w="80"/>
              <w:left w:type="dxa" w:w="100"/>
              <w:bottom w:type="dxa" w:w="80"/>
              <w:right w:type="dxa" w:w="100"/>
            </w:tcMar>
          </w:tcPr>
          <w:p>
            <w:r>
              <w:rPr>
                <w:sz w:val="20"/>
                <w:szCs w:val="20"/>
              </w:rPr>
              <w:t xml:space="preserve">Allows source report data (14C, PP-134, MB52, Z_AGEDINV-equivalent) to be uploaded for PoC validation, testing against the SME golden workbook, or fallback input.</w:t>
            </w:r>
          </w:p>
        </w:tc>
      </w:tr>
      <w:tr>
        <w:tc>
          <w:tcPr>
            <w:tcW w:type="dxa" w:w="2300"/>
            <w:tcMar>
              <w:top w:type="dxa" w:w="80"/>
              <w:left w:type="dxa" w:w="100"/>
              <w:bottom w:type="dxa" w:w="80"/>
              <w:right w:type="dxa" w:w="100"/>
            </w:tcMar>
          </w:tcPr>
          <w:p>
            <w:r>
              <w:rPr>
                <w:sz w:val="20"/>
                <w:szCs w:val="20"/>
              </w:rPr>
              <w:t xml:space="preserve">Authorization</w:t>
            </w:r>
          </w:p>
        </w:tc>
        <w:tc>
          <w:tcPr>
            <w:tcW w:type="dxa" w:w="3200"/>
            <w:tcMar>
              <w:top w:type="dxa" w:w="80"/>
              <w:left w:type="dxa" w:w="100"/>
              <w:bottom w:type="dxa" w:w="80"/>
              <w:right w:type="dxa" w:w="100"/>
            </w:tcMar>
          </w:tcPr>
          <w:p>
            <w:r>
              <w:rPr>
                <w:sz w:val="20"/>
                <w:szCs w:val="20"/>
              </w:rPr>
              <w:t xml:space="preserve">Existing SAP role model</w:t>
            </w:r>
          </w:p>
        </w:tc>
        <w:tc>
          <w:tcPr>
            <w:tcW w:type="dxa" w:w="4000"/>
            <w:tcMar>
              <w:top w:type="dxa" w:w="80"/>
              <w:left w:type="dxa" w:w="100"/>
              <w:bottom w:type="dxa" w:w="80"/>
              <w:right w:type="dxa" w:w="100"/>
            </w:tcMar>
          </w:tcPr>
          <w:p>
            <w:r>
              <w:rPr>
                <w:sz w:val="20"/>
                <w:szCs w:val="20"/>
              </w:rPr>
              <w:t xml:space="preserve">No new permission system; read, download, and write-back access mirror current SAP role assignments.</w:t>
            </w:r>
          </w:p>
        </w:tc>
      </w:tr>
      <w:tr>
        <w:tc>
          <w:tcPr>
            <w:tcW w:type="dxa" w:w="2300"/>
            <w:tcMar>
              <w:top w:type="dxa" w:w="80"/>
              <w:left w:type="dxa" w:w="100"/>
              <w:bottom w:type="dxa" w:w="80"/>
              <w:right w:type="dxa" w:w="100"/>
            </w:tcMar>
          </w:tcPr>
          <w:p>
            <w:r>
              <w:rPr>
                <w:sz w:val="20"/>
                <w:szCs w:val="20"/>
              </w:rPr>
              <w:t xml:space="preserve">Write-back execution &amp; audit</w:t>
            </w:r>
          </w:p>
        </w:tc>
        <w:tc>
          <w:tcPr>
            <w:tcW w:type="dxa" w:w="3200"/>
            <w:tcMar>
              <w:top w:type="dxa" w:w="80"/>
              <w:left w:type="dxa" w:w="100"/>
              <w:bottom w:type="dxa" w:w="80"/>
              <w:right w:type="dxa" w:w="100"/>
            </w:tcMar>
          </w:tcPr>
          <w:p>
            <w:r>
              <w:rPr>
                <w:sz w:val="20"/>
                <w:szCs w:val="20"/>
              </w:rPr>
              <w:t xml:space="preserve">Existing Jabil SAP ZPL Pull List solution</w:t>
            </w:r>
          </w:p>
        </w:tc>
        <w:tc>
          <w:tcPr>
            <w:tcW w:type="dxa" w:w="4000"/>
            <w:tcMar>
              <w:top w:type="dxa" w:w="80"/>
              <w:left w:type="dxa" w:w="100"/>
              <w:bottom w:type="dxa" w:w="80"/>
              <w:right w:type="dxa" w:w="100"/>
            </w:tcMar>
          </w:tcPr>
          <w:p>
            <w:r>
              <w:rPr>
                <w:sz w:val="20"/>
                <w:szCs w:val="20"/>
              </w:rPr>
              <w:t xml:space="preserve">Retained as-is; the new solution proposes actions but does not replace this execution/audit path.</w:t>
            </w:r>
          </w:p>
        </w:tc>
      </w:tr>
    </w:tbl>
    <w:p>
      <w:pPr>
        <w:pStyle w:val="Heading1"/>
        <w:spacing w:after="150" w:before="300"/>
      </w:pPr>
      <w:r>
        <w:t xml:space="preserve">8. User Roles &amp; Personas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7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Role</w:t>
            </w:r>
          </w:p>
        </w:tc>
        <w:tc>
          <w:tcPr>
            <w:tcW w:type="dxa" w:w="3800"/>
            <w:shd w:fill="1F3864" w:val="clear"/>
            <w:tcMar>
              <w:top w:type="dxa" w:w="80"/>
              <w:left w:type="dxa" w:w="100"/>
              <w:bottom w:type="dxa" w:w="80"/>
              <w:right w:type="dxa" w:w="100"/>
            </w:tcMar>
          </w:tcPr>
          <w:p>
            <w:r>
              <w:rPr>
                <w:b/>
                <w:bCs/>
                <w:color w:val="FFFFFF"/>
                <w:sz w:val="20"/>
                <w:szCs w:val="20"/>
              </w:rPr>
              <w:t xml:space="preserve">Primary Need</w:t>
            </w:r>
          </w:p>
        </w:tc>
        <w:tc>
          <w:tcPr>
            <w:tcW w:type="dxa" w:w="2700"/>
            <w:shd w:fill="1F3864" w:val="clear"/>
            <w:tcMar>
              <w:top w:type="dxa" w:w="80"/>
              <w:left w:type="dxa" w:w="100"/>
              <w:bottom w:type="dxa" w:w="80"/>
              <w:right w:type="dxa" w:w="100"/>
            </w:tcMar>
          </w:tcPr>
          <w:p>
            <w:r>
              <w:rPr>
                <w:b/>
                <w:bCs/>
                <w:color w:val="FFFFFF"/>
                <w:sz w:val="20"/>
                <w:szCs w:val="20"/>
              </w:rPr>
              <w:t xml:space="preserve">Access Level</w:t>
            </w:r>
          </w:p>
        </w:tc>
      </w:tr>
      <w:tr>
        <w:tc>
          <w:tcPr>
            <w:tcW w:type="dxa" w:w="3000"/>
            <w:tcMar>
              <w:top w:type="dxa" w:w="80"/>
              <w:left w:type="dxa" w:w="100"/>
              <w:bottom w:type="dxa" w:w="80"/>
              <w:right w:type="dxa" w:w="100"/>
            </w:tcMar>
          </w:tcPr>
          <w:p>
            <w:r>
              <w:rPr>
                <w:sz w:val="20"/>
                <w:szCs w:val="20"/>
              </w:rPr>
              <w:t xml:space="preserve">IC / Line-side Warehouse Staff</w:t>
            </w:r>
          </w:p>
        </w:tc>
        <w:tc>
          <w:tcPr>
            <w:tcW w:type="dxa" w:w="3800"/>
            <w:tcMar>
              <w:top w:type="dxa" w:w="80"/>
              <w:left w:type="dxa" w:w="100"/>
              <w:bottom w:type="dxa" w:w="80"/>
              <w:right w:type="dxa" w:w="100"/>
            </w:tcMar>
          </w:tcPr>
          <w:p>
            <w:r>
              <w:rPr>
                <w:sz w:val="20"/>
                <w:szCs w:val="20"/>
              </w:rPr>
              <w:t xml:space="preserve">Daily shortage, inventory, aging queries; report download</w:t>
            </w:r>
          </w:p>
        </w:tc>
        <w:tc>
          <w:tcPr>
            <w:tcW w:type="dxa" w:w="2700"/>
            <w:tcMar>
              <w:top w:type="dxa" w:w="80"/>
              <w:left w:type="dxa" w:w="100"/>
              <w:bottom w:type="dxa" w:w="80"/>
              <w:right w:type="dxa" w:w="100"/>
            </w:tcMar>
          </w:tcPr>
          <w:p>
            <w:r>
              <w:rPr>
                <w:sz w:val="20"/>
                <w:szCs w:val="20"/>
              </w:rPr>
              <w:t xml:space="preserve">Read + report download, per existing SAP role</w:t>
            </w:r>
          </w:p>
        </w:tc>
      </w:tr>
      <w:tr>
        <w:tc>
          <w:tcPr>
            <w:tcW w:type="dxa" w:w="3000"/>
            <w:tcMar>
              <w:top w:type="dxa" w:w="80"/>
              <w:left w:type="dxa" w:w="100"/>
              <w:bottom w:type="dxa" w:w="80"/>
              <w:right w:type="dxa" w:w="100"/>
            </w:tcMar>
          </w:tcPr>
          <w:p>
            <w:r>
              <w:rPr>
                <w:sz w:val="20"/>
                <w:szCs w:val="20"/>
              </w:rPr>
              <w:t xml:space="preserve">Authorized Planner / MC</w:t>
            </w:r>
          </w:p>
        </w:tc>
        <w:tc>
          <w:tcPr>
            <w:tcW w:type="dxa" w:w="3800"/>
            <w:tcMar>
              <w:top w:type="dxa" w:w="80"/>
              <w:left w:type="dxa" w:w="100"/>
              <w:bottom w:type="dxa" w:w="80"/>
              <w:right w:type="dxa" w:w="100"/>
            </w:tcMar>
          </w:tcPr>
          <w:p>
            <w:r>
              <w:rPr>
                <w:sz w:val="20"/>
                <w:szCs w:val="20"/>
              </w:rPr>
              <w:t xml:space="preserve">Same as above, plus ZPL pull-list proposal review and execution</w:t>
            </w:r>
          </w:p>
        </w:tc>
        <w:tc>
          <w:tcPr>
            <w:tcW w:type="dxa" w:w="2700"/>
            <w:tcMar>
              <w:top w:type="dxa" w:w="80"/>
              <w:left w:type="dxa" w:w="100"/>
              <w:bottom w:type="dxa" w:w="80"/>
              <w:right w:type="dxa" w:w="100"/>
            </w:tcMar>
          </w:tcPr>
          <w:p>
            <w:r>
              <w:rPr>
                <w:sz w:val="20"/>
                <w:szCs w:val="20"/>
              </w:rPr>
              <w:t xml:space="preserve">Read + write-back, per existing SAP role</w:t>
            </w:r>
          </w:p>
        </w:tc>
      </w:tr>
      <w:tr>
        <w:tc>
          <w:tcPr>
            <w:tcW w:type="dxa" w:w="3000"/>
            <w:tcMar>
              <w:top w:type="dxa" w:w="80"/>
              <w:left w:type="dxa" w:w="100"/>
              <w:bottom w:type="dxa" w:w="80"/>
              <w:right w:type="dxa" w:w="100"/>
            </w:tcMar>
          </w:tcPr>
          <w:p>
            <w:r>
              <w:rPr>
                <w:sz w:val="20"/>
                <w:szCs w:val="20"/>
              </w:rPr>
              <w:t xml:space="preserve">Site IT / Admin</w:t>
            </w:r>
          </w:p>
        </w:tc>
        <w:tc>
          <w:tcPr>
            <w:tcW w:type="dxa" w:w="3800"/>
            <w:tcMar>
              <w:top w:type="dxa" w:w="80"/>
              <w:left w:type="dxa" w:w="100"/>
              <w:bottom w:type="dxa" w:w="80"/>
              <w:right w:type="dxa" w:w="100"/>
            </w:tcMar>
          </w:tcPr>
          <w:p>
            <w:r>
              <w:rPr>
                <w:sz w:val="20"/>
                <w:szCs w:val="20"/>
              </w:rPr>
              <w:t xml:space="preserve">Configuration, monitoring, and Excel-upload administration</w:t>
            </w:r>
          </w:p>
        </w:tc>
        <w:tc>
          <w:tcPr>
            <w:tcW w:type="dxa" w:w="2700"/>
            <w:tcMar>
              <w:top w:type="dxa" w:w="80"/>
              <w:left w:type="dxa" w:w="100"/>
              <w:bottom w:type="dxa" w:w="80"/>
              <w:right w:type="dxa" w:w="100"/>
            </w:tcMar>
          </w:tcPr>
          <w:p>
            <w:r>
              <w:rPr>
                <w:sz w:val="20"/>
                <w:szCs w:val="20"/>
              </w:rPr>
              <w:t xml:space="preserve">Administrative access to agent configuration and data upload tooling</w:t>
            </w:r>
          </w:p>
        </w:tc>
      </w:tr>
    </w:tbl>
    <w:p>
      <w:pPr>
        <w:spacing w:after="120"/>
      </w:pPr>
      <w:r>
        <w:t xml:space="preserve">Note: BRD §1.6 also lists Planner, Manufactory User, and Management personas with broader dashboard/simulation needs. These remain out of scope for this phase (Section 2.2) and would be addressed in a subsequent rollout phase.</w:t>
      </w:r>
    </w:p>
    <w:p>
      <w:pPr>
        <w:pStyle w:val="Heading1"/>
        <w:spacing w:after="150" w:before="300"/>
      </w:pPr>
      <w:r>
        <w:t xml:space="preserve">9. Assumptions</w:t>
      </w:r>
    </w:p>
    <w:p>
      <w:pPr>
        <w:pStyle w:val="ListParagraph"/>
        <w:numPr>
          <w:ilvl w:val="0"/>
          <w:numId w:val="2"/>
        </w:numPr>
        <w:spacing w:after="60"/>
      </w:pPr>
      <w:r>
        <w:t xml:space="preserve">Jabil has an existing SAP Joule and BTP entitlement/license sufficient to build and deploy a custom agent; licensing and provisioning are handled outside this specification.</w:t>
      </w:r>
    </w:p>
    <w:p>
      <w:pPr>
        <w:pStyle w:val="ListParagraph"/>
        <w:numPr>
          <w:ilvl w:val="0"/>
          <w:numId w:val="2"/>
        </w:numPr>
        <w:spacing w:after="60"/>
      </w:pPr>
      <w:r>
        <w:t xml:space="preserve">The Microsoft Teams–Joule integration referenced in this document is available and supportable in Jabil's environment; if not yet enabled, enablement is a prerequisite dependency, not part of this build.</w:t>
      </w:r>
    </w:p>
    <w:p>
      <w:pPr>
        <w:pStyle w:val="ListParagraph"/>
        <w:numPr>
          <w:ilvl w:val="0"/>
          <w:numId w:val="2"/>
        </w:numPr>
        <w:spacing w:after="60"/>
      </w:pPr>
      <w:r>
        <w:t xml:space="preserve">SAP S/4HANA on-premise data required for the identified reports (PP-134, MB52, PP-GP-014C-NSU, MMBE, COOIS, MM03, Z_AGEDINV) can be exposed via CDS views or OData services without requiring core ABAP/data-model changes beyond view creation.</w:t>
      </w:r>
    </w:p>
    <w:p>
      <w:pPr>
        <w:pStyle w:val="ListParagraph"/>
        <w:numPr>
          <w:ilvl w:val="0"/>
          <w:numId w:val="2"/>
        </w:numPr>
        <w:spacing w:after="60"/>
      </w:pPr>
      <w:r>
        <w:t xml:space="preserve">The existing SAP role model is granular enough to distinguish read, download, and ZPL write-back permissions without requiring new roles or authorization objects.</w:t>
      </w:r>
    </w:p>
    <w:p>
      <w:pPr>
        <w:pStyle w:val="ListParagraph"/>
        <w:numPr>
          <w:ilvl w:val="0"/>
          <w:numId w:val="2"/>
        </w:numPr>
        <w:spacing w:after="60"/>
      </w:pPr>
      <w:r>
        <w:t xml:space="preserve">The SME-provided golden Excel workbook (Z_AGEDINV and Modified PP-GP-014C-NSU analysis files) reflects current, correct business logic and can be used as the acceptance-test baseline.</w:t>
      </w:r>
    </w:p>
    <w:p>
      <w:pPr>
        <w:pStyle w:val="ListParagraph"/>
        <w:numPr>
          <w:ilvl w:val="0"/>
          <w:numId w:val="2"/>
        </w:numPr>
        <w:spacing w:after="60"/>
      </w:pPr>
      <w:r>
        <w:t xml:space="preserve">Audit and data retention for ZPL pull-list execution continue to be satisfied by the existing Jabil ZPL Pull List solution; no new audit store is required.</w:t>
      </w:r>
    </w:p>
    <w:p>
      <w:pPr>
        <w:pStyle w:val="ListParagraph"/>
        <w:numPr>
          <w:ilvl w:val="0"/>
          <w:numId w:val="2"/>
        </w:numPr>
        <w:spacing w:after="60"/>
      </w:pPr>
      <w:r>
        <w:t xml:space="preserve">The 14-day aging threshold and other confirmed formulas (Section 4) remain stable for the duration of this phase; any change would require a scope/rule change request.</w:t>
      </w:r>
    </w:p>
    <w:p>
      <w:pPr>
        <w:pStyle w:val="ListParagraph"/>
        <w:numPr>
          <w:ilvl w:val="0"/>
          <w:numId w:val="2"/>
        </w:numPr>
        <w:spacing w:after="60"/>
      </w:pPr>
      <w:r>
        <w:t xml:space="preserve">Excel upload is intended as an interim/parallel input path for PoC validation and edge cases, not a replacement for live CDS/OData integration in steady-state production use.</w:t>
      </w:r>
    </w:p>
    <w:p>
      <w:pPr>
        <w:pStyle w:val="Heading1"/>
        <w:spacing w:after="150" w:before="300"/>
      </w:pPr>
      <w:r>
        <w:t xml:space="preserve">10. Open Questions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2500"/>
      </w:tblGrid>
      <w:tr>
        <w:trPr>
          <w:tblHeader/>
        </w:trPr>
        <w:tc>
          <w:tcPr>
            <w:tcW w:type="dxa" w:w="500"/>
            <w:shd w:fill="1F3864" w:val="clear"/>
            <w:tcMar>
              <w:top w:type="dxa" w:w="80"/>
              <w:left w:type="dxa" w:w="100"/>
              <w:bottom w:type="dxa" w:w="80"/>
              <w:right w:type="dxa" w:w="100"/>
            </w:tcMar>
          </w:tcPr>
          <w:p>
            <w:r>
              <w:rPr>
                <w:b/>
                <w:bCs/>
                <w:color w:val="FFFFFF"/>
                <w:sz w:val="20"/>
                <w:szCs w:val="20"/>
              </w:rPr>
              <w:t xml:space="preserve">#</w:t>
            </w:r>
          </w:p>
        </w:tc>
        <w:tc>
          <w:tcPr>
            <w:tcW w:type="dxa" w:w="6300"/>
            <w:shd w:fill="1F3864" w:val="clear"/>
            <w:tcMar>
              <w:top w:type="dxa" w:w="80"/>
              <w:left w:type="dxa" w:w="100"/>
              <w:bottom w:type="dxa" w:w="80"/>
              <w:right w:type="dxa" w:w="100"/>
            </w:tcMar>
          </w:tcPr>
          <w:p>
            <w:r>
              <w:rPr>
                <w:b/>
                <w:bCs/>
                <w:color w:val="FFFFFF"/>
                <w:sz w:val="20"/>
                <w:szCs w:val="20"/>
              </w:rPr>
              <w:t xml:space="preserve">Question</w:t>
            </w:r>
          </w:p>
        </w:tc>
        <w:tc>
          <w:tcPr>
            <w:tcW w:type="dxa" w:w="2500"/>
            <w:shd w:fill="1F3864" w:val="clear"/>
            <w:tcMar>
              <w:top w:type="dxa" w:w="80"/>
              <w:left w:type="dxa" w:w="100"/>
              <w:bottom w:type="dxa" w:w="80"/>
              <w:right w:type="dxa" w:w="100"/>
            </w:tcMar>
          </w:tcPr>
          <w:p>
            <w:r>
              <w:rPr>
                <w:b/>
                <w:bCs/>
                <w:color w:val="FFFFFF"/>
                <w:sz w:val="20"/>
                <w:szCs w:val="20"/>
              </w:rPr>
              <w:t xml:space="preserve">Why It Matters</w:t>
            </w:r>
          </w:p>
        </w:tc>
      </w:tr>
      <w:tr>
        <w:tc>
          <w:tcPr>
            <w:tcW w:type="dxa" w:w="500"/>
            <w:tcMar>
              <w:top w:type="dxa" w:w="80"/>
              <w:left w:type="dxa" w:w="100"/>
              <w:bottom w:type="dxa" w:w="80"/>
              <w:right w:type="dxa" w:w="100"/>
            </w:tcMar>
          </w:tcPr>
          <w:p>
            <w:r>
              <w:rPr>
                <w:sz w:val="20"/>
                <w:szCs w:val="20"/>
              </w:rPr>
              <w:t xml:space="preserve">1</w:t>
            </w:r>
          </w:p>
        </w:tc>
        <w:tc>
          <w:tcPr>
            <w:tcW w:type="dxa" w:w="6300"/>
            <w:tcMar>
              <w:top w:type="dxa" w:w="80"/>
              <w:left w:type="dxa" w:w="100"/>
              <w:bottom w:type="dxa" w:w="80"/>
              <w:right w:type="dxa" w:w="100"/>
            </w:tcMar>
          </w:tcPr>
          <w:p>
            <w:r>
              <w:rPr>
                <w:sz w:val="20"/>
                <w:szCs w:val="20"/>
              </w:rPr>
              <w:t xml:space="preserve">What is "Buck material," and why is it deleted in the first step of the current manual process before any other processing?</w:t>
            </w:r>
          </w:p>
        </w:tc>
        <w:tc>
          <w:tcPr>
            <w:tcW w:type="dxa" w:w="2500"/>
            <w:tcMar>
              <w:top w:type="dxa" w:w="80"/>
              <w:left w:type="dxa" w:w="100"/>
              <w:bottom w:type="dxa" w:w="80"/>
              <w:right w:type="dxa" w:w="100"/>
            </w:tcMar>
          </w:tcPr>
          <w:p>
            <w:r>
              <w:rPr>
                <w:sz w:val="20"/>
                <w:szCs w:val="20"/>
              </w:rPr>
              <w:t xml:space="preserve">Recurring, non-trivial step in the actual working file; needs a formal rule before automation.</w:t>
            </w:r>
          </w:p>
        </w:tc>
      </w:tr>
      <w:tr>
        <w:tc>
          <w:tcPr>
            <w:tcW w:type="dxa" w:w="500"/>
            <w:tcMar>
              <w:top w:type="dxa" w:w="80"/>
              <w:left w:type="dxa" w:w="100"/>
              <w:bottom w:type="dxa" w:w="80"/>
              <w:right w:type="dxa" w:w="100"/>
            </w:tcMar>
          </w:tcPr>
          <w:p>
            <w:r>
              <w:rPr>
                <w:sz w:val="20"/>
                <w:szCs w:val="20"/>
              </w:rPr>
              <w:t xml:space="preserve">2</w:t>
            </w:r>
          </w:p>
        </w:tc>
        <w:tc>
          <w:tcPr>
            <w:tcW w:type="dxa" w:w="6300"/>
            <w:tcMar>
              <w:top w:type="dxa" w:w="80"/>
              <w:left w:type="dxa" w:w="100"/>
              <w:bottom w:type="dxa" w:w="80"/>
              <w:right w:type="dxa" w:w="100"/>
            </w:tcMar>
          </w:tcPr>
          <w:p>
            <w:r>
              <w:rPr>
                <w:sz w:val="20"/>
                <w:szCs w:val="20"/>
              </w:rPr>
              <w:t xml:space="preserve">What does the "-S" material suffix represent, and why does it require separate handling / its own analysis sheet?</w:t>
            </w:r>
          </w:p>
        </w:tc>
        <w:tc>
          <w:tcPr>
            <w:tcW w:type="dxa" w:w="2500"/>
            <w:tcMar>
              <w:top w:type="dxa" w:w="80"/>
              <w:left w:type="dxa" w:w="100"/>
              <w:bottom w:type="dxa" w:w="80"/>
              <w:right w:type="dxa" w:w="100"/>
            </w:tcMar>
          </w:tcPr>
          <w:p>
            <w:r>
              <w:rPr>
                <w:sz w:val="20"/>
                <w:szCs w:val="20"/>
              </w:rPr>
              <w:t xml:space="preserve">877 records handled separately in the SME's working file; behavior not yet documented.</w:t>
            </w:r>
          </w:p>
        </w:tc>
      </w:tr>
      <w:tr>
        <w:tc>
          <w:tcPr>
            <w:tcW w:type="dxa" w:w="500"/>
            <w:tcMar>
              <w:top w:type="dxa" w:w="80"/>
              <w:left w:type="dxa" w:w="100"/>
              <w:bottom w:type="dxa" w:w="80"/>
              <w:right w:type="dxa" w:w="100"/>
            </w:tcMar>
          </w:tcPr>
          <w:p>
            <w:r>
              <w:rPr>
                <w:sz w:val="20"/>
                <w:szCs w:val="20"/>
              </w:rPr>
              <w:t xml:space="preserve">3</w:t>
            </w:r>
          </w:p>
        </w:tc>
        <w:tc>
          <w:tcPr>
            <w:tcW w:type="dxa" w:w="6300"/>
            <w:tcMar>
              <w:top w:type="dxa" w:w="80"/>
              <w:left w:type="dxa" w:w="100"/>
              <w:bottom w:type="dxa" w:w="80"/>
              <w:right w:type="dxa" w:w="100"/>
            </w:tcMar>
          </w:tcPr>
          <w:p>
            <w:r>
              <w:rPr>
                <w:sz w:val="20"/>
                <w:szCs w:val="20"/>
              </w:rPr>
              <w:t xml:space="preserve">Is Jabil's SAP Joule / BTP environment already provisioned with Agent Builder / custom agent capability, or does this need to be requested/enabled first?</w:t>
            </w:r>
          </w:p>
        </w:tc>
        <w:tc>
          <w:tcPr>
            <w:tcW w:type="dxa" w:w="2500"/>
            <w:tcMar>
              <w:top w:type="dxa" w:w="80"/>
              <w:left w:type="dxa" w:w="100"/>
              <w:bottom w:type="dxa" w:w="80"/>
              <w:right w:type="dxa" w:w="100"/>
            </w:tcMar>
          </w:tcPr>
          <w:p>
            <w:r>
              <w:rPr>
                <w:sz w:val="20"/>
                <w:szCs w:val="20"/>
              </w:rPr>
              <w:t xml:space="preserve">Directly affects project timeline and technical approach.</w:t>
            </w:r>
          </w:p>
        </w:tc>
      </w:tr>
      <w:tr>
        <w:tc>
          <w:tcPr>
            <w:tcW w:type="dxa" w:w="500"/>
            <w:tcMar>
              <w:top w:type="dxa" w:w="80"/>
              <w:left w:type="dxa" w:w="100"/>
              <w:bottom w:type="dxa" w:w="80"/>
              <w:right w:type="dxa" w:w="100"/>
            </w:tcMar>
          </w:tcPr>
          <w:p>
            <w:r>
              <w:rPr>
                <w:sz w:val="20"/>
                <w:szCs w:val="20"/>
              </w:rPr>
              <w:t xml:space="preserve">4</w:t>
            </w:r>
          </w:p>
        </w:tc>
        <w:tc>
          <w:tcPr>
            <w:tcW w:type="dxa" w:w="6300"/>
            <w:tcMar>
              <w:top w:type="dxa" w:w="80"/>
              <w:left w:type="dxa" w:w="100"/>
              <w:bottom w:type="dxa" w:w="80"/>
              <w:right w:type="dxa" w:w="100"/>
            </w:tcMar>
          </w:tcPr>
          <w:p>
            <w:r>
              <w:rPr>
                <w:sz w:val="20"/>
                <w:szCs w:val="20"/>
              </w:rPr>
              <w:t xml:space="preserve">Is the Joule–Microsoft Teams integration already enabled at Jabil, or is enablement a prerequisite task?</w:t>
            </w:r>
          </w:p>
        </w:tc>
        <w:tc>
          <w:tcPr>
            <w:tcW w:type="dxa" w:w="2500"/>
            <w:tcMar>
              <w:top w:type="dxa" w:w="80"/>
              <w:left w:type="dxa" w:w="100"/>
              <w:bottom w:type="dxa" w:w="80"/>
              <w:right w:type="dxa" w:w="100"/>
            </w:tcMar>
          </w:tcPr>
          <w:p>
            <w:r>
              <w:rPr>
                <w:sz w:val="20"/>
                <w:szCs w:val="20"/>
              </w:rPr>
              <w:t xml:space="preserve">Same as above — a hard dependency for the stated delivery channel.</w:t>
            </w:r>
          </w:p>
        </w:tc>
      </w:tr>
      <w:tr>
        <w:tc>
          <w:tcPr>
            <w:tcW w:type="dxa" w:w="500"/>
            <w:tcMar>
              <w:top w:type="dxa" w:w="80"/>
              <w:left w:type="dxa" w:w="100"/>
              <w:bottom w:type="dxa" w:w="80"/>
              <w:right w:type="dxa" w:w="100"/>
            </w:tcMar>
          </w:tcPr>
          <w:p>
            <w:r>
              <w:rPr>
                <w:sz w:val="20"/>
                <w:szCs w:val="20"/>
              </w:rPr>
              <w:t xml:space="preserve">5</w:t>
            </w:r>
          </w:p>
        </w:tc>
        <w:tc>
          <w:tcPr>
            <w:tcW w:type="dxa" w:w="6300"/>
            <w:tcMar>
              <w:top w:type="dxa" w:w="80"/>
              <w:left w:type="dxa" w:w="100"/>
              <w:bottom w:type="dxa" w:w="80"/>
              <w:right w:type="dxa" w:w="100"/>
            </w:tcMar>
          </w:tcPr>
          <w:p>
            <w:r>
              <w:rPr>
                <w:sz w:val="20"/>
                <w:szCs w:val="20"/>
              </w:rPr>
              <w:t xml:space="preserve">Can Jabil IT confirm whether CDS views / OData services already exist for the required data (14C, PP-134, MB52, COOIS, MM03, Z_AGEDINV), or must new views be developed?</w:t>
            </w:r>
          </w:p>
        </w:tc>
        <w:tc>
          <w:tcPr>
            <w:tcW w:type="dxa" w:w="2500"/>
            <w:tcMar>
              <w:top w:type="dxa" w:w="80"/>
              <w:left w:type="dxa" w:w="100"/>
              <w:bottom w:type="dxa" w:w="80"/>
              <w:right w:type="dxa" w:w="100"/>
            </w:tcMar>
          </w:tcPr>
          <w:p>
            <w:r>
              <w:rPr>
                <w:sz w:val="20"/>
                <w:szCs w:val="20"/>
              </w:rPr>
              <w:t xml:space="preserve">Determines technical scope and timeline for the data-access layer.</w:t>
            </w:r>
          </w:p>
        </w:tc>
      </w:tr>
      <w:tr>
        <w:tc>
          <w:tcPr>
            <w:tcW w:type="dxa" w:w="500"/>
            <w:tcMar>
              <w:top w:type="dxa" w:w="80"/>
              <w:left w:type="dxa" w:w="100"/>
              <w:bottom w:type="dxa" w:w="80"/>
              <w:right w:type="dxa" w:w="100"/>
            </w:tcMar>
          </w:tcPr>
          <w:p>
            <w:r>
              <w:rPr>
                <w:sz w:val="20"/>
                <w:szCs w:val="20"/>
              </w:rPr>
              <w:t xml:space="preserve">6</w:t>
            </w:r>
          </w:p>
        </w:tc>
        <w:tc>
          <w:tcPr>
            <w:tcW w:type="dxa" w:w="6300"/>
            <w:tcMar>
              <w:top w:type="dxa" w:w="80"/>
              <w:left w:type="dxa" w:w="100"/>
              <w:bottom w:type="dxa" w:w="80"/>
              <w:right w:type="dxa" w:w="100"/>
            </w:tcMar>
          </w:tcPr>
          <w:p>
            <w:r>
              <w:rPr>
                <w:sz w:val="20"/>
                <w:szCs w:val="20"/>
              </w:rPr>
              <w:t xml:space="preserve">What are the required Excel/CSV download template, column structure, and retention rules?</w:t>
            </w:r>
          </w:p>
        </w:tc>
        <w:tc>
          <w:tcPr>
            <w:tcW w:type="dxa" w:w="2500"/>
            <w:tcMar>
              <w:top w:type="dxa" w:w="80"/>
              <w:left w:type="dxa" w:w="100"/>
              <w:bottom w:type="dxa" w:w="80"/>
              <w:right w:type="dxa" w:w="100"/>
            </w:tcMar>
          </w:tcPr>
          <w:p>
            <w:r>
              <w:rPr>
                <w:sz w:val="20"/>
                <w:szCs w:val="20"/>
              </w:rPr>
              <w:t xml:space="preserve">Still unanswered from the earlier clarification round ("Yes?").</w:t>
            </w:r>
          </w:p>
        </w:tc>
      </w:tr>
      <w:tr>
        <w:tc>
          <w:tcPr>
            <w:tcW w:type="dxa" w:w="500"/>
            <w:tcMar>
              <w:top w:type="dxa" w:w="80"/>
              <w:left w:type="dxa" w:w="100"/>
              <w:bottom w:type="dxa" w:w="80"/>
              <w:right w:type="dxa" w:w="100"/>
            </w:tcMar>
          </w:tcPr>
          <w:p>
            <w:r>
              <w:rPr>
                <w:sz w:val="20"/>
                <w:szCs w:val="20"/>
              </w:rPr>
              <w:t xml:space="preserve">7</w:t>
            </w:r>
          </w:p>
        </w:tc>
        <w:tc>
          <w:tcPr>
            <w:tcW w:type="dxa" w:w="6300"/>
            <w:tcMar>
              <w:top w:type="dxa" w:w="80"/>
              <w:left w:type="dxa" w:w="100"/>
              <w:bottom w:type="dxa" w:w="80"/>
              <w:right w:type="dxa" w:w="100"/>
            </w:tcMar>
          </w:tcPr>
          <w:p>
            <w:r>
              <w:rPr>
                <w:sz w:val="20"/>
                <w:szCs w:val="20"/>
              </w:rPr>
              <w:t xml:space="preserve">What representative queries, work orders, and report sizes should be used to validate the response-time NFRs (≤5s / ≤30s / ≤1min)?</w:t>
            </w:r>
          </w:p>
        </w:tc>
        <w:tc>
          <w:tcPr>
            <w:tcW w:type="dxa" w:w="2500"/>
            <w:tcMar>
              <w:top w:type="dxa" w:w="80"/>
              <w:left w:type="dxa" w:w="100"/>
              <w:bottom w:type="dxa" w:w="80"/>
              <w:right w:type="dxa" w:w="100"/>
            </w:tcMar>
          </w:tcPr>
          <w:p>
            <w:r>
              <w:rPr>
                <w:sz w:val="20"/>
                <w:szCs w:val="20"/>
              </w:rPr>
              <w:t xml:space="preserve">Needed to build a concrete performance test/acceptance plan.</w:t>
            </w:r>
          </w:p>
        </w:tc>
      </w:tr>
      <w:tr>
        <w:tc>
          <w:tcPr>
            <w:tcW w:type="dxa" w:w="500"/>
            <w:tcMar>
              <w:top w:type="dxa" w:w="80"/>
              <w:left w:type="dxa" w:w="100"/>
              <w:bottom w:type="dxa" w:w="80"/>
              <w:right w:type="dxa" w:w="100"/>
            </w:tcMar>
          </w:tcPr>
          <w:p>
            <w:r>
              <w:rPr>
                <w:sz w:val="20"/>
                <w:szCs w:val="20"/>
              </w:rPr>
              <w:t xml:space="preserve">8</w:t>
            </w:r>
          </w:p>
        </w:tc>
        <w:tc>
          <w:tcPr>
            <w:tcW w:type="dxa" w:w="6300"/>
            <w:tcMar>
              <w:top w:type="dxa" w:w="80"/>
              <w:left w:type="dxa" w:w="100"/>
              <w:bottom w:type="dxa" w:w="80"/>
              <w:right w:type="dxa" w:w="100"/>
            </w:tcMar>
          </w:tcPr>
          <w:p>
            <w:r>
              <w:rPr>
                <w:sz w:val="20"/>
                <w:szCs w:val="20"/>
              </w:rPr>
              <w:t xml:space="preserve">What is the confirmed project investment figure, and how should the stated ROI (0.03 years) be reconciled against the $57K/year savings estimate?</w:t>
            </w:r>
          </w:p>
        </w:tc>
        <w:tc>
          <w:tcPr>
            <w:tcW w:type="dxa" w:w="2500"/>
            <w:tcMar>
              <w:top w:type="dxa" w:w="80"/>
              <w:left w:type="dxa" w:w="100"/>
              <w:bottom w:type="dxa" w:w="80"/>
              <w:right w:type="dxa" w:w="100"/>
            </w:tcMar>
          </w:tcPr>
          <w:p>
            <w:r>
              <w:rPr>
                <w:sz w:val="20"/>
                <w:szCs w:val="20"/>
              </w:rPr>
              <w:t xml:space="preserve">Financial case currently has an internal inconsistency (BRD §5.3).</w:t>
            </w:r>
          </w:p>
        </w:tc>
      </w:tr>
      <w:tr>
        <w:tc>
          <w:tcPr>
            <w:tcW w:type="dxa" w:w="500"/>
            <w:tcMar>
              <w:top w:type="dxa" w:w="80"/>
              <w:left w:type="dxa" w:w="100"/>
              <w:bottom w:type="dxa" w:w="80"/>
              <w:right w:type="dxa" w:w="100"/>
            </w:tcMar>
          </w:tcPr>
          <w:p>
            <w:r>
              <w:rPr>
                <w:sz w:val="20"/>
                <w:szCs w:val="20"/>
              </w:rPr>
              <w:t xml:space="preserve">9</w:t>
            </w:r>
          </w:p>
        </w:tc>
        <w:tc>
          <w:tcPr>
            <w:tcW w:type="dxa" w:w="6300"/>
            <w:tcMar>
              <w:top w:type="dxa" w:w="80"/>
              <w:left w:type="dxa" w:w="100"/>
              <w:bottom w:type="dxa" w:w="80"/>
              <w:right w:type="dxa" w:w="100"/>
            </w:tcMar>
          </w:tcPr>
          <w:p>
            <w:r>
              <w:rPr>
                <w:sz w:val="20"/>
                <w:szCs w:val="20"/>
              </w:rPr>
              <w:t xml:space="preserve">Are Data Privacy Concerns and Data Confidentiality requirements (BRD §3.6–3.7) documented anywhere, given they appear blank in the source BRD?</w:t>
            </w:r>
          </w:p>
        </w:tc>
        <w:tc>
          <w:tcPr>
            <w:tcW w:type="dxa" w:w="2500"/>
            <w:tcMar>
              <w:top w:type="dxa" w:w="80"/>
              <w:left w:type="dxa" w:w="100"/>
              <w:bottom w:type="dxa" w:w="80"/>
              <w:right w:type="dxa" w:w="100"/>
            </w:tcMar>
          </w:tcPr>
          <w:p>
            <w:r>
              <w:rPr>
                <w:sz w:val="20"/>
                <w:szCs w:val="20"/>
              </w:rPr>
              <w:t xml:space="preserve">Required before handling SAP inventory/work order data through a new AI-facing layer.</w:t>
            </w:r>
          </w:p>
        </w:tc>
      </w:tr>
      <w:tr>
        <w:tc>
          <w:tcPr>
            <w:tcW w:type="dxa" w:w="500"/>
            <w:tcMar>
              <w:top w:type="dxa" w:w="80"/>
              <w:left w:type="dxa" w:w="100"/>
              <w:bottom w:type="dxa" w:w="80"/>
              <w:right w:type="dxa" w:w="100"/>
            </w:tcMar>
          </w:tcPr>
          <w:p>
            <w:r>
              <w:rPr>
                <w:sz w:val="20"/>
                <w:szCs w:val="20"/>
              </w:rPr>
              <w:t xml:space="preserve">10</w:t>
            </w:r>
          </w:p>
        </w:tc>
        <w:tc>
          <w:tcPr>
            <w:tcW w:type="dxa" w:w="6300"/>
            <w:tcMar>
              <w:top w:type="dxa" w:w="80"/>
              <w:left w:type="dxa" w:w="100"/>
              <w:bottom w:type="dxa" w:w="80"/>
              <w:right w:type="dxa" w:w="100"/>
            </w:tcMar>
          </w:tcPr>
          <w:p>
            <w:r>
              <w:rPr>
                <w:sz w:val="20"/>
                <w:szCs w:val="20"/>
              </w:rPr>
              <w:t xml:space="preserve">Are "IC" and "IA" (both used in the BRD for what appears to be the same role) the same role, or two distinct roles?</w:t>
            </w:r>
          </w:p>
        </w:tc>
        <w:tc>
          <w:tcPr>
            <w:tcW w:type="dxa" w:w="2500"/>
            <w:tcMar>
              <w:top w:type="dxa" w:w="80"/>
              <w:left w:type="dxa" w:w="100"/>
              <w:bottom w:type="dxa" w:w="80"/>
              <w:right w:type="dxa" w:w="100"/>
            </w:tcMar>
          </w:tcPr>
          <w:p>
            <w:r>
              <w:rPr>
                <w:sz w:val="20"/>
                <w:szCs w:val="20"/>
              </w:rPr>
              <w:t xml:space="preserve">Affects persona/permission definitions.</w:t>
            </w:r>
          </w:p>
        </w:tc>
      </w:tr>
    </w:tbl>
    <w:p>
      <w:pPr>
        <w:pStyle w:val="Heading1"/>
        <w:spacing w:after="150" w:before="300"/>
      </w:pPr>
      <w:r>
        <w:t xml:space="preserve">11. Appendix: Glossary of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Term</w:t>
            </w:r>
          </w:p>
        </w:tc>
        <w:tc>
          <w:tcPr>
            <w:tcW w:type="dxa" w:w="6200"/>
            <w:shd w:fill="1F3864" w:val="clear"/>
            <w:tcMar>
              <w:top w:type="dxa" w:w="80"/>
              <w:left w:type="dxa" w:w="100"/>
              <w:bottom w:type="dxa" w:w="80"/>
              <w:right w:type="dxa" w:w="100"/>
            </w:tcMar>
          </w:tcPr>
          <w:p>
            <w:r>
              <w:rPr>
                <w:b/>
                <w:bCs/>
                <w:color w:val="FFFFFF"/>
                <w:sz w:val="20"/>
                <w:szCs w:val="20"/>
              </w:rPr>
              <w:t xml:space="preserve">Meaning</w:t>
            </w:r>
          </w:p>
        </w:tc>
      </w:tr>
      <w:tr>
        <w:tc>
          <w:tcPr>
            <w:tcW w:type="dxa" w:w="3200"/>
            <w:tcMar>
              <w:top w:type="dxa" w:w="80"/>
              <w:left w:type="dxa" w:w="100"/>
              <w:bottom w:type="dxa" w:w="80"/>
              <w:right w:type="dxa" w:w="100"/>
            </w:tcMar>
          </w:tcPr>
          <w:p>
            <w:r>
              <w:rPr>
                <w:sz w:val="20"/>
                <w:szCs w:val="20"/>
              </w:rPr>
              <w:t xml:space="preserve">IC</w:t>
            </w:r>
          </w:p>
        </w:tc>
        <w:tc>
          <w:tcPr>
            <w:tcW w:type="dxa" w:w="6200"/>
            <w:tcMar>
              <w:top w:type="dxa" w:w="80"/>
              <w:left w:type="dxa" w:w="100"/>
              <w:bottom w:type="dxa" w:w="80"/>
              <w:right w:type="dxa" w:w="100"/>
            </w:tcMar>
          </w:tcPr>
          <w:p>
            <w:r>
              <w:rPr>
                <w:sz w:val="20"/>
                <w:szCs w:val="20"/>
              </w:rPr>
              <w:t xml:space="preserve">Inventory Control — the role responsible for material inventory accuracy, control status, and shortage/aging reporting.</w:t>
            </w:r>
          </w:p>
        </w:tc>
      </w:tr>
      <w:tr>
        <w:tc>
          <w:tcPr>
            <w:tcW w:type="dxa" w:w="3200"/>
            <w:tcMar>
              <w:top w:type="dxa" w:w="80"/>
              <w:left w:type="dxa" w:w="100"/>
              <w:bottom w:type="dxa" w:w="80"/>
              <w:right w:type="dxa" w:w="100"/>
            </w:tcMar>
          </w:tcPr>
          <w:p>
            <w:r>
              <w:rPr>
                <w:sz w:val="20"/>
                <w:szCs w:val="20"/>
              </w:rPr>
              <w:t xml:space="preserve">14C / PP-GP-014C-NSU</w:t>
            </w:r>
          </w:p>
        </w:tc>
        <w:tc>
          <w:tcPr>
            <w:tcW w:type="dxa" w:w="6200"/>
            <w:tcMar>
              <w:top w:type="dxa" w:w="80"/>
              <w:left w:type="dxa" w:w="100"/>
              <w:bottom w:type="dxa" w:w="80"/>
              <w:right w:type="dxa" w:w="100"/>
            </w:tcMar>
          </w:tcPr>
          <w:p>
            <w:r>
              <w:rPr>
                <w:sz w:val="20"/>
                <w:szCs w:val="20"/>
              </w:rPr>
              <w:t xml:space="preserve">SAP report showing work order material issuance and remaining theoretical vs. actual usage.</w:t>
            </w:r>
          </w:p>
        </w:tc>
      </w:tr>
      <w:tr>
        <w:tc>
          <w:tcPr>
            <w:tcW w:type="dxa" w:w="3200"/>
            <w:tcMar>
              <w:top w:type="dxa" w:w="80"/>
              <w:left w:type="dxa" w:w="100"/>
              <w:bottom w:type="dxa" w:w="80"/>
              <w:right w:type="dxa" w:w="100"/>
            </w:tcMar>
          </w:tcPr>
          <w:p>
            <w:r>
              <w:rPr>
                <w:sz w:val="20"/>
                <w:szCs w:val="20"/>
              </w:rPr>
              <w:t xml:space="preserve">PP-134</w:t>
            </w:r>
          </w:p>
        </w:tc>
        <w:tc>
          <w:tcPr>
            <w:tcW w:type="dxa" w:w="6200"/>
            <w:tcMar>
              <w:top w:type="dxa" w:w="80"/>
              <w:left w:type="dxa" w:w="100"/>
              <w:bottom w:type="dxa" w:w="80"/>
              <w:right w:type="dxa" w:w="100"/>
            </w:tcMar>
          </w:tcPr>
          <w:p>
            <w:r>
              <w:rPr>
                <w:sz w:val="20"/>
                <w:szCs w:val="20"/>
              </w:rPr>
              <w:t xml:space="preserve">SAP report (via SQ00) showing work order details: quantities, dates, work center, material.</w:t>
            </w:r>
          </w:p>
        </w:tc>
      </w:tr>
      <w:tr>
        <w:tc>
          <w:tcPr>
            <w:tcW w:type="dxa" w:w="3200"/>
            <w:tcMar>
              <w:top w:type="dxa" w:w="80"/>
              <w:left w:type="dxa" w:w="100"/>
              <w:bottom w:type="dxa" w:w="80"/>
              <w:right w:type="dxa" w:w="100"/>
            </w:tcMar>
          </w:tcPr>
          <w:p>
            <w:r>
              <w:rPr>
                <w:sz w:val="20"/>
                <w:szCs w:val="20"/>
              </w:rPr>
              <w:t xml:space="preserve">WIP</w:t>
            </w:r>
          </w:p>
        </w:tc>
        <w:tc>
          <w:tcPr>
            <w:tcW w:type="dxa" w:w="6200"/>
            <w:tcMar>
              <w:top w:type="dxa" w:w="80"/>
              <w:left w:type="dxa" w:w="100"/>
              <w:bottom w:type="dxa" w:w="80"/>
              <w:right w:type="dxa" w:w="100"/>
            </w:tcMar>
          </w:tcPr>
          <w:p>
            <w:r>
              <w:rPr>
                <w:sz w:val="20"/>
                <w:szCs w:val="20"/>
              </w:rPr>
              <w:t xml:space="preserve">Work In Process — unfinished production order material/value not yet settled or completed.</w:t>
            </w:r>
          </w:p>
        </w:tc>
      </w:tr>
      <w:tr>
        <w:tc>
          <w:tcPr>
            <w:tcW w:type="dxa" w:w="3200"/>
            <w:tcMar>
              <w:top w:type="dxa" w:w="80"/>
              <w:left w:type="dxa" w:w="100"/>
              <w:bottom w:type="dxa" w:w="80"/>
              <w:right w:type="dxa" w:w="100"/>
            </w:tcMar>
          </w:tcPr>
          <w:p>
            <w:r>
              <w:rPr>
                <w:sz w:val="20"/>
                <w:szCs w:val="20"/>
              </w:rPr>
              <w:t xml:space="preserve">Aging</w:t>
            </w:r>
          </w:p>
        </w:tc>
        <w:tc>
          <w:tcPr>
            <w:tcW w:type="dxa" w:w="6200"/>
            <w:tcMar>
              <w:top w:type="dxa" w:w="80"/>
              <w:left w:type="dxa" w:w="100"/>
              <w:bottom w:type="dxa" w:w="80"/>
              <w:right w:type="dxa" w:w="100"/>
            </w:tcMar>
          </w:tcPr>
          <w:p>
            <w:r>
              <w:rPr>
                <w:sz w:val="20"/>
                <w:szCs w:val="20"/>
              </w:rPr>
              <w:t xml:space="preserve">Inventory that has remained in a storage location without movement beyond a defined threshold (14 days, per confirmed KPI).</w:t>
            </w:r>
          </w:p>
        </w:tc>
      </w:tr>
      <w:tr>
        <w:tc>
          <w:tcPr>
            <w:tcW w:type="dxa" w:w="3200"/>
            <w:tcMar>
              <w:top w:type="dxa" w:w="80"/>
              <w:left w:type="dxa" w:w="100"/>
              <w:bottom w:type="dxa" w:w="80"/>
              <w:right w:type="dxa" w:w="100"/>
            </w:tcMar>
          </w:tcPr>
          <w:p>
            <w:r>
              <w:rPr>
                <w:sz w:val="20"/>
                <w:szCs w:val="20"/>
              </w:rPr>
              <w:t xml:space="preserve">Z_AGEDINV</w:t>
            </w:r>
          </w:p>
        </w:tc>
        <w:tc>
          <w:tcPr>
            <w:tcW w:type="dxa" w:w="6200"/>
            <w:tcMar>
              <w:top w:type="dxa" w:w="80"/>
              <w:left w:type="dxa" w:w="100"/>
              <w:bottom w:type="dxa" w:w="80"/>
              <w:right w:type="dxa" w:w="100"/>
            </w:tcMar>
          </w:tcPr>
          <w:p>
            <w:r>
              <w:rPr>
                <w:sz w:val="20"/>
                <w:szCs w:val="20"/>
              </w:rPr>
              <w:t xml:space="preserve">Custom SAP report exposing aged inventory and stock status by material/storage location.</w:t>
            </w:r>
          </w:p>
        </w:tc>
      </w:tr>
      <w:tr>
        <w:tc>
          <w:tcPr>
            <w:tcW w:type="dxa" w:w="3200"/>
            <w:tcMar>
              <w:top w:type="dxa" w:w="80"/>
              <w:left w:type="dxa" w:w="100"/>
              <w:bottom w:type="dxa" w:w="80"/>
              <w:right w:type="dxa" w:w="100"/>
            </w:tcMar>
          </w:tcPr>
          <w:p>
            <w:r>
              <w:rPr>
                <w:sz w:val="20"/>
                <w:szCs w:val="20"/>
              </w:rPr>
              <w:t xml:space="preserve">机头料 (Machine-head material)</w:t>
            </w:r>
          </w:p>
        </w:tc>
        <w:tc>
          <w:tcPr>
            <w:tcW w:type="dxa" w:w="6200"/>
            <w:tcMar>
              <w:top w:type="dxa" w:w="80"/>
              <w:left w:type="dxa" w:w="100"/>
              <w:bottom w:type="dxa" w:w="80"/>
              <w:right w:type="dxa" w:w="100"/>
            </w:tcMar>
          </w:tcPr>
          <w:p>
            <w:r>
              <w:rPr>
                <w:sz w:val="20"/>
                <w:szCs w:val="20"/>
              </w:rPr>
              <w:t xml:space="preserve">In plastic/molding production, raw material used to fill the mold and feed pipeline before output is produced; can appear as unresolved consumption if not manually reconciled.</w:t>
            </w:r>
          </w:p>
        </w:tc>
      </w:tr>
      <w:tr>
        <w:tc>
          <w:tcPr>
            <w:tcW w:type="dxa" w:w="3200"/>
            <w:tcMar>
              <w:top w:type="dxa" w:w="80"/>
              <w:left w:type="dxa" w:w="100"/>
              <w:bottom w:type="dxa" w:w="80"/>
              <w:right w:type="dxa" w:w="100"/>
            </w:tcMar>
          </w:tcPr>
          <w:p>
            <w:r>
              <w:rPr>
                <w:sz w:val="20"/>
                <w:szCs w:val="20"/>
              </w:rPr>
              <w:t xml:space="preserve">无管制料 (Non-controlled material)</w:t>
            </w:r>
          </w:p>
        </w:tc>
        <w:tc>
          <w:tcPr>
            <w:tcW w:type="dxa" w:w="6200"/>
            <w:tcMar>
              <w:top w:type="dxa" w:w="80"/>
              <w:left w:type="dxa" w:w="100"/>
              <w:bottom w:type="dxa" w:w="80"/>
              <w:right w:type="dxa" w:w="100"/>
            </w:tcMar>
          </w:tcPr>
          <w:p>
            <w:r>
              <w:rPr>
                <w:sz w:val="20"/>
                <w:szCs w:val="20"/>
              </w:rPr>
              <w:t xml:space="preserve">WIP material with no linked production order requirement, or where the production order quantity is already fulfilled.</w:t>
            </w:r>
          </w:p>
        </w:tc>
      </w:tr>
      <w:tr>
        <w:tc>
          <w:tcPr>
            <w:tcW w:type="dxa" w:w="3200"/>
            <w:tcMar>
              <w:top w:type="dxa" w:w="80"/>
              <w:left w:type="dxa" w:w="100"/>
              <w:bottom w:type="dxa" w:w="80"/>
              <w:right w:type="dxa" w:w="100"/>
            </w:tcMar>
          </w:tcPr>
          <w:p>
            <w:r>
              <w:rPr>
                <w:sz w:val="20"/>
                <w:szCs w:val="20"/>
              </w:rPr>
              <w:t xml:space="preserve">领超管制 / 超管制 (Over-control / Over-issued)</w:t>
            </w:r>
          </w:p>
        </w:tc>
        <w:tc>
          <w:tcPr>
            <w:tcW w:type="dxa" w:w="6200"/>
            <w:tcMar>
              <w:top w:type="dxa" w:w="80"/>
              <w:left w:type="dxa" w:w="100"/>
              <w:bottom w:type="dxa" w:w="80"/>
              <w:right w:type="dxa" w:w="100"/>
            </w:tcMar>
          </w:tcPr>
          <w:p>
            <w:r>
              <w:rPr>
                <w:sz w:val="20"/>
                <w:szCs w:val="20"/>
              </w:rPr>
              <w:t xml:space="preserve">Condition where line-side stock exceeds the work order's controlled/theoretical remaining issuance requirement.</w:t>
            </w:r>
          </w:p>
        </w:tc>
      </w:tr>
      <w:tr>
        <w:tc>
          <w:tcPr>
            <w:tcW w:type="dxa" w:w="3200"/>
            <w:tcMar>
              <w:top w:type="dxa" w:w="80"/>
              <w:left w:type="dxa" w:w="100"/>
              <w:bottom w:type="dxa" w:w="80"/>
              <w:right w:type="dxa" w:w="100"/>
            </w:tcMar>
          </w:tcPr>
          <w:p>
            <w:r>
              <w:rPr>
                <w:sz w:val="20"/>
                <w:szCs w:val="20"/>
              </w:rPr>
              <w:t xml:space="preserve">ZPL</w:t>
            </w:r>
          </w:p>
        </w:tc>
        <w:tc>
          <w:tcPr>
            <w:tcW w:type="dxa" w:w="6200"/>
            <w:tcMar>
              <w:top w:type="dxa" w:w="80"/>
              <w:left w:type="dxa" w:w="100"/>
              <w:bottom w:type="dxa" w:w="80"/>
              <w:right w:type="dxa" w:w="100"/>
            </w:tcMar>
          </w:tcPr>
          <w:p>
            <w:r>
              <w:rPr>
                <w:sz w:val="20"/>
                <w:szCs w:val="20"/>
              </w:rPr>
              <w:t xml:space="preserve">Jabil's material pull-list execution mechanism in SAP (pull list generation and execution).</w:t>
            </w:r>
          </w:p>
        </w:tc>
      </w:tr>
      <w:tr>
        <w:tc>
          <w:tcPr>
            <w:tcW w:type="dxa" w:w="3200"/>
            <w:tcMar>
              <w:top w:type="dxa" w:w="80"/>
              <w:left w:type="dxa" w:w="100"/>
              <w:bottom w:type="dxa" w:w="80"/>
              <w:right w:type="dxa" w:w="100"/>
            </w:tcMar>
          </w:tcPr>
          <w:p>
            <w:r>
              <w:rPr>
                <w:sz w:val="20"/>
                <w:szCs w:val="20"/>
              </w:rPr>
              <w:t xml:space="preserve">Joule</w:t>
            </w:r>
          </w:p>
        </w:tc>
        <w:tc>
          <w:tcPr>
            <w:tcW w:type="dxa" w:w="6200"/>
            <w:tcMar>
              <w:top w:type="dxa" w:w="80"/>
              <w:left w:type="dxa" w:w="100"/>
              <w:bottom w:type="dxa" w:w="80"/>
              <w:right w:type="dxa" w:w="100"/>
            </w:tcMar>
          </w:tcPr>
          <w:p>
            <w:r>
              <w:rPr>
                <w:sz w:val="20"/>
                <w:szCs w:val="20"/>
              </w:rPr>
              <w:t xml:space="preserve">SAP's generative AI copilot, providing natural-language interaction across SAP applications and (per this spec) Microsoft Teams.</w:t>
            </w:r>
          </w:p>
        </w:tc>
      </w:tr>
      <w:tr>
        <w:tc>
          <w:tcPr>
            <w:tcW w:type="dxa" w:w="3200"/>
            <w:tcMar>
              <w:top w:type="dxa" w:w="80"/>
              <w:left w:type="dxa" w:w="100"/>
              <w:bottom w:type="dxa" w:w="80"/>
              <w:right w:type="dxa" w:w="100"/>
            </w:tcMar>
          </w:tcPr>
          <w:p>
            <w:r>
              <w:rPr>
                <w:sz w:val="20"/>
                <w:szCs w:val="20"/>
              </w:rPr>
              <w:t xml:space="preserve">CDS View</w:t>
            </w:r>
          </w:p>
        </w:tc>
        <w:tc>
          <w:tcPr>
            <w:tcW w:type="dxa" w:w="6200"/>
            <w:tcMar>
              <w:top w:type="dxa" w:w="80"/>
              <w:left w:type="dxa" w:w="100"/>
              <w:bottom w:type="dxa" w:w="80"/>
              <w:right w:type="dxa" w:w="100"/>
            </w:tcMar>
          </w:tcPr>
          <w:p>
            <w:r>
              <w:rPr>
                <w:sz w:val="20"/>
                <w:szCs w:val="20"/>
              </w:rPr>
              <w:t xml:space="preserve">Core Data Services view — a virtual, semantically rich data model layer in SAP S/4HANA used to expose data to consuming applications.</w:t>
            </w:r>
          </w:p>
        </w:tc>
      </w:tr>
      <w:tr>
        <w:tc>
          <w:tcPr>
            <w:tcW w:type="dxa" w:w="3200"/>
            <w:tcMar>
              <w:top w:type="dxa" w:w="80"/>
              <w:left w:type="dxa" w:w="100"/>
              <w:bottom w:type="dxa" w:w="80"/>
              <w:right w:type="dxa" w:w="100"/>
            </w:tcMar>
          </w:tcPr>
          <w:p>
            <w:r>
              <w:rPr>
                <w:sz w:val="20"/>
                <w:szCs w:val="20"/>
              </w:rPr>
              <w:t xml:space="preserve">OData</w:t>
            </w:r>
          </w:p>
        </w:tc>
        <w:tc>
          <w:tcPr>
            <w:tcW w:type="dxa" w:w="6200"/>
            <w:tcMar>
              <w:top w:type="dxa" w:w="80"/>
              <w:left w:type="dxa" w:w="100"/>
              <w:bottom w:type="dxa" w:w="80"/>
              <w:right w:type="dxa" w:w="100"/>
            </w:tcMar>
          </w:tcPr>
          <w:p>
            <w:r>
              <w:rPr>
                <w:sz w:val="20"/>
                <w:szCs w:val="20"/>
              </w:rPr>
              <w:t xml:space="preserve">Open Data Protocol — a REST-based protocol commonly used to expose SAP data and services to external applications.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2026-07-13T13:50:25.197Z</dcterms:created>
  <dcterms:modified xsi:type="dcterms:W3CDTF">2026-07-13T13:50:25.197Z</dcterms:modified>
</cp:coreProperties>
</file>

<file path=docProps/custom.xml><?xml version="1.0" encoding="utf-8"?>
<Properties xmlns="http://schemas.openxmlformats.org/officeDocument/2006/custom-properties" xmlns:vt="http://schemas.openxmlformats.org/officeDocument/2006/docPropsVTypes"/>
</file>