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56"/>
          <w:szCs w:val="56"/>
        </w:rPr>
        <w:t xml:space="preserve">FORESIGHT</w:t>
      </w:r>
    </w:p>
    <w:p>
      <w:pPr>
        <w:spacing w:after="40"/>
      </w:pPr>
      <w:r>
        <w:rPr>
          <w:color w:val="2F6F6D"/>
          <w:sz w:val="30"/>
          <w:szCs w:val="30"/>
        </w:rPr>
        <w:t xml:space="preserve">Project Proposal &amp; Development Timetable</w:t>
      </w:r>
    </w:p>
    <w:p>
      <w:pPr>
        <w:spacing w:after="300"/>
      </w:pPr>
      <w:r>
        <w:rPr>
          <w:i/>
          <w:iCs/>
          <w:color w:val="5B6472"/>
          <w:sz w:val="22"/>
          <w:szCs w:val="22"/>
        </w:rPr>
        <w:t xml:space="preserve">Decision-Intelligence Platform for Operational Teams — Pre-Development Phase</w:t>
      </w:r>
    </w:p>
    <w:p>
      <w:pPr>
        <w:pStyle w:val="Heading1"/>
        <w:spacing w:after="160" w:before="320"/>
      </w:pPr>
      <w:r>
        <w:t xml:space="preserve">1. Purpose of This Document</w:t>
      </w:r>
    </w:p>
    <w:p>
      <w:pPr>
        <w:spacing w:after="160"/>
      </w:pPr>
      <w:r>
        <w:t xml:space="preserve">This proposal turns the Foresight blueprint into a committed, buildable plan: what will be built, in what order, over what timeframe, and how success will be judged at each stage. It is written for the founder's own accountability and for use in resume/portfolio conversations, not for external investors.</w:t>
      </w:r>
    </w:p>
    <w:p>
      <w:pPr>
        <w:pStyle w:val="Heading1"/>
        <w:spacing w:after="160" w:before="320"/>
      </w:pPr>
      <w:r>
        <w:t xml:space="preserve">2. Project Summary</w:t>
      </w:r>
    </w:p>
    <w:p>
      <w:pPr>
        <w:spacing w:after="160"/>
      </w:pPr>
      <w:r>
        <w:t xml:space="preserve">Foresight is a B2B decision-intelligence platform that converts operational data into early warnings, forecasts, explanations, and recommended actions. The MVP wedge is supply-chain / operations early-warning intelligence: ingest orders, inventory, supplier performance, lead times and demand history; detect anomalies; forecast near-term shortages or delays; explain the drivers; and produce a ranked, evidence-backed action queue that a human reviews and approves.</w:t>
      </w:r>
    </w:p>
    <w:p>
      <w:pPr>
        <w:spacing w:after="160"/>
      </w:pPr>
      <w:r>
        <w:t xml:space="preserve">The product is intentionally built with a fancy, high-production front end (public homepage and command center) sitting on top of a simple, honest, deterministic backend — classical statistics and machine learning, not paid AI APIs, so that every number shown can be explained and defended.</w:t>
      </w:r>
    </w:p>
    <w:p>
      <w:pPr>
        <w:pStyle w:val="Heading1"/>
        <w:spacing w:after="160" w:before="320"/>
      </w:pPr>
      <w:r>
        <w:t xml:space="preserve">3. Objectives</w:t>
      </w:r>
    </w:p>
    <w:p>
      <w:pPr>
        <w:pStyle w:val="ListParagraph"/>
        <w:numPr>
          <w:ilvl w:val="0"/>
          <w:numId w:val="1"/>
        </w:numPr>
        <w:spacing w:after="80"/>
      </w:pPr>
      <w:r>
        <w:t xml:space="preserve">Prove one decision workflow end-to-end: raw data → signal → forecast → recommendation → outcome.</w:t>
      </w:r>
    </w:p>
    <w:p>
      <w:pPr>
        <w:pStyle w:val="ListParagraph"/>
        <w:numPr>
          <w:ilvl w:val="0"/>
          <w:numId w:val="1"/>
        </w:numPr>
        <w:spacing w:after="80"/>
      </w:pPr>
      <w:r>
        <w:t xml:space="preserve">Keep every model backed by a visible baseline so results are always defensible, never a black box.</w:t>
      </w:r>
    </w:p>
    <w:p>
      <w:pPr>
        <w:pStyle w:val="ListParagraph"/>
        <w:numPr>
          <w:ilvl w:val="0"/>
          <w:numId w:val="1"/>
        </w:numPr>
        <w:spacing w:after="80"/>
      </w:pPr>
      <w:r>
        <w:t xml:space="preserve">Ship a gated, professional-feeling product (approval-based onboarding, polished homepage) that reads as a real product, not a prototype.</w:t>
      </w:r>
    </w:p>
    <w:p>
      <w:pPr>
        <w:pStyle w:val="ListParagraph"/>
        <w:numPr>
          <w:ilvl w:val="0"/>
          <w:numId w:val="1"/>
        </w:numPr>
        <w:spacing w:after="80"/>
      </w:pPr>
      <w:r>
        <w:t xml:space="preserve">Produce a portfolio-ready deliverable: working demo, case study, and resume-quality metrics.</w:t>
      </w:r>
    </w:p>
    <w:p>
      <w:pPr>
        <w:pStyle w:val="Heading1"/>
        <w:spacing w:after="160" w:before="320"/>
      </w:pPr>
      <w:r>
        <w:t xml:space="preserve">4. Scope</w:t>
      </w:r>
    </w:p>
    <w:p>
      <w:pPr>
        <w:pStyle w:val="Heading2"/>
        <w:spacing w:after="120" w:before="240"/>
      </w:pPr>
      <w:r>
        <w:t xml:space="preserve">4.1 In Scope for MVP</w:t>
      </w:r>
    </w:p>
    <w:p>
      <w:pPr>
        <w:pStyle w:val="ListParagraph"/>
        <w:numPr>
          <w:ilvl w:val="0"/>
          <w:numId w:val="1"/>
        </w:numPr>
        <w:spacing w:after="80"/>
      </w:pPr>
      <w:r>
        <w:t xml:space="preserve">CSV/Excel upload for one operational dataset (supply chain / ops).</w:t>
      </w:r>
    </w:p>
    <w:p>
      <w:pPr>
        <w:pStyle w:val="ListParagraph"/>
        <w:numPr>
          <w:ilvl w:val="0"/>
          <w:numId w:val="1"/>
        </w:numPr>
        <w:spacing w:after="80"/>
      </w:pPr>
      <w:r>
        <w:t xml:space="preserve">Data-quality checks and normalization into a common schema.</w:t>
      </w:r>
    </w:p>
    <w:p>
      <w:pPr>
        <w:pStyle w:val="ListParagraph"/>
        <w:numPr>
          <w:ilvl w:val="0"/>
          <w:numId w:val="1"/>
        </w:numPr>
        <w:spacing w:after="80"/>
      </w:pPr>
      <w:r>
        <w:t xml:space="preserve">KPI calculation, anomaly detection (baseline + one advanced method), and a short-horizon forecast.</w:t>
      </w:r>
    </w:p>
    <w:p>
      <w:pPr>
        <w:pStyle w:val="ListParagraph"/>
        <w:numPr>
          <w:ilvl w:val="0"/>
          <w:numId w:val="1"/>
        </w:numPr>
        <w:spacing w:after="80"/>
      </w:pPr>
      <w:r>
        <w:t xml:space="preserve">Risk scoring, prioritized action queue, and an evidence/explanation panel per signal.</w:t>
      </w:r>
    </w:p>
    <w:p>
      <w:pPr>
        <w:pStyle w:val="ListParagraph"/>
        <w:numPr>
          <w:ilvl w:val="0"/>
          <w:numId w:val="1"/>
        </w:numPr>
        <w:spacing w:after="80"/>
      </w:pPr>
      <w:r>
        <w:t xml:space="preserve">Outcome tracking: recording whether a recommendation helped, after the fact.</w:t>
      </w:r>
    </w:p>
    <w:p>
      <w:pPr>
        <w:pStyle w:val="ListParagraph"/>
        <w:numPr>
          <w:ilvl w:val="0"/>
          <w:numId w:val="1"/>
        </w:numPr>
        <w:spacing w:after="80"/>
      </w:pPr>
      <w:r>
        <w:t xml:space="preserve">Public marketing-grade homepage (pre-login).</w:t>
      </w:r>
    </w:p>
    <w:p>
      <w:pPr>
        <w:pStyle w:val="ListParagraph"/>
        <w:numPr>
          <w:ilvl w:val="0"/>
          <w:numId w:val="1"/>
        </w:numPr>
        <w:spacing w:after="80"/>
      </w:pPr>
      <w:r>
        <w:t xml:space="preserve">Gated onboarding: Google / LinkedIn / Email signup, Terms &amp; Conditions acceptance, pending-approval status, admin approval, and a separate low-key Admin Login.</w:t>
      </w:r>
    </w:p>
    <w:p>
      <w:pPr>
        <w:pStyle w:val="ListParagraph"/>
        <w:numPr>
          <w:ilvl w:val="0"/>
          <w:numId w:val="1"/>
        </w:numPr>
        <w:spacing w:after="80"/>
      </w:pPr>
      <w:r>
        <w:t xml:space="preserve">Transactional email via Brevo: welcome email, T&amp;C confirmation, pending-approval notice, approval/rejection notice, and admin new-signup alert.</w:t>
      </w:r>
    </w:p>
    <w:p>
      <w:pPr>
        <w:pStyle w:val="ListParagraph"/>
        <w:numPr>
          <w:ilvl w:val="0"/>
          <w:numId w:val="1"/>
        </w:numPr>
        <w:spacing w:after="80"/>
      </w:pPr>
      <w:r>
        <w:t xml:space="preserve">Command-center dashboard: business health score, attention queue, risk view, forecast strip, why-panel, action cards.</w:t>
      </w:r>
    </w:p>
    <w:p>
      <w:pPr>
        <w:pStyle w:val="Heading2"/>
        <w:spacing w:after="120" w:before="240"/>
      </w:pPr>
      <w:r>
        <w:t xml:space="preserve">4.2 Explicitly Out of Scope for MVP</w:t>
      </w:r>
    </w:p>
    <w:p>
      <w:pPr>
        <w:pStyle w:val="ListParagraph"/>
        <w:numPr>
          <w:ilvl w:val="0"/>
          <w:numId w:val="1"/>
        </w:numPr>
        <w:spacing w:after="80"/>
      </w:pPr>
      <w:r>
        <w:t xml:space="preserve">Live ERP/CRM connectors (CSV/Excel only for now).</w:t>
      </w:r>
    </w:p>
    <w:p>
      <w:pPr>
        <w:pStyle w:val="ListParagraph"/>
        <w:numPr>
          <w:ilvl w:val="0"/>
          <w:numId w:val="1"/>
        </w:numPr>
        <w:spacing w:after="80"/>
      </w:pPr>
      <w:r>
        <w:t xml:space="preserve">Multiple industries/verticals (one wedge only).</w:t>
      </w:r>
    </w:p>
    <w:p>
      <w:pPr>
        <w:pStyle w:val="ListParagraph"/>
        <w:numPr>
          <w:ilvl w:val="0"/>
          <w:numId w:val="1"/>
        </w:numPr>
        <w:spacing w:after="80"/>
      </w:pPr>
      <w:r>
        <w:t xml:space="preserve">Autonomous execution of actions (human approval required for everything).</w:t>
      </w:r>
    </w:p>
    <w:p>
      <w:pPr>
        <w:pStyle w:val="ListParagraph"/>
        <w:numPr>
          <w:ilvl w:val="0"/>
          <w:numId w:val="1"/>
        </w:numPr>
        <w:spacing w:after="80"/>
      </w:pPr>
      <w:r>
        <w:t xml:space="preserve">Enterprise SSO/SCIM, multi-tenant row-level security, Docker/Kubernetes infrastructure.</w:t>
      </w:r>
    </w:p>
    <w:p>
      <w:pPr>
        <w:pStyle w:val="ListParagraph"/>
        <w:numPr>
          <w:ilvl w:val="0"/>
          <w:numId w:val="1"/>
        </w:numPr>
        <w:spacing w:after="80"/>
      </w:pPr>
      <w:r>
        <w:t xml:space="preserve">Any paid AI/LLM API inside the core decision engine.</w:t>
      </w:r>
    </w:p>
    <w:p>
      <w:pPr>
        <w:pStyle w:val="Heading1"/>
        <w:spacing w:after="160" w:before="320"/>
      </w:pPr>
      <w:r>
        <w:t xml:space="preserve">5. Technology Stack (Confirmed)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1B2A4A" w:val="clear"/>
          </w:tcPr>
          <w:p>
            <w:r>
              <w:rPr>
                <w:b/>
                <w:bCs/>
                <w:color w:val="FFFFFF"/>
              </w:rPr>
              <w:t xml:space="preserve">Layer</w:t>
            </w:r>
          </w:p>
        </w:tc>
        <w:tc>
          <w:tcPr>
            <w:tcW w:type="dxa" w:w="3600"/>
            <w:shd w:fill="1B2A4A" w:val="clear"/>
          </w:tcPr>
          <w:p>
            <w:r>
              <w:rPr>
                <w:b/>
                <w:bCs/>
                <w:color w:val="FFFFFF"/>
              </w:rPr>
              <w:t xml:space="preserve">Technology</w:t>
            </w:r>
          </w:p>
        </w:tc>
        <w:tc>
          <w:tcPr>
            <w:tcW w:type="dxa" w:w="3960"/>
            <w:shd w:fill="1B2A4A" w:val="clear"/>
          </w:tcPr>
          <w:p>
            <w:r>
              <w:rPr>
                <w:b/>
                <w:bCs/>
                <w:color w:val="FFFFFF"/>
              </w:rPr>
              <w:t xml:space="preserve">Notes</w:t>
            </w:r>
          </w:p>
        </w:tc>
      </w:tr>
      <w:tr>
        <w:tc>
          <w:tcPr>
            <w:tcW w:type="dxa" w:w="1800"/>
          </w:tcPr>
          <w:p>
            <w:r>
              <w:t xml:space="preserve">Frontend</w:t>
            </w:r>
          </w:p>
        </w:tc>
        <w:tc>
          <w:tcPr>
            <w:tcW w:type="dxa" w:w="3600"/>
          </w:tcPr>
          <w:p>
            <w:r>
              <w:t xml:space="preserve">Next.js + TypeScript, Tailwind + shadcn/ui</w:t>
            </w:r>
          </w:p>
        </w:tc>
        <w:tc>
          <w:tcPr>
            <w:tcW w:type="dxa" w:w="3960"/>
          </w:tcPr>
          <w:p>
            <w:r>
              <w:t xml:space="preserve">Deployed on Vercel</w:t>
            </w:r>
          </w:p>
        </w:tc>
      </w:tr>
      <w:tr>
        <w:tc>
          <w:tcPr>
            <w:tcW w:type="dxa" w:w="1800"/>
          </w:tcPr>
          <w:p>
            <w:r>
              <w:t xml:space="preserve">Backend / ML services</w:t>
            </w:r>
          </w:p>
        </w:tc>
        <w:tc>
          <w:tcPr>
            <w:tcW w:type="dxa" w:w="3600"/>
          </w:tcPr>
          <w:p>
            <w:r>
              <w:t xml:space="preserve">Python + FastAPI, Pydantic</w:t>
            </w:r>
          </w:p>
        </w:tc>
        <w:tc>
          <w:tcPr>
            <w:tcW w:type="dxa" w:w="3960"/>
          </w:tcPr>
          <w:p>
            <w:r>
              <w:t xml:space="preserve">Kept as a separate service from the frontend</w:t>
            </w:r>
          </w:p>
        </w:tc>
      </w:tr>
      <w:tr>
        <w:tc>
          <w:tcPr>
            <w:tcW w:type="dxa" w:w="1800"/>
          </w:tcPr>
          <w:p>
            <w:r>
              <w:t xml:space="preserve">Database / Auth / Storage</w:t>
            </w:r>
          </w:p>
        </w:tc>
        <w:tc>
          <w:tcPr>
            <w:tcW w:type="dxa" w:w="3600"/>
          </w:tcPr>
          <w:p>
            <w:r>
              <w:t xml:space="preserve">Supabase (PostgreSQL, Auth, Storage)</w:t>
            </w:r>
          </w:p>
        </w:tc>
        <w:tc>
          <w:tcPr>
            <w:tcW w:type="dxa" w:w="3960"/>
          </w:tcPr>
          <w:p>
            <w:r>
              <w:t xml:space="preserve">Auth covers Google, LinkedIn, and Email sign-in</w:t>
            </w:r>
          </w:p>
        </w:tc>
      </w:tr>
      <w:tr>
        <w:tc>
          <w:tcPr>
            <w:tcW w:type="dxa" w:w="1800"/>
          </w:tcPr>
          <w:p>
            <w:r>
              <w:t xml:space="preserve">Analytics</w:t>
            </w:r>
          </w:p>
        </w:tc>
        <w:tc>
          <w:tcPr>
            <w:tcW w:type="dxa" w:w="3600"/>
          </w:tcPr>
          <w:p>
            <w:r>
              <w:t xml:space="preserve">Polars + DuckDB</w:t>
            </w:r>
          </w:p>
        </w:tc>
        <w:tc>
          <w:tcPr>
            <w:tcW w:type="dxa" w:w="3960"/>
          </w:tcPr>
          <w:p>
            <w:r>
              <w:t xml:space="preserve">Local, fast columnar processing</w:t>
            </w:r>
          </w:p>
        </w:tc>
      </w:tr>
      <w:tr>
        <w:tc>
          <w:tcPr>
            <w:tcW w:type="dxa" w:w="1800"/>
          </w:tcPr>
          <w:p>
            <w:r>
              <w:t xml:space="preserve">Machine learning</w:t>
            </w:r>
          </w:p>
        </w:tc>
        <w:tc>
          <w:tcPr>
            <w:tcW w:type="dxa" w:w="3600"/>
          </w:tcPr>
          <w:p>
            <w:r>
              <w:t xml:space="preserve">scikit-learn, XGBoost/LightGBM, statsmodels, SHAP</w:t>
            </w:r>
          </w:p>
        </w:tc>
        <w:tc>
          <w:tcPr>
            <w:tcW w:type="dxa" w:w="3960"/>
          </w:tcPr>
          <w:p>
            <w:r>
              <w:t xml:space="preserve">Classical, explainable — no paid AI API</w:t>
            </w:r>
          </w:p>
        </w:tc>
      </w:tr>
      <w:tr>
        <w:tc>
          <w:tcPr>
            <w:tcW w:type="dxa" w:w="1800"/>
          </w:tcPr>
          <w:p>
            <w:r>
              <w:t xml:space="preserve">Transactional email</w:t>
            </w:r>
          </w:p>
        </w:tc>
        <w:tc>
          <w:tcPr>
            <w:tcW w:type="dxa" w:w="3600"/>
          </w:tcPr>
          <w:p>
            <w:r>
              <w:t xml:space="preserve">Brevo (brevo.com)</w:t>
            </w:r>
          </w:p>
        </w:tc>
        <w:tc>
          <w:tcPr>
            <w:tcW w:type="dxa" w:w="3960"/>
          </w:tcPr>
          <w:p>
            <w:r>
              <w:t xml:space="preserve">Welcome mail, T&amp;C confirmation, approval/rejection notices, admin alerts</w:t>
            </w:r>
          </w:p>
        </w:tc>
      </w:tr>
      <w:tr>
        <w:tc>
          <w:tcPr>
            <w:tcW w:type="dxa" w:w="1800"/>
          </w:tcPr>
          <w:p>
            <w:r>
              <w:t xml:space="preserve">Local development</w:t>
            </w:r>
          </w:p>
        </w:tc>
        <w:tc>
          <w:tcPr>
            <w:tcW w:type="dxa" w:w="3600"/>
          </w:tcPr>
          <w:p>
            <w:r>
              <w:t xml:space="preserve">Native Node.js + Python venv</w:t>
            </w:r>
          </w:p>
        </w:tc>
        <w:tc>
          <w:tcPr>
            <w:tcW w:type="dxa" w:w="3960"/>
          </w:tcPr>
          <w:p>
            <w:r>
              <w:t xml:space="preserve">No Docker in the standard workflow</w:t>
            </w:r>
          </w:p>
        </w:tc>
      </w:tr>
    </w:tbl>
    <w:p>
      <w:pPr>
        <w:spacing w:after="120"/>
      </w:pPr>
    </w:p>
    <w:p>
      <w:pPr>
        <w:spacing w:after="160"/>
      </w:pPr>
      <w:r>
        <w:t xml:space="preserve">Brevo is added specifically to handle the account-approval email flow defined in the blueprint's Access Model section: notifying the admin of a new pending signup, and notifying the user once approved or rejected. It is a transactional-email layer only — it does not touch the core decision engine and introduces no dependency risk to the product's core intelligence.</w:t>
      </w:r>
    </w:p>
    <w:p>
      <w:pPr>
        <w:pStyle w:val="Heading1"/>
        <w:spacing w:after="160" w:before="320"/>
      </w:pPr>
      <w:r>
        <w:t xml:space="preserve">6. Development Timetable</w:t>
      </w:r>
    </w:p>
    <w:p>
      <w:pPr>
        <w:spacing w:after="160"/>
      </w:pPr>
      <w:r>
        <w:t xml:space="preserve">This is a realistic solo-developer timetable using Claude Code as the primary implementation tool, aimed at a resume-ready MVP — fancy, professional UI on top of a simple, real, honest backend.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shd w:fill="1B2A4A" w:val="clear"/>
          </w:tcPr>
          <w:p>
            <w:r>
              <w:rPr>
                <w:b/>
                <w:bCs/>
                <w:color w:val="FFFFFF"/>
              </w:rPr>
              <w:t xml:space="preserve">Week</w:t>
            </w:r>
          </w:p>
        </w:tc>
        <w:tc>
          <w:tcPr>
            <w:tcW w:type="dxa" w:w="2700"/>
            <w:shd w:fill="1B2A4A" w:val="clear"/>
          </w:tcPr>
          <w:p>
            <w:r>
              <w:rPr>
                <w:b/>
                <w:bCs/>
                <w:color w:val="FFFFFF"/>
              </w:rPr>
              <w:t xml:space="preserve">Focus</w:t>
            </w:r>
          </w:p>
        </w:tc>
        <w:tc>
          <w:tcPr>
            <w:tcW w:type="dxa" w:w="5760"/>
            <w:shd w:fill="1B2A4A" w:val="clear"/>
          </w:tcPr>
          <w:p>
            <w:r>
              <w:rPr>
                <w:b/>
                <w:bCs/>
                <w:color w:val="FFFFFF"/>
              </w:rPr>
              <w:t xml:space="preserve">Key Deliverables</w:t>
            </w:r>
          </w:p>
        </w:tc>
      </w:tr>
      <w:tr>
        <w:tc>
          <w:tcPr>
            <w:tcW w:type="dxa" w:w="900"/>
          </w:tcPr>
          <w:p>
            <w:r>
              <w:t xml:space="preserve">1</w:t>
            </w:r>
          </w:p>
        </w:tc>
        <w:tc>
          <w:tcPr>
            <w:tcW w:type="dxa" w:w="2700"/>
          </w:tcPr>
          <w:p>
            <w:r>
              <w:t xml:space="preserve">Foundation &amp; decisions</w:t>
            </w:r>
          </w:p>
        </w:tc>
        <w:tc>
          <w:tcPr>
            <w:tcW w:type="dxa" w:w="5760"/>
          </w:tcPr>
          <w:p>
            <w:r>
              <w:t xml:space="preserve">Final dataset chosen; entities, KPIs, and decision catalog defined; Supabase project set up; Brevo account and sender domain configured.</w:t>
            </w:r>
          </w:p>
        </w:tc>
      </w:tr>
      <w:tr>
        <w:tc>
          <w:tcPr>
            <w:tcW w:type="dxa" w:w="900"/>
          </w:tcPr>
          <w:p>
            <w:r>
              <w:t xml:space="preserve">2</w:t>
            </w:r>
          </w:p>
        </w:tc>
        <w:tc>
          <w:tcPr>
            <w:tcW w:type="dxa" w:w="2700"/>
          </w:tcPr>
          <w:p>
            <w:r>
              <w:t xml:space="preserve">Data pipeline</w:t>
            </w:r>
          </w:p>
        </w:tc>
        <w:tc>
          <w:tcPr>
            <w:tcW w:type="dxa" w:w="5760"/>
          </w:tcPr>
          <w:p>
            <w:r>
              <w:t xml:space="preserve">CSV/Excel upload, validation, normalization into canonical schema, stored in Postgres.</w:t>
            </w:r>
          </w:p>
        </w:tc>
      </w:tr>
      <w:tr>
        <w:tc>
          <w:tcPr>
            <w:tcW w:type="dxa" w:w="900"/>
          </w:tcPr>
          <w:p>
            <w:r>
              <w:t xml:space="preserve">3</w:t>
            </w:r>
          </w:p>
        </w:tc>
        <w:tc>
          <w:tcPr>
            <w:tcW w:type="dxa" w:w="2700"/>
          </w:tcPr>
          <w:p>
            <w:r>
              <w:t xml:space="preserve">Analytics core</w:t>
            </w:r>
          </w:p>
        </w:tc>
        <w:tc>
          <w:tcPr>
            <w:tcW w:type="dxa" w:w="5760"/>
          </w:tcPr>
          <w:p>
            <w:r>
              <w:t xml:space="preserve">KPI calculations, baseline anomaly detection (z-score/IQR), first advanced anomaly model.</w:t>
            </w:r>
          </w:p>
        </w:tc>
      </w:tr>
      <w:tr>
        <w:tc>
          <w:tcPr>
            <w:tcW w:type="dxa" w:w="900"/>
          </w:tcPr>
          <w:p>
            <w:r>
              <w:t xml:space="preserve">4</w:t>
            </w:r>
          </w:p>
        </w:tc>
        <w:tc>
          <w:tcPr>
            <w:tcW w:type="dxa" w:w="2700"/>
          </w:tcPr>
          <w:p>
            <w:r>
              <w:t xml:space="preserve">Forecasting</w:t>
            </w:r>
          </w:p>
        </w:tc>
        <w:tc>
          <w:tcPr>
            <w:tcW w:type="dxa" w:w="5760"/>
          </w:tcPr>
          <w:p>
            <w:r>
              <w:t xml:space="preserve">One short-horizon forecast (baseline + advanced), with uncertainty shown, not hidden.</w:t>
            </w:r>
          </w:p>
        </w:tc>
      </w:tr>
      <w:tr>
        <w:tc>
          <w:tcPr>
            <w:tcW w:type="dxa" w:w="900"/>
          </w:tcPr>
          <w:p>
            <w:r>
              <w:t xml:space="preserve">5</w:t>
            </w:r>
          </w:p>
        </w:tc>
        <w:tc>
          <w:tcPr>
            <w:tcW w:type="dxa" w:w="2700"/>
          </w:tcPr>
          <w:p>
            <w:r>
              <w:t xml:space="preserve">Decision engine</w:t>
            </w:r>
          </w:p>
        </w:tc>
        <w:tc>
          <w:tcPr>
            <w:tcW w:type="dxa" w:w="5760"/>
          </w:tcPr>
          <w:p>
            <w:r>
              <w:t xml:space="preserve">Risk scoring, prioritized action queue, evidence/explanation record per signal.</w:t>
            </w:r>
          </w:p>
        </w:tc>
      </w:tr>
      <w:tr>
        <w:tc>
          <w:tcPr>
            <w:tcW w:type="dxa" w:w="900"/>
          </w:tcPr>
          <w:p>
            <w:r>
              <w:t xml:space="preserve">6</w:t>
            </w:r>
          </w:p>
        </w:tc>
        <w:tc>
          <w:tcPr>
            <w:tcW w:type="dxa" w:w="2700"/>
          </w:tcPr>
          <w:p>
            <w:r>
              <w:t xml:space="preserve">Access &amp; auth</w:t>
            </w:r>
          </w:p>
        </w:tc>
        <w:tc>
          <w:tcPr>
            <w:tcW w:type="dxa" w:w="5760"/>
          </w:tcPr>
          <w:p>
            <w:r>
              <w:t xml:space="preserve">Homepage, login page (Google/LinkedIn/Email + Admin Login), T&amp;C acceptance, pending/approved/rejected flow, Brevo email triggers, admin approval panel.</w:t>
            </w:r>
          </w:p>
        </w:tc>
      </w:tr>
      <w:tr>
        <w:tc>
          <w:tcPr>
            <w:tcW w:type="dxa" w:w="900"/>
          </w:tcPr>
          <w:p>
            <w:r>
              <w:t xml:space="preserve">7</w:t>
            </w:r>
          </w:p>
        </w:tc>
        <w:tc>
          <w:tcPr>
            <w:tcW w:type="dxa" w:w="2700"/>
          </w:tcPr>
          <w:p>
            <w:r>
              <w:t xml:space="preserve">Command-center UI</w:t>
            </w:r>
          </w:p>
        </w:tc>
        <w:tc>
          <w:tcPr>
            <w:tcW w:type="dxa" w:w="5760"/>
          </w:tcPr>
          <w:p>
            <w:r>
              <w:t xml:space="preserve">Business health score, attention queue, risk map, forecast strip, why-panel, action cards — full visual polish pass.</w:t>
            </w:r>
          </w:p>
        </w:tc>
      </w:tr>
      <w:tr>
        <w:tc>
          <w:tcPr>
            <w:tcW w:type="dxa" w:w="900"/>
          </w:tcPr>
          <w:p>
            <w:r>
              <w:t xml:space="preserve">8</w:t>
            </w:r>
          </w:p>
        </w:tc>
        <w:tc>
          <w:tcPr>
            <w:tcW w:type="dxa" w:w="2700"/>
          </w:tcPr>
          <w:p>
            <w:r>
              <w:t xml:space="preserve">Outcome tracking &amp; hardening</w:t>
            </w:r>
          </w:p>
        </w:tc>
        <w:tc>
          <w:tcPr>
            <w:tcW w:type="dxa" w:w="5760"/>
          </w:tcPr>
          <w:p>
            <w:r>
              <w:t xml:space="preserve">Outcome tracker wired to past recommendations; RBAC checks enforced server-side; core tests written; bug fixing.</w:t>
            </w:r>
          </w:p>
        </w:tc>
      </w:tr>
      <w:tr>
        <w:tc>
          <w:tcPr>
            <w:tcW w:type="dxa" w:w="900"/>
          </w:tcPr>
          <w:p>
            <w:r>
              <w:t xml:space="preserve">9</w:t>
            </w:r>
          </w:p>
        </w:tc>
        <w:tc>
          <w:tcPr>
            <w:tcW w:type="dxa" w:w="2700"/>
          </w:tcPr>
          <w:p>
            <w:r>
              <w:t xml:space="preserve">Polish &amp; motion</w:t>
            </w:r>
          </w:p>
        </w:tc>
        <w:tc>
          <w:tcPr>
            <w:tcW w:type="dxa" w:w="5760"/>
          </w:tcPr>
          <w:p>
            <w:r>
              <w:t xml:space="preserve">Micro-interactions, loading/empty/error states, accessibility pass, reduced-motion support.</w:t>
            </w:r>
          </w:p>
        </w:tc>
      </w:tr>
      <w:tr>
        <w:tc>
          <w:tcPr>
            <w:tcW w:type="dxa" w:w="900"/>
          </w:tcPr>
          <w:p>
            <w:r>
              <w:t xml:space="preserve">10</w:t>
            </w:r>
          </w:p>
        </w:tc>
        <w:tc>
          <w:tcPr>
            <w:tcW w:type="dxa" w:w="2700"/>
          </w:tcPr>
          <w:p>
            <w:r>
              <w:t xml:space="preserve">Demo &amp; case study</w:t>
            </w:r>
          </w:p>
        </w:tc>
        <w:tc>
          <w:tcPr>
            <w:tcW w:type="dxa" w:w="5760"/>
          </w:tcPr>
          <w:p>
            <w:r>
              <w:t xml:space="preserve">Seeded realistic dataset, recorded 90–120s walkthrough, written technical case study, resume copy finalized.</w:t>
            </w:r>
          </w:p>
        </w:tc>
      </w:tr>
    </w:tbl>
    <w:p>
      <w:pPr>
        <w:pStyle w:val="Heading1"/>
        <w:spacing w:after="160" w:before="320"/>
      </w:pPr>
      <w:r>
        <w:t xml:space="preserve">7. Milestones &amp; Definition of Done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Pr>
          <w:p>
            <w:r>
              <w:rPr>
                <w:b/>
                <w:bCs/>
                <w:color w:val="FFFFFF"/>
              </w:rPr>
              <w:t xml:space="preserve">Milestone</w:t>
            </w:r>
          </w:p>
        </w:tc>
        <w:tc>
          <w:tcPr>
            <w:tcW w:type="dxa" w:w="6760"/>
            <w:shd w:fill="1B2A4A" w:val="clear"/>
          </w:tcPr>
          <w:p>
            <w:r>
              <w:rPr>
                <w:b/>
                <w:bCs/>
                <w:color w:val="FFFFFF"/>
              </w:rPr>
              <w:t xml:space="preserve">Definition of Done</w:t>
            </w:r>
          </w:p>
        </w:tc>
      </w:tr>
      <w:tr>
        <w:tc>
          <w:tcPr>
            <w:tcW w:type="dxa" w:w="2600"/>
          </w:tcPr>
          <w:p>
            <w:r>
              <w:t xml:space="preserve">M1 — Data alive</w:t>
            </w:r>
          </w:p>
        </w:tc>
        <w:tc>
          <w:tcPr>
            <w:tcW w:type="dxa" w:w="6760"/>
          </w:tcPr>
          <w:p>
            <w:r>
              <w:t xml:space="preserve">A real CSV can be uploaded, validated, and normalized without manual intervention.</w:t>
            </w:r>
          </w:p>
        </w:tc>
      </w:tr>
      <w:tr>
        <w:tc>
          <w:tcPr>
            <w:tcW w:type="dxa" w:w="2600"/>
          </w:tcPr>
          <w:p>
            <w:r>
              <w:t xml:space="preserve">M2 — First signal</w:t>
            </w:r>
          </w:p>
        </w:tc>
        <w:tc>
          <w:tcPr>
            <w:tcW w:type="dxa" w:w="6760"/>
          </w:tcPr>
          <w:p>
            <w:r>
              <w:t xml:space="preserve">The system detects at least one real anomaly and shows the baseline number next to it.</w:t>
            </w:r>
          </w:p>
        </w:tc>
      </w:tr>
      <w:tr>
        <w:tc>
          <w:tcPr>
            <w:tcW w:type="dxa" w:w="2600"/>
          </w:tcPr>
          <w:p>
            <w:r>
              <w:t xml:space="preserve">M3 — First decision</w:t>
            </w:r>
          </w:p>
        </w:tc>
        <w:tc>
          <w:tcPr>
            <w:tcW w:type="dxa" w:w="6760"/>
          </w:tcPr>
          <w:p>
            <w:r>
              <w:t xml:space="preserve">A ranked action queue exists with evidence attached to each item.</w:t>
            </w:r>
          </w:p>
        </w:tc>
      </w:tr>
      <w:tr>
        <w:tc>
          <w:tcPr>
            <w:tcW w:type="dxa" w:w="2600"/>
          </w:tcPr>
          <w:p>
            <w:r>
              <w:t xml:space="preserve">M4 — Gated product</w:t>
            </w:r>
          </w:p>
        </w:tc>
        <w:tc>
          <w:tcPr>
            <w:tcW w:type="dxa" w:w="6760"/>
          </w:tcPr>
          <w:p>
            <w:r>
              <w:t xml:space="preserve">A new user can sign up, accept T&amp;C, wait for approval, and be let in only after the admin approves — with real emails sent via Brevo at each step.</w:t>
            </w:r>
          </w:p>
        </w:tc>
      </w:tr>
      <w:tr>
        <w:tc>
          <w:tcPr>
            <w:tcW w:type="dxa" w:w="2600"/>
          </w:tcPr>
          <w:p>
            <w:r>
              <w:t xml:space="preserve">M5 — Demo-ready</w:t>
            </w:r>
          </w:p>
        </w:tc>
        <w:tc>
          <w:tcPr>
            <w:tcW w:type="dxa" w:w="6760"/>
          </w:tcPr>
          <w:p>
            <w:r>
              <w:t xml:space="preserve">A stranger can watch a 2-minute demo and understand what problem was found, why, and what to do about it.</w:t>
            </w:r>
          </w:p>
        </w:tc>
      </w:tr>
    </w:tbl>
    <w:p>
      <w:pPr>
        <w:pStyle w:val="Heading1"/>
        <w:spacing w:after="160" w:before="320"/>
      </w:pPr>
      <w:r>
        <w:t xml:space="preserve">8.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B2A4A" w:val="clear"/>
          </w:tcPr>
          <w:p>
            <w:r>
              <w:rPr>
                <w:b/>
                <w:bCs/>
                <w:color w:val="FFFFFF"/>
              </w:rPr>
              <w:t xml:space="preserve">Risk</w:t>
            </w:r>
          </w:p>
        </w:tc>
        <w:tc>
          <w:tcPr>
            <w:tcW w:type="dxa" w:w="5960"/>
            <w:shd w:fill="1B2A4A" w:val="clear"/>
          </w:tcPr>
          <w:p>
            <w:r>
              <w:rPr>
                <w:b/>
                <w:bCs/>
                <w:color w:val="FFFFFF"/>
              </w:rPr>
              <w:t xml:space="preserve">Mitigation</w:t>
            </w:r>
          </w:p>
        </w:tc>
      </w:tr>
      <w:tr>
        <w:tc>
          <w:tcPr>
            <w:tcW w:type="dxa" w:w="3400"/>
          </w:tcPr>
          <w:p>
            <w:r>
              <w:t xml:space="preserve">Scope creep beyond one wedge</w:t>
            </w:r>
          </w:p>
        </w:tc>
        <w:tc>
          <w:tcPr>
            <w:tcW w:type="dxa" w:w="5960"/>
          </w:tcPr>
          <w:p>
            <w:r>
              <w:t xml:space="preserve">Hold the line on the Compact MVP Scope; anything new goes on a 'later' list, not into weeks 1–10.</w:t>
            </w:r>
          </w:p>
        </w:tc>
      </w:tr>
      <w:tr>
        <w:tc>
          <w:tcPr>
            <w:tcW w:type="dxa" w:w="3400"/>
          </w:tcPr>
          <w:p>
            <w:r>
              <w:t xml:space="preserve">Fake-looking or trivial data</w:t>
            </w:r>
          </w:p>
        </w:tc>
        <w:tc>
          <w:tcPr>
            <w:tcW w:type="dxa" w:w="5960"/>
          </w:tcPr>
          <w:p>
            <w:r>
              <w:t xml:space="preserve">Use one realistic public dataset; document any synthetic extension transparently.</w:t>
            </w:r>
          </w:p>
        </w:tc>
      </w:tr>
      <w:tr>
        <w:tc>
          <w:tcPr>
            <w:tcW w:type="dxa" w:w="3400"/>
          </w:tcPr>
          <w:p>
            <w:r>
              <w:t xml:space="preserve">Fancy UI outruns real backend logic</w:t>
            </w:r>
          </w:p>
        </w:tc>
        <w:tc>
          <w:tcPr>
            <w:tcW w:type="dxa" w:w="5960"/>
          </w:tcPr>
          <w:p>
            <w:r>
              <w:t xml:space="preserve">UI work (weeks 6–9) only begins after the decision engine (weeks 2–5) produces real output.</w:t>
            </w:r>
          </w:p>
        </w:tc>
      </w:tr>
      <w:tr>
        <w:tc>
          <w:tcPr>
            <w:tcW w:type="dxa" w:w="3400"/>
          </w:tcPr>
          <w:p>
            <w:r>
              <w:t xml:space="preserve">Email deliverability issues (Brevo)</w:t>
            </w:r>
          </w:p>
        </w:tc>
        <w:tc>
          <w:tcPr>
            <w:tcW w:type="dxa" w:w="5960"/>
          </w:tcPr>
          <w:p>
            <w:r>
              <w:t xml:space="preserve">Verify sender domain/SPF/DKIM early in Week 1, not right before demo.</w:t>
            </w:r>
          </w:p>
        </w:tc>
      </w:tr>
      <w:tr>
        <w:tc>
          <w:tcPr>
            <w:tcW w:type="dxa" w:w="3400"/>
          </w:tcPr>
          <w:p>
            <w:r>
              <w:t xml:space="preserve">Solo-developer time risk</w:t>
            </w:r>
          </w:p>
        </w:tc>
        <w:tc>
          <w:tcPr>
            <w:tcW w:type="dxa" w:w="5960"/>
          </w:tcPr>
          <w:p>
            <w:r>
              <w:t xml:space="preserve">10-week plan assumes steady part-time effort; slipping a week is acceptable, skipping a milestone's Definition of Done is not.</w:t>
            </w:r>
          </w:p>
        </w:tc>
      </w:tr>
    </w:tbl>
    <w:p>
      <w:pPr>
        <w:pStyle w:val="Heading1"/>
        <w:spacing w:after="160" w:before="320"/>
      </w:pPr>
      <w:r>
        <w:t xml:space="preserve">9. Success Definition</w:t>
      </w:r>
    </w:p>
    <w:p>
      <w:pPr>
        <w:spacing w:after="160"/>
      </w:pPr>
      <w:r>
        <w:t xml:space="preserve">Success for this phase is not user count. It is: the system notices something changing in real data, explains why in plain terms, recommends a specific next action to a specific role, and later records whether that action actually helped. If a stranger can follow that full loop in a two-minute demo and believe it, the MVP has done its job.</w:t>
      </w:r>
    </w:p>
    <w:p>
      <w:pPr>
        <w:spacing w:after="200"/>
      </w:pPr>
    </w:p>
    <w:p>
      <w:r>
        <w:rPr>
          <w:i/>
          <w:iCs/>
          <w:color w:val="5B6472"/>
          <w:sz w:val="18"/>
          <w:szCs w:val="18"/>
        </w:rPr>
        <w:t xml:space="preserve">Prepared as a planning document — no application code has been written. Development begins only when explicitly authorized.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2026-09-07T16:45:05.636Z</dcterms:created>
  <dcterms:modified xsi:type="dcterms:W3CDTF">2026-09-07T16:45:05.640Z</dcterms:modified>
</cp:coreProperties>
</file>

<file path=docProps/custom.xml><?xml version="1.0" encoding="utf-8"?>
<Properties xmlns="http://schemas.openxmlformats.org/officeDocument/2006/custom-properties" xmlns:vt="http://schemas.openxmlformats.org/officeDocument/2006/docPropsVTypes"/>
</file>